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following tool is intended to help departments/individuals connect sources of evidence that can be used in teaching evaluation to the seven</w:t>
      </w:r>
      <w:r w:rsidDel="00000000" w:rsidR="00000000" w:rsidRPr="00000000">
        <w:rPr>
          <w:rFonts w:ascii="Helvetica Neue" w:cs="Helvetica Neue" w:eastAsia="Helvetica Neue" w:hAnsi="Helvetica Neue"/>
          <w:sz w:val="20"/>
          <w:szCs w:val="20"/>
          <w:rtl w:val="0"/>
        </w:rPr>
        <w:t xml:space="preserve"> dimensions of quality teaching</w:t>
      </w:r>
      <w:r w:rsidDel="00000000" w:rsidR="00000000" w:rsidRPr="00000000">
        <w:rPr>
          <w:rFonts w:ascii="Helvetica Neue" w:cs="Helvetica Neue" w:eastAsia="Helvetica Neue" w:hAnsi="Helvetica Neue"/>
          <w:sz w:val="20"/>
          <w:szCs w:val="20"/>
          <w:rtl w:val="0"/>
        </w:rPr>
        <w:t xml:space="preserve"> outlined in the 2 page framework version of the TQF Rubric (hereafter “2 page Rubric”) found here: </w:t>
      </w:r>
      <w:hyperlink r:id="rId6">
        <w:r w:rsidDel="00000000" w:rsidR="00000000" w:rsidRPr="00000000">
          <w:rPr>
            <w:rFonts w:ascii="Helvetica Neue" w:cs="Helvetica Neue" w:eastAsia="Helvetica Neue" w:hAnsi="Helvetica Neue"/>
            <w:color w:val="1155cc"/>
            <w:sz w:val="20"/>
            <w:szCs w:val="20"/>
            <w:u w:val="single"/>
            <w:rtl w:val="0"/>
          </w:rPr>
          <w:t xml:space="preserve">https://www.colorado.edu/teaching-quality-framework/TQFRubric</w:t>
        </w:r>
      </w:hyperlink>
      <w:r w:rsidDel="00000000" w:rsidR="00000000" w:rsidRPr="00000000">
        <w:rPr>
          <w:rFonts w:ascii="Helvetica Neue" w:cs="Helvetica Neue" w:eastAsia="Helvetica Neue" w:hAnsi="Helvetica Neue"/>
          <w:sz w:val="20"/>
          <w:szCs w:val="20"/>
          <w:rtl w:val="0"/>
        </w:rPr>
        <w:t xml:space="preserve">. While there are multiple ways one could approach using this tool, we outline a few steps that could be taken by departments/individuals to use this tool in a gap analysis of their current teaching evaluation systems. Departments/individuals that complete this activity should gain a better understanding of how their current teaching evaluation tools/processes align with the TQF Rubric and gain a broad sense of whether their evaluation system(s) are missing key voices and/or data sources across the rubric dimensions. </w:t>
      </w:r>
    </w:p>
    <w:p w:rsidR="00000000" w:rsidDel="00000000" w:rsidP="00000000" w:rsidRDefault="00000000" w:rsidRPr="00000000" w14:paraId="00000003">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4">
      <w:pPr>
        <w:pageBreakBefore w:val="0"/>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TQF, in partnership with multiple departments across the CU Boulder campus, have developed a variety of tools (templates and department examples) that can be used to fill gaps; they can be found at: </w:t>
      </w:r>
      <w:hyperlink r:id="rId7">
        <w:r w:rsidDel="00000000" w:rsidR="00000000" w:rsidRPr="00000000">
          <w:rPr>
            <w:rFonts w:ascii="Helvetica Neue" w:cs="Helvetica Neue" w:eastAsia="Helvetica Neue" w:hAnsi="Helvetica Neue"/>
            <w:color w:val="1155cc"/>
            <w:sz w:val="20"/>
            <w:szCs w:val="20"/>
            <w:u w:val="single"/>
            <w:rtl w:val="0"/>
          </w:rPr>
          <w:t xml:space="preserve">https://www.colorado.edu/teaching-quality-framework/tools-for-teaching-evaluation</w:t>
        </w:r>
      </w:hyperlink>
      <w:r w:rsidDel="00000000" w:rsidR="00000000" w:rsidRPr="00000000">
        <w:rPr>
          <w:rFonts w:ascii="Helvetica Neue" w:cs="Helvetica Neue" w:eastAsia="Helvetica Neue" w:hAnsi="Helvetica Neue"/>
          <w:sz w:val="20"/>
          <w:szCs w:val="20"/>
          <w:rtl w:val="0"/>
        </w:rPr>
        <w:t xml:space="preserve">. Additional resources from the University of Kansas and the University of Massachusetts - Amherst can be found at </w:t>
      </w:r>
      <w:hyperlink r:id="rId8">
        <w:r w:rsidDel="00000000" w:rsidR="00000000" w:rsidRPr="00000000">
          <w:rPr>
            <w:rFonts w:ascii="Helvetica Neue" w:cs="Helvetica Neue" w:eastAsia="Helvetica Neue" w:hAnsi="Helvetica Neue"/>
            <w:color w:val="1155cc"/>
            <w:sz w:val="20"/>
            <w:szCs w:val="20"/>
            <w:u w:val="single"/>
            <w:rtl w:val="0"/>
          </w:rPr>
          <w:t xml:space="preserve">http://teval.net/</w:t>
        </w:r>
      </w:hyperlink>
      <w:r w:rsidDel="00000000" w:rsidR="00000000" w:rsidRPr="00000000">
        <w:rPr>
          <w:rFonts w:ascii="Helvetica Neue" w:cs="Helvetica Neue" w:eastAsia="Helvetica Neue" w:hAnsi="Helvetica Neue"/>
          <w:sz w:val="20"/>
          <w:szCs w:val="20"/>
          <w:rtl w:val="0"/>
        </w:rPr>
        <w:t xml:space="preserve">. At CU Boulder, the </w:t>
      </w:r>
      <w:r w:rsidDel="00000000" w:rsidR="00000000" w:rsidRPr="00000000">
        <w:rPr>
          <w:rFonts w:ascii="Helvetica Neue" w:cs="Helvetica Neue" w:eastAsia="Helvetica Neue" w:hAnsi="Helvetica Neue"/>
          <w:sz w:val="20"/>
          <w:szCs w:val="20"/>
          <w:rtl w:val="0"/>
        </w:rPr>
        <w:t xml:space="preserve">Center for Teaching and Learning</w:t>
      </w:r>
      <w:r w:rsidDel="00000000" w:rsidR="00000000" w:rsidRPr="00000000">
        <w:rPr>
          <w:rFonts w:ascii="Helvetica Neue" w:cs="Helvetica Neue" w:eastAsia="Helvetica Neue" w:hAnsi="Helvetica Neue"/>
          <w:sz w:val="20"/>
          <w:szCs w:val="20"/>
          <w:rtl w:val="0"/>
        </w:rPr>
        <w:t xml:space="preserve"> (</w:t>
      </w:r>
      <w:hyperlink r:id="rId9">
        <w:r w:rsidDel="00000000" w:rsidR="00000000" w:rsidRPr="00000000">
          <w:rPr>
            <w:rFonts w:ascii="Helvetica Neue" w:cs="Helvetica Neue" w:eastAsia="Helvetica Neue" w:hAnsi="Helvetica Neue"/>
            <w:color w:val="1155cc"/>
            <w:sz w:val="20"/>
            <w:szCs w:val="20"/>
            <w:u w:val="single"/>
            <w:rtl w:val="0"/>
          </w:rPr>
          <w:t xml:space="preserve">https://www.colorado.edu/center/teaching-learning/</w:t>
        </w:r>
      </w:hyperlink>
      <w:r w:rsidDel="00000000" w:rsidR="00000000" w:rsidRPr="00000000">
        <w:rPr>
          <w:rFonts w:ascii="Helvetica Neue" w:cs="Helvetica Neue" w:eastAsia="Helvetica Neue" w:hAnsi="Helvetica Neue"/>
          <w:sz w:val="20"/>
          <w:szCs w:val="20"/>
          <w:rtl w:val="0"/>
        </w:rPr>
        <w:t xml:space="preserve">) offers a variety of teaching resources, services, and guidance that may be helpful for departments/individuals engaged in teaching evaluation transformation. </w:t>
      </w:r>
      <w:r w:rsidDel="00000000" w:rsidR="00000000" w:rsidRPr="00000000">
        <w:rPr>
          <w:rFonts w:ascii="Helvetica Neue" w:cs="Helvetica Neue" w:eastAsia="Helvetica Neue" w:hAnsi="Helvetica Neue"/>
          <w:sz w:val="20"/>
          <w:szCs w:val="20"/>
          <w:rtl w:val="0"/>
        </w:rPr>
        <w:t xml:space="preserve">COPUS observations (“Visualizing Instructional Practices” (VIPs)) and other services are available via Arts &amp; Sciences Support of Education Through Technology (</w:t>
      </w:r>
      <w:r w:rsidDel="00000000" w:rsidR="00000000" w:rsidRPr="00000000">
        <w:rPr>
          <w:rFonts w:ascii="Helvetica Neue" w:cs="Helvetica Neue" w:eastAsia="Helvetica Neue" w:hAnsi="Helvetica Neue"/>
          <w:sz w:val="20"/>
          <w:szCs w:val="20"/>
          <w:rtl w:val="0"/>
        </w:rPr>
        <w:t xml:space="preserve">ASSETT</w:t>
      </w:r>
      <w:r w:rsidDel="00000000" w:rsidR="00000000" w:rsidRPr="00000000">
        <w:rPr>
          <w:rFonts w:ascii="Helvetica Neue" w:cs="Helvetica Neue" w:eastAsia="Helvetica Neue" w:hAnsi="Helvetica Neue"/>
          <w:sz w:val="20"/>
          <w:szCs w:val="20"/>
          <w:rtl w:val="0"/>
        </w:rPr>
        <w:t xml:space="preserve">): </w:t>
      </w:r>
      <w:hyperlink r:id="rId10">
        <w:r w:rsidDel="00000000" w:rsidR="00000000" w:rsidRPr="00000000">
          <w:rPr>
            <w:rFonts w:ascii="Helvetica Neue" w:cs="Helvetica Neue" w:eastAsia="Helvetica Neue" w:hAnsi="Helvetica Neue"/>
            <w:color w:val="1155cc"/>
            <w:sz w:val="20"/>
            <w:szCs w:val="20"/>
            <w:u w:val="single"/>
            <w:rtl w:val="0"/>
          </w:rPr>
          <w:t xml:space="preserve">https://www.colorado.edu/assett/our-offerings/services</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6">
      <w:pPr>
        <w:pageBreakBefore w:val="0"/>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TQF rubric was developed from foundational scholarship, including </w:t>
      </w:r>
      <w:r w:rsidDel="00000000" w:rsidR="00000000" w:rsidRPr="00000000">
        <w:rPr>
          <w:rFonts w:ascii="Helvetica Neue" w:cs="Helvetica Neue" w:eastAsia="Helvetica Neue" w:hAnsi="Helvetica Neue"/>
          <w:i w:val="1"/>
          <w:sz w:val="20"/>
          <w:szCs w:val="20"/>
          <w:rtl w:val="0"/>
        </w:rPr>
        <w:t xml:space="preserve">Scholarship Reconsidered</w:t>
      </w:r>
      <w:r w:rsidDel="00000000" w:rsidR="00000000" w:rsidRPr="00000000">
        <w:rPr>
          <w:rFonts w:ascii="Helvetica Neue" w:cs="Helvetica Neue" w:eastAsia="Helvetica Neue" w:hAnsi="Helvetica Neue"/>
          <w:sz w:val="20"/>
          <w:szCs w:val="20"/>
          <w:rtl w:val="0"/>
        </w:rPr>
        <w:t xml:space="preserve"> (Boyer, 1990), </w:t>
      </w:r>
      <w:r w:rsidDel="00000000" w:rsidR="00000000" w:rsidRPr="00000000">
        <w:rPr>
          <w:rFonts w:ascii="Helvetica Neue" w:cs="Helvetica Neue" w:eastAsia="Helvetica Neue" w:hAnsi="Helvetica Neue"/>
          <w:i w:val="1"/>
          <w:sz w:val="20"/>
          <w:szCs w:val="20"/>
          <w:rtl w:val="0"/>
        </w:rPr>
        <w:t xml:space="preserve">Scholarship Assessed</w:t>
      </w:r>
      <w:r w:rsidDel="00000000" w:rsidR="00000000" w:rsidRPr="00000000">
        <w:rPr>
          <w:rFonts w:ascii="Helvetica Neue" w:cs="Helvetica Neue" w:eastAsia="Helvetica Neue" w:hAnsi="Helvetica Neue"/>
          <w:sz w:val="20"/>
          <w:szCs w:val="20"/>
          <w:rtl w:val="0"/>
        </w:rPr>
        <w:t xml:space="preserve"> (Glassick, Huber, &amp; Maeroff, 1997), and work at the University of Kansas (e.g.</w:t>
      </w:r>
      <w:hyperlink r:id="rId11">
        <w:r w:rsidDel="00000000" w:rsidR="00000000" w:rsidRPr="00000000">
          <w:rPr>
            <w:rFonts w:ascii="Helvetica Neue" w:cs="Helvetica Neue" w:eastAsia="Helvetica Neue" w:hAnsi="Helvetica Neue"/>
            <w:sz w:val="20"/>
            <w:szCs w:val="20"/>
            <w:rtl w:val="0"/>
          </w:rPr>
          <w:t xml:space="preserve"> </w:t>
        </w:r>
      </w:hyperlink>
      <w:hyperlink r:id="rId12">
        <w:r w:rsidDel="00000000" w:rsidR="00000000" w:rsidRPr="00000000">
          <w:rPr>
            <w:rFonts w:ascii="Helvetica Neue" w:cs="Helvetica Neue" w:eastAsia="Helvetica Neue" w:hAnsi="Helvetica Neue"/>
            <w:color w:val="1155cc"/>
            <w:sz w:val="20"/>
            <w:szCs w:val="20"/>
            <w:u w:val="single"/>
            <w:rtl w:val="0"/>
          </w:rPr>
          <w:t xml:space="preserve">The Evaluation of Faculty Teaching Rubric</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7">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pageBreakBefore w:val="0"/>
        <w:spacing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Description of components in the TQF Rubric Mapping Tool</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seven dimensions of quality teaching are described in the leftmost column; more fine-grained examples are included (from the “Professional” proficiency level articulated in the 2 page Rubric) to aid understanding of the dimension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three key voices that evidence should be drawn from are the voice of the instructor being evaluated (“self”), the instructor’s </w:t>
      </w:r>
      <w:r w:rsidDel="00000000" w:rsidR="00000000" w:rsidRPr="00000000">
        <w:rPr>
          <w:rFonts w:ascii="Helvetica Neue" w:cs="Helvetica Neue" w:eastAsia="Helvetica Neue" w:hAnsi="Helvetica Neue"/>
          <w:sz w:val="20"/>
          <w:szCs w:val="20"/>
          <w:rtl w:val="0"/>
        </w:rPr>
        <w:t xml:space="preserve">peers</w:t>
      </w:r>
      <w:r w:rsidDel="00000000" w:rsidR="00000000" w:rsidRPr="00000000">
        <w:rPr>
          <w:rFonts w:ascii="Helvetica Neue" w:cs="Helvetica Neue" w:eastAsia="Helvetica Neue" w:hAnsi="Helvetica Neue"/>
          <w:sz w:val="20"/>
          <w:szCs w:val="20"/>
          <w:rtl w:val="0"/>
        </w:rPr>
        <w:t xml:space="preserve"> (“peer”), and the students that the instructor mentors, advises, and/or teaches (“student”). “Voice Rank” is the relative importance of a voice for the given rubric construct: 1 = high importance//high weight, 2 = mid importance/mid-weight, 3 = lowest importance/low weight, and NA = not applicable.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sources of evidence listed in the rightmost columns by voice are not exhaustive, but represent some of the most common/important sources that could be collected from each voice and align with the dimensions of quality teaching.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1">
      <w:pPr>
        <w:pageBreakBefore w:val="0"/>
        <w:widowControl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3">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pageBreakBefore w:val="0"/>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Suggested approach to using the TQF Rubric Mapping Tool</w:t>
      </w:r>
      <w:r w:rsidDel="00000000" w:rsidR="00000000" w:rsidRPr="00000000">
        <w:rPr>
          <w:rtl w:val="0"/>
        </w:rPr>
      </w:r>
    </w:p>
    <w:p w:rsidR="00000000" w:rsidDel="00000000" w:rsidP="00000000" w:rsidRDefault="00000000" w:rsidRPr="00000000" w14:paraId="00000015">
      <w:pPr>
        <w:pageBreakBefore w:val="0"/>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Before beginning, it may be helpful to have already reviewed the 2 page Rubric and be familiar with the seven dimensions of quality teaching. It may also be helpful to pick either annual merit or reappointment/tenure/promotion (RTP) as the evaluation system you want to assess using this tool rather than trying to do both at once (noting that coordinating these in the long term is likely useful). Finally, it may be helpful to have handy any departmental/unit policies and procedures for teaching evaluation and copies of any tools you currently use (e.g., a peer observation protocol, a classroom interview protocol, a list of questions asked on student evaluations of teaching (SETs; known as FCQs at CU), a solicitation you use for getting student letters of support, etc.).</w:t>
      </w:r>
    </w:p>
    <w:p w:rsidR="00000000" w:rsidDel="00000000" w:rsidP="00000000" w:rsidRDefault="00000000" w:rsidRPr="00000000" w14:paraId="00000016">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Step 1: Identify available sources of evidence in your department</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Look at the sources of evidence in the three voice columns to the right for the first dimension (Goals, Content, &amp; Alignment) and identify which, if any, tools your department already uses. If your department uses tools / evidence that are not represented, write them in.</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Repeat for the other six dimensions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Step 2: Consider caveats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data sources you already use, note whether they are typically required for evaluations or if they’re only optional and/or if optional whether they are frequently used or only sporadically. For example: perhaps for peer voice everyone is expected to have a classroom observation on file but while you have access to syllabi/course materials, their review is optional not required and are infrequently included in evaluations.</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Also consider whether the data sources your department has available, as currently specified, would be able to provide evidence for the given dimension of quality teaching For example:</w:t>
      </w:r>
      <w:r w:rsidDel="00000000" w:rsidR="00000000" w:rsidRPr="00000000">
        <w:rPr>
          <w:rFonts w:ascii="Helvetica Neue" w:cs="Helvetica Neue" w:eastAsia="Helvetica Neue" w:hAnsi="Helvetica Neue"/>
          <w:sz w:val="20"/>
          <w:szCs w:val="20"/>
          <w:rtl w:val="0"/>
        </w:rPr>
        <w:t xml:space="preserve"> perhaps</w:t>
      </w:r>
      <w:r w:rsidDel="00000000" w:rsidR="00000000" w:rsidRPr="00000000">
        <w:rPr>
          <w:rFonts w:ascii="Helvetica Neue" w:cs="Helvetica Neue" w:eastAsia="Helvetica Neue" w:hAnsi="Helvetica Neue"/>
          <w:sz w:val="20"/>
          <w:szCs w:val="20"/>
          <w:rtl w:val="0"/>
        </w:rPr>
        <w:t xml:space="preserve"> your department does peer observations but how you do them currently wouldn’t allow you to identify from them whether the instructor has well articulated course goals.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Step 3: Identify gaps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Review your work - are there any gaps that stand out to you? For example:</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Are you completely missing sources of evidence for a whole dimension of quality teaching? </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Is one particular voice missing across several dimensions?</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 you have a lot of caveats for one or more sources, such that you have a source but it doesn’t align with the rubric dimensions very well?</w:t>
      </w:r>
    </w:p>
    <w:p w:rsidR="00000000" w:rsidDel="00000000" w:rsidP="00000000" w:rsidRDefault="00000000" w:rsidRPr="00000000" w14:paraId="00000024">
      <w:pPr>
        <w:pageBreakBefore w:val="0"/>
        <w:widowControl w:val="0"/>
        <w:numPr>
          <w:ilvl w:val="0"/>
          <w:numId w:val="1"/>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List out these gaps</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Note: be sure to keep in mind the “voice rank” column. Some voices may be more or less important for a given dimension e.g., student voice is not applicable to “Reflection, Development, and Teaching Service/Scholarship” and so not having any student voice for that dimension would not be a gap.</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Step 4: Discuss gaps and identify the one(s) you will begin working on</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From the list of identified gaps, which do you think may be easier/harder to tackle in your department? Or, which are you most/least interested in tackling? You may want to prioritize tackling low hanging fruit and/or gaps that you think there would be particular interest in your department for addressing. For example: If you do peer observation and letters are required in your RTP packets but they don’t align with the rubric very well and/or aren’t particularly structured - Do you think your department would be open to the idea of more structure? If so, the TQF has templates and a variety of department examples that you could get started on right away.</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Make a d</w:t>
      </w:r>
      <w:r w:rsidDel="00000000" w:rsidR="00000000" w:rsidRPr="00000000">
        <w:rPr>
          <w:rFonts w:ascii="Helvetica Neue" w:cs="Helvetica Neue" w:eastAsia="Helvetica Neue" w:hAnsi="Helvetica Neue"/>
          <w:sz w:val="20"/>
          <w:szCs w:val="20"/>
          <w:rtl w:val="0"/>
        </w:rPr>
        <w:t xml:space="preserve">ecision on a tool and/or process that you would like to work on first and outline a plan for other gaps you think you could work 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0"/>
          <w:szCs w:val="20"/>
        </w:rPr>
      </w:pPr>
      <w:r w:rsidDel="00000000" w:rsidR="00000000" w:rsidRPr="00000000">
        <w:rPr>
          <w:rtl w:val="0"/>
        </w:rPr>
      </w:r>
    </w:p>
    <w:tbl>
      <w:tblPr>
        <w:tblStyle w:val="Table1"/>
        <w:tblW w:w="137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4770"/>
        <w:gridCol w:w="1545"/>
        <w:gridCol w:w="1695"/>
        <w:gridCol w:w="1850"/>
        <w:gridCol w:w="1850"/>
        <w:tblGridChange w:id="0">
          <w:tblGrid>
            <w:gridCol w:w="2055"/>
            <w:gridCol w:w="4770"/>
            <w:gridCol w:w="1545"/>
            <w:gridCol w:w="1695"/>
            <w:gridCol w:w="1850"/>
            <w:gridCol w:w="1850"/>
          </w:tblGrid>
        </w:tblGridChange>
      </w:tblGrid>
      <w:tr>
        <w:trPr>
          <w:cantSplit w:val="0"/>
          <w:trHeight w:val="280" w:hRule="atLeast"/>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2B">
            <w:pPr>
              <w:pageBreakBefore w:val="0"/>
              <w:rPr>
                <w:sz w:val="16"/>
                <w:szCs w:val="16"/>
              </w:rPr>
            </w:pPr>
            <w:r w:rsidDel="00000000" w:rsidR="00000000" w:rsidRPr="00000000">
              <w:rPr>
                <w:rtl w:val="0"/>
              </w:rPr>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2C">
            <w:pPr>
              <w:pageBreakBefore w:val="0"/>
              <w:widowControl w:val="0"/>
              <w:spacing w:line="276" w:lineRule="auto"/>
              <w:jc w:val="center"/>
              <w:rPr>
                <w:rFonts w:ascii="Times New Roman" w:cs="Times New Roman" w:eastAsia="Times New Roman" w:hAnsi="Times New Roman"/>
                <w:sz w:val="18"/>
                <w:szCs w:val="18"/>
              </w:rPr>
            </w:pPr>
            <w:r w:rsidDel="00000000" w:rsidR="00000000" w:rsidRPr="00000000">
              <w:rPr>
                <w:rFonts w:ascii="Helvetica Neue" w:cs="Helvetica Neue" w:eastAsia="Helvetica Neue" w:hAnsi="Helvetica Neue"/>
                <w:sz w:val="20"/>
                <w:szCs w:val="20"/>
                <w:rtl w:val="0"/>
              </w:rPr>
              <w:t xml:space="preserve">TQF Rubric Mapping Tool (1/2)</w:t>
            </w:r>
            <w:r w:rsidDel="00000000" w:rsidR="00000000" w:rsidRPr="00000000">
              <w:rPr>
                <w:rtl w:val="0"/>
              </w:rPr>
            </w:r>
          </w:p>
        </w:tc>
        <w:tc>
          <w:tcPr>
            <w:tcBorders>
              <w:top w:color="ffffff" w:space="0" w:sz="4" w:val="single"/>
              <w:left w:color="ffffff" w:space="0" w:sz="4" w:val="single"/>
            </w:tcBorders>
          </w:tcPr>
          <w:p w:rsidR="00000000" w:rsidDel="00000000" w:rsidP="00000000" w:rsidRDefault="00000000" w:rsidRPr="00000000" w14:paraId="0000002D">
            <w:pPr>
              <w:pageBreakBefore w:val="0"/>
              <w:jc w:val="center"/>
              <w:rPr>
                <w:rFonts w:ascii="Times New Roman" w:cs="Times New Roman" w:eastAsia="Times New Roman" w:hAnsi="Times New Roman"/>
                <w:sz w:val="18"/>
                <w:szCs w:val="18"/>
              </w:rPr>
            </w:pPr>
            <w:r w:rsidDel="00000000" w:rsidR="00000000" w:rsidRPr="00000000">
              <w:rPr>
                <w:rtl w:val="0"/>
              </w:rPr>
            </w:r>
          </w:p>
        </w:tc>
        <w:tc>
          <w:tcPr>
            <w:gridSpan w:val="3"/>
          </w:tcPr>
          <w:p w:rsidR="00000000" w:rsidDel="00000000" w:rsidP="00000000" w:rsidRDefault="00000000" w:rsidRPr="00000000" w14:paraId="0000002E">
            <w:pPr>
              <w:pageBreakBefore w:val="0"/>
              <w:jc w:val="center"/>
              <w:rPr>
                <w:rFonts w:ascii="Times New Roman" w:cs="Times New Roman" w:eastAsia="Times New Roman" w:hAnsi="Times New Roman"/>
                <w:sz w:val="18"/>
                <w:szCs w:val="18"/>
                <w:vertAlign w:val="superscript"/>
              </w:rPr>
            </w:pPr>
            <w:r w:rsidDel="00000000" w:rsidR="00000000" w:rsidRPr="00000000">
              <w:rPr>
                <w:rFonts w:ascii="Times New Roman" w:cs="Times New Roman" w:eastAsia="Times New Roman" w:hAnsi="Times New Roman"/>
                <w:sz w:val="18"/>
                <w:szCs w:val="18"/>
                <w:rtl w:val="0"/>
              </w:rPr>
              <w:t xml:space="preserve">Sample Sources of evidence you could collect</w:t>
            </w:r>
            <w:r w:rsidDel="00000000" w:rsidR="00000000" w:rsidRPr="00000000">
              <w:rPr>
                <w:rtl w:val="0"/>
              </w:rPr>
            </w:r>
          </w:p>
        </w:tc>
      </w:tr>
      <w:tr>
        <w:trPr>
          <w:cantSplit w:val="0"/>
          <w:trHeight w:val="140" w:hRule="atLeast"/>
          <w:tblHeader w:val="0"/>
        </w:trPr>
        <w:tc>
          <w:tcPr>
            <w:vAlign w:val="center"/>
          </w:tcPr>
          <w:p w:rsidR="00000000" w:rsidDel="00000000" w:rsidP="00000000" w:rsidRDefault="00000000" w:rsidRPr="00000000" w14:paraId="00000031">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Dimension of Quality Teaching</w:t>
            </w:r>
          </w:p>
        </w:tc>
        <w:tc>
          <w:tcPr>
            <w:vAlign w:val="center"/>
          </w:tcPr>
          <w:p w:rsidR="00000000" w:rsidDel="00000000" w:rsidP="00000000" w:rsidRDefault="00000000" w:rsidRPr="00000000" w14:paraId="00000032">
            <w:pPr>
              <w:pageBreakBefore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Professional (3)</w:t>
            </w:r>
            <w:r w:rsidDel="00000000" w:rsidR="00000000" w:rsidRPr="00000000">
              <w:rPr>
                <w:rtl w:val="0"/>
              </w:rPr>
            </w:r>
          </w:p>
        </w:tc>
        <w:tc>
          <w:tcPr>
            <w:vAlign w:val="center"/>
          </w:tcPr>
          <w:p w:rsidR="00000000" w:rsidDel="00000000" w:rsidP="00000000" w:rsidRDefault="00000000" w:rsidRPr="00000000" w14:paraId="00000033">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rtl w:val="0"/>
              </w:rPr>
              <w:t xml:space="preserve">Voice Rank</w:t>
            </w:r>
            <w:r w:rsidDel="00000000" w:rsidR="00000000" w:rsidRPr="00000000">
              <w:rPr>
                <w:rtl w:val="0"/>
              </w:rPr>
            </w:r>
          </w:p>
        </w:tc>
        <w:tc>
          <w:tcPr/>
          <w:p w:rsidR="00000000" w:rsidDel="00000000" w:rsidP="00000000" w:rsidRDefault="00000000" w:rsidRPr="00000000" w14:paraId="00000034">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04800" cy="238125"/>
                  <wp:effectExtent b="0" l="0" r="0" t="0"/>
                  <wp:docPr id="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304800" cy="2381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5">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52425" cy="257175"/>
                  <wp:effectExtent b="0" l="0" r="0" t="0"/>
                  <wp:docPr id="36"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352425" cy="2571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6">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495300" cy="247650"/>
                  <wp:effectExtent b="0" l="0" r="0" t="0"/>
                  <wp:docPr id="32"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495300" cy="247650"/>
                          </a:xfrm>
                          <a:prstGeom prst="rect"/>
                          <a:ln/>
                        </pic:spPr>
                      </pic:pic>
                    </a:graphicData>
                  </a:graphic>
                </wp:inline>
              </w:drawing>
            </w:r>
            <w:r w:rsidDel="00000000" w:rsidR="00000000" w:rsidRPr="00000000">
              <w:rPr>
                <w:rtl w:val="0"/>
              </w:rPr>
            </w:r>
          </w:p>
        </w:tc>
      </w:tr>
      <w:tr>
        <w:trPr>
          <w:cantSplit w:val="0"/>
          <w:trHeight w:val="435" w:hRule="atLeast"/>
          <w:tblHeader w:val="0"/>
        </w:trPr>
        <w:tc>
          <w:tcPr>
            <w:vMerge w:val="restart"/>
          </w:tcPr>
          <w:p w:rsidR="00000000" w:rsidDel="00000000" w:rsidP="00000000" w:rsidRDefault="00000000" w:rsidRPr="00000000" w14:paraId="00000037">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Goals, Content, and Alignment</w:t>
            </w: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What are students expected to learn from the courses taught? Are course goals appropriately challenging? Is content aligned with the curriculum?</w:t>
            </w:r>
          </w:p>
        </w:tc>
        <w:tc>
          <w:tcPr>
            <w:tcBorders>
              <w:bottom w:color="bfbfbf" w:space="0" w:sz="4" w:val="single"/>
            </w:tcBorders>
            <w:vAlign w:val="center"/>
          </w:tcPr>
          <w:p w:rsidR="00000000" w:rsidDel="00000000" w:rsidP="00000000" w:rsidRDefault="00000000" w:rsidRPr="00000000" w14:paraId="00000039">
            <w:pPr>
              <w:pageBreakBefore w:val="0"/>
              <w:widowControl w:val="0"/>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Learning goals are explicit and regularly communicated to students. Inclusion of all students is a goal.</w:t>
            </w:r>
            <w:r w:rsidDel="00000000" w:rsidR="00000000" w:rsidRPr="00000000">
              <w:rPr>
                <w:rtl w:val="0"/>
              </w:rPr>
            </w:r>
          </w:p>
        </w:tc>
        <w:tc>
          <w:tcPr/>
          <w:p w:rsidR="00000000" w:rsidDel="00000000" w:rsidP="00000000" w:rsidRDefault="00000000" w:rsidRPr="00000000" w14:paraId="0000003A">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23"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78" name="image21.png"/>
                  <a:graphic>
                    <a:graphicData uri="http://schemas.openxmlformats.org/drawingml/2006/picture">
                      <pic:pic>
                        <pic:nvPicPr>
                          <pic:cNvPr id="0" name="image21.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80975" cy="209550"/>
                  <wp:effectExtent b="0" l="0" r="0" t="0"/>
                  <wp:docPr id="38" name="image22.png"/>
                  <a:graphic>
                    <a:graphicData uri="http://schemas.openxmlformats.org/drawingml/2006/picture">
                      <pic:pic>
                        <pic:nvPicPr>
                          <pic:cNvPr id="0" name="image22.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restart"/>
            <w:tcBorders>
              <w:bottom w:color="bfbfbf" w:space="0" w:sz="4" w:val="single"/>
            </w:tcBorders>
          </w:tcPr>
          <w:p w:rsidR="00000000" w:rsidDel="00000000" w:rsidP="00000000" w:rsidRDefault="00000000" w:rsidRPr="00000000" w14:paraId="0000003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03C">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03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portfolio</w:t>
            </w:r>
          </w:p>
        </w:tc>
        <w:tc>
          <w:tcPr>
            <w:vMerge w:val="restart"/>
            <w:tcBorders>
              <w:bottom w:color="bfbfbf" w:space="0" w:sz="4" w:val="single"/>
            </w:tcBorders>
          </w:tcPr>
          <w:p w:rsidR="00000000" w:rsidDel="00000000" w:rsidP="00000000" w:rsidRDefault="00000000" w:rsidRPr="00000000" w14:paraId="0000004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observation</w:t>
            </w:r>
          </w:p>
          <w:p w:rsidR="00000000" w:rsidDel="00000000" w:rsidP="00000000" w:rsidRDefault="00000000" w:rsidRPr="00000000" w14:paraId="00000041">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syllabus/ course materials</w:t>
            </w:r>
          </w:p>
          <w:p w:rsidR="00000000" w:rsidDel="00000000" w:rsidP="00000000" w:rsidRDefault="00000000" w:rsidRPr="00000000" w14:paraId="00000043">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portfolio</w:t>
            </w:r>
          </w:p>
          <w:p w:rsidR="00000000" w:rsidDel="00000000" w:rsidP="00000000" w:rsidRDefault="00000000" w:rsidRPr="00000000" w14:paraId="00000045">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learning objectives</w:t>
            </w:r>
          </w:p>
        </w:tc>
        <w:tc>
          <w:tcPr>
            <w:vMerge w:val="restart"/>
            <w:tcBorders>
              <w:bottom w:color="bfbfbf" w:space="0" w:sz="4" w:val="single"/>
            </w:tcBorders>
          </w:tcPr>
          <w:p w:rsidR="00000000" w:rsidDel="00000000" w:rsidP="00000000" w:rsidRDefault="00000000" w:rsidRPr="00000000" w14:paraId="00000047">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interviews</w:t>
            </w: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SETs</w:t>
            </w:r>
          </w:p>
          <w:p w:rsidR="00000000" w:rsidDel="00000000" w:rsidP="00000000" w:rsidRDefault="00000000" w:rsidRPr="00000000" w14:paraId="0000004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letters</w:t>
            </w:r>
          </w:p>
        </w:tc>
      </w:tr>
      <w:tr>
        <w:trPr>
          <w:cantSplit w:val="0"/>
          <w:trHeight w:val="450"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4D">
            <w:pPr>
              <w:pageBreakBefore w:val="0"/>
              <w:widowControl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materials/content are aligned with course goal, include high-quality elements</w:t>
            </w:r>
          </w:p>
        </w:tc>
        <w:tc>
          <w:tcPr>
            <w:tcBorders>
              <w:top w:color="bfbfbf" w:space="0" w:sz="4" w:val="single"/>
            </w:tcBorders>
          </w:tcPr>
          <w:p w:rsidR="00000000" w:rsidDel="00000000" w:rsidP="00000000" w:rsidRDefault="00000000" w:rsidRPr="00000000" w14:paraId="0000004E">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53"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80975" cy="209550"/>
                  <wp:effectExtent b="0" l="0" r="0" t="0"/>
                  <wp:docPr id="4"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4F">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50">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51">
            <w:pPr>
              <w:pageBreakBefore w:val="0"/>
              <w:spacing w:after="0" w:before="0" w:line="240" w:lineRule="auto"/>
              <w:ind w:left="0" w:firstLine="0"/>
              <w:rPr>
                <w:sz w:val="16"/>
                <w:szCs w:val="16"/>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53">
            <w:pPr>
              <w:pageBreakBefore w:val="0"/>
              <w:widowControl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Range/depth of course topics is appropriate, integrate other topics/courses</w:t>
            </w:r>
          </w:p>
        </w:tc>
        <w:tc>
          <w:tcPr>
            <w:tcBorders>
              <w:top w:color="bfbfbf" w:space="0" w:sz="4" w:val="single"/>
            </w:tcBorders>
          </w:tcPr>
          <w:p w:rsidR="00000000" w:rsidDel="00000000" w:rsidP="00000000" w:rsidRDefault="00000000" w:rsidRPr="00000000" w14:paraId="00000054">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81" name="image25.png"/>
                  <a:graphic>
                    <a:graphicData uri="http://schemas.openxmlformats.org/drawingml/2006/picture">
                      <pic:pic>
                        <pic:nvPicPr>
                          <pic:cNvPr id="0" name="image25.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49"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64" name="image17.png"/>
                  <a:graphic>
                    <a:graphicData uri="http://schemas.openxmlformats.org/drawingml/2006/picture">
                      <pic:pic>
                        <pic:nvPicPr>
                          <pic:cNvPr id="0" name="image17.png"/>
                          <pic:cNvPicPr preferRelativeResize="0"/>
                        </pic:nvPicPr>
                        <pic:blipFill>
                          <a:blip r:embed="rId19"/>
                          <a:srcRect b="0" l="0" r="0" t="0"/>
                          <a:stretch>
                            <a:fillRect/>
                          </a:stretch>
                        </pic:blipFill>
                        <pic:spPr>
                          <a:xfrm>
                            <a:off x="0" y="0"/>
                            <a:ext cx="180975"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55">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56">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57">
            <w:pPr>
              <w:pageBreakBefore w:val="0"/>
              <w:spacing w:after="0" w:before="0" w:line="240" w:lineRule="auto"/>
              <w:ind w:left="0" w:firstLine="0"/>
              <w:rPr>
                <w:sz w:val="16"/>
                <w:szCs w:val="16"/>
              </w:rPr>
            </w:pPr>
            <w:r w:rsidDel="00000000" w:rsidR="00000000" w:rsidRPr="00000000">
              <w:rPr>
                <w:rtl w:val="0"/>
              </w:rPr>
            </w:r>
          </w:p>
        </w:tc>
      </w:tr>
      <w:tr>
        <w:trPr>
          <w:cantSplit w:val="0"/>
          <w:trHeight w:val="460"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5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examples of innovation, connection to current issues, developments in field</w:t>
            </w:r>
          </w:p>
        </w:tc>
        <w:tc>
          <w:tcPr>
            <w:tcBorders>
              <w:top w:color="bfbfbf" w:space="0" w:sz="4" w:val="single"/>
            </w:tcBorders>
          </w:tcPr>
          <w:p w:rsidR="00000000" w:rsidDel="00000000" w:rsidP="00000000" w:rsidRDefault="00000000" w:rsidRPr="00000000" w14:paraId="0000005A">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1"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35"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21"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180975" cy="200025"/>
                          </a:xfrm>
                          <a:prstGeom prst="rect"/>
                          <a:ln/>
                        </pic:spPr>
                      </pic:pic>
                    </a:graphicData>
                  </a:graphic>
                </wp:inline>
              </w:drawing>
            </w: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5B">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5C">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5D">
            <w:pPr>
              <w:pageBreakBefore w:val="0"/>
              <w:spacing w:after="0" w:before="0" w:line="240" w:lineRule="auto"/>
              <w:ind w:left="0" w:firstLine="0"/>
              <w:rPr>
                <w:sz w:val="16"/>
                <w:szCs w:val="16"/>
              </w:rPr>
            </w:pPr>
            <w:r w:rsidDel="00000000" w:rsidR="00000000" w:rsidRPr="00000000">
              <w:rPr>
                <w:rtl w:val="0"/>
              </w:rPr>
            </w:r>
          </w:p>
        </w:tc>
      </w:tr>
      <w:tr>
        <w:trPr>
          <w:cantSplit w:val="0"/>
          <w:trHeight w:val="315" w:hRule="atLeast"/>
          <w:tblHeader w:val="0"/>
        </w:trPr>
        <w:tc>
          <w:tcPr>
            <w:vMerge w:val="restart"/>
          </w:tcPr>
          <w:p w:rsidR="00000000" w:rsidDel="00000000" w:rsidP="00000000" w:rsidRDefault="00000000" w:rsidRPr="00000000" w14:paraId="0000005E">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Preparation for Teaching</w:t>
            </w:r>
          </w:p>
          <w:p w:rsidR="00000000" w:rsidDel="00000000" w:rsidP="00000000" w:rsidRDefault="00000000" w:rsidRPr="00000000" w14:paraId="0000005F">
            <w:pPr>
              <w:pageBreakBefore w:val="0"/>
              <w:rPr>
                <w:sz w:val="16"/>
                <w:szCs w:val="16"/>
              </w:rPr>
            </w:pPr>
            <w:r w:rsidDel="00000000" w:rsidR="00000000" w:rsidRPr="00000000">
              <w:rPr>
                <w:rFonts w:ascii="Times New Roman" w:cs="Times New Roman" w:eastAsia="Times New Roman" w:hAnsi="Times New Roman"/>
                <w:i w:val="1"/>
                <w:sz w:val="16"/>
                <w:szCs w:val="16"/>
                <w:rtl w:val="0"/>
              </w:rPr>
              <w:t xml:space="preserve">Content/ Background Knowledge; Pedagogical Knowledge (i.e. teaching generally and teaching subject material); Classroom mechanics preparation (e.g. grading, prepping activities, materials, tech use, etc)</w:t>
            </w: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60">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practices/methods or materials are evidence-based, shown to enable learning</w:t>
            </w:r>
            <w:r w:rsidDel="00000000" w:rsidR="00000000" w:rsidRPr="00000000">
              <w:rPr>
                <w:rtl w:val="0"/>
              </w:rPr>
            </w:r>
          </w:p>
        </w:tc>
        <w:tc>
          <w:tcPr/>
          <w:p w:rsidR="00000000" w:rsidDel="00000000" w:rsidP="00000000" w:rsidRDefault="00000000" w:rsidRPr="00000000" w14:paraId="00000061">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87"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30"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266700" cy="209550"/>
                  <wp:effectExtent b="0" l="0" r="0" t="0"/>
                  <wp:docPr id="5"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66700" cy="209550"/>
                          </a:xfrm>
                          <a:prstGeom prst="rect"/>
                          <a:ln/>
                        </pic:spPr>
                      </pic:pic>
                    </a:graphicData>
                  </a:graphic>
                </wp:inline>
              </w:drawing>
            </w:r>
            <w:r w:rsidDel="00000000" w:rsidR="00000000" w:rsidRPr="00000000">
              <w:rPr>
                <w:rtl w:val="0"/>
              </w:rPr>
            </w:r>
          </w:p>
        </w:tc>
        <w:tc>
          <w:tcPr>
            <w:vMerge w:val="restart"/>
            <w:tcBorders>
              <w:bottom w:color="bfbfbf" w:space="0" w:sz="4" w:val="single"/>
            </w:tcBorders>
          </w:tcPr>
          <w:p w:rsidR="00000000" w:rsidDel="00000000" w:rsidP="00000000" w:rsidRDefault="00000000" w:rsidRPr="00000000" w14:paraId="00000062">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06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065">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portfolio</w:t>
            </w:r>
          </w:p>
        </w:tc>
        <w:tc>
          <w:tcPr>
            <w:vMerge w:val="restart"/>
            <w:tcBorders>
              <w:bottom w:color="bfbfbf" w:space="0" w:sz="4" w:val="single"/>
            </w:tcBorders>
          </w:tcPr>
          <w:p w:rsidR="00000000" w:rsidDel="00000000" w:rsidP="00000000" w:rsidRDefault="00000000" w:rsidRPr="00000000" w14:paraId="00000067">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observation</w:t>
            </w:r>
          </w:p>
          <w:p w:rsidR="00000000" w:rsidDel="00000000" w:rsidP="00000000" w:rsidRDefault="00000000" w:rsidRPr="00000000" w14:paraId="0000006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syllabus/ course materials</w:t>
            </w:r>
          </w:p>
          <w:p w:rsidR="00000000" w:rsidDel="00000000" w:rsidP="00000000" w:rsidRDefault="00000000" w:rsidRPr="00000000" w14:paraId="0000006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portfolio</w:t>
            </w:r>
          </w:p>
          <w:p w:rsidR="00000000" w:rsidDel="00000000" w:rsidP="00000000" w:rsidRDefault="00000000" w:rsidRPr="00000000" w14:paraId="0000006C">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Faculty interviews</w:t>
            </w:r>
          </w:p>
        </w:tc>
        <w:tc>
          <w:tcPr>
            <w:vMerge w:val="restart"/>
            <w:tcBorders>
              <w:bottom w:color="bfbfbf" w:space="0" w:sz="4" w:val="single"/>
            </w:tcBorders>
          </w:tcPr>
          <w:p w:rsidR="00000000" w:rsidDel="00000000" w:rsidP="00000000" w:rsidRDefault="00000000" w:rsidRPr="00000000" w14:paraId="0000006E">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interviews</w:t>
            </w:r>
          </w:p>
          <w:p w:rsidR="00000000" w:rsidDel="00000000" w:rsidP="00000000" w:rsidRDefault="00000000" w:rsidRPr="00000000" w14:paraId="0000006F">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SETs</w:t>
            </w:r>
          </w:p>
          <w:p w:rsidR="00000000" w:rsidDel="00000000" w:rsidP="00000000" w:rsidRDefault="00000000" w:rsidRPr="00000000" w14:paraId="00000071">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letters</w:t>
            </w:r>
          </w:p>
        </w:tc>
      </w:tr>
      <w:tr>
        <w:trPr>
          <w:cantSplit w:val="0"/>
          <w:trHeight w:val="480"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74">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w:t>
            </w:r>
            <w:r w:rsidDel="00000000" w:rsidR="00000000" w:rsidRPr="00000000">
              <w:rPr>
                <w:rFonts w:ascii="Times New Roman" w:cs="Times New Roman" w:eastAsia="Times New Roman" w:hAnsi="Times New Roman"/>
                <w:sz w:val="18"/>
                <w:szCs w:val="18"/>
                <w:rtl w:val="0"/>
              </w:rPr>
              <w:t xml:space="preserve">ctivities/innovations to help students overcome common challenges</w:t>
            </w:r>
            <w:r w:rsidDel="00000000" w:rsidR="00000000" w:rsidRPr="00000000">
              <w:rPr>
                <w:rtl w:val="0"/>
              </w:rPr>
            </w:r>
          </w:p>
        </w:tc>
        <w:tc>
          <w:tcPr>
            <w:tcBorders>
              <w:top w:color="bfbfbf" w:space="0" w:sz="4" w:val="single"/>
            </w:tcBorders>
          </w:tcPr>
          <w:p w:rsidR="00000000" w:rsidDel="00000000" w:rsidP="00000000" w:rsidRDefault="00000000" w:rsidRPr="00000000" w14:paraId="00000075">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2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68"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266700" cy="209550"/>
                  <wp:effectExtent b="0" l="0" r="0" t="0"/>
                  <wp:docPr id="19"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266700" cy="209550"/>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76">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77">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78">
            <w:pPr>
              <w:pageBreakBefore w:val="0"/>
              <w:spacing w:after="0" w:before="0" w:line="240" w:lineRule="auto"/>
              <w:ind w:left="0" w:firstLine="0"/>
              <w:rPr>
                <w:sz w:val="16"/>
                <w:szCs w:val="16"/>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7A">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practices/methods are attentive to inclusion, particularly for students from historically underrepresented and marginalized groups in the field/academia.</w:t>
            </w:r>
          </w:p>
        </w:tc>
        <w:tc>
          <w:tcPr>
            <w:tcBorders>
              <w:top w:color="bfbfbf" w:space="0" w:sz="4" w:val="single"/>
            </w:tcBorders>
          </w:tcPr>
          <w:p w:rsidR="00000000" w:rsidDel="00000000" w:rsidP="00000000" w:rsidRDefault="00000000" w:rsidRPr="00000000" w14:paraId="0000007B">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8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7"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61"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7C">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7D">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7E">
            <w:pPr>
              <w:pageBreakBefore w:val="0"/>
              <w:spacing w:after="0" w:before="0" w:line="240" w:lineRule="auto"/>
              <w:ind w:left="0" w:firstLine="0"/>
              <w:rPr>
                <w:sz w:val="16"/>
                <w:szCs w:val="16"/>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8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rFonts w:ascii="Times New Roman" w:cs="Times New Roman" w:eastAsia="Times New Roman" w:hAnsi="Times New Roman"/>
                <w:sz w:val="18"/>
                <w:szCs w:val="18"/>
                <w:rtl w:val="0"/>
              </w:rPr>
              <w:t xml:space="preserve">ourse materials are well-planned, integrated, and reflect commitment to meaningful assignments</w:t>
            </w:r>
          </w:p>
        </w:tc>
        <w:tc>
          <w:tcPr>
            <w:tcBorders>
              <w:top w:color="bfbfbf" w:space="0" w:sz="4" w:val="single"/>
            </w:tcBorders>
          </w:tcPr>
          <w:p w:rsidR="00000000" w:rsidDel="00000000" w:rsidP="00000000" w:rsidRDefault="00000000" w:rsidRPr="00000000" w14:paraId="00000081">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48"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20"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80975" cy="209550"/>
                  <wp:effectExtent b="0" l="0" r="0" t="0"/>
                  <wp:docPr id="73" name="image27.png"/>
                  <a:graphic>
                    <a:graphicData uri="http://schemas.openxmlformats.org/drawingml/2006/picture">
                      <pic:pic>
                        <pic:nvPicPr>
                          <pic:cNvPr id="0" name="image27.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82">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83">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84">
            <w:pPr>
              <w:pageBreakBefore w:val="0"/>
              <w:spacing w:after="0" w:before="0" w:line="240" w:lineRule="auto"/>
              <w:ind w:left="0" w:firstLine="0"/>
              <w:rPr>
                <w:sz w:val="16"/>
                <w:szCs w:val="16"/>
              </w:rPr>
            </w:pPr>
            <w:r w:rsidDel="00000000" w:rsidR="00000000" w:rsidRPr="00000000">
              <w:rPr>
                <w:rtl w:val="0"/>
              </w:rPr>
            </w:r>
          </w:p>
        </w:tc>
      </w:tr>
      <w:tr>
        <w:trPr>
          <w:cantSplit w:val="0"/>
          <w:trHeight w:val="480" w:hRule="atLeast"/>
          <w:tblHeader w:val="0"/>
        </w:trPr>
        <w:tc>
          <w:tcPr>
            <w:vMerge w:val="restart"/>
          </w:tcPr>
          <w:p w:rsidR="00000000" w:rsidDel="00000000" w:rsidP="00000000" w:rsidRDefault="00000000" w:rsidRPr="00000000" w14:paraId="00000085">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Methods and Teaching Practices</w:t>
            </w:r>
          </w:p>
          <w:p w:rsidR="00000000" w:rsidDel="00000000" w:rsidP="00000000" w:rsidRDefault="00000000" w:rsidRPr="00000000" w14:paraId="00000086">
            <w:pPr>
              <w:pageBreakBefore w:val="0"/>
              <w:rPr>
                <w:sz w:val="16"/>
                <w:szCs w:val="16"/>
              </w:rPr>
            </w:pPr>
            <w:r w:rsidDel="00000000" w:rsidR="00000000" w:rsidRPr="00000000">
              <w:rPr>
                <w:rFonts w:ascii="Times New Roman" w:cs="Times New Roman" w:eastAsia="Times New Roman" w:hAnsi="Times New Roman"/>
                <w:i w:val="1"/>
                <w:sz w:val="16"/>
                <w:szCs w:val="16"/>
                <w:rtl w:val="0"/>
              </w:rPr>
              <w:t xml:space="preserve">What assignments, assessments, and activities are implemented? Are methods appropriate for environment and aligned for student population (inclusive ed, course level) and goals (departmental, course, student)</w:t>
            </w: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87">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Often uses effective or innovative evidence-based* methods to improve understanding, </w:t>
            </w:r>
            <w:r w:rsidDel="00000000" w:rsidR="00000000" w:rsidRPr="00000000">
              <w:rPr>
                <w:rFonts w:ascii="Times New Roman" w:cs="Times New Roman" w:eastAsia="Times New Roman" w:hAnsi="Times New Roman"/>
                <w:sz w:val="18"/>
                <w:szCs w:val="18"/>
                <w:rtl w:val="0"/>
              </w:rPr>
              <w:t xml:space="preserve">including inclusive pedagogy techniques</w:t>
            </w:r>
            <w:r w:rsidDel="00000000" w:rsidR="00000000" w:rsidRPr="00000000">
              <w:rPr>
                <w:rFonts w:ascii="Times New Roman" w:cs="Times New Roman" w:eastAsia="Times New Roman" w:hAnsi="Times New Roman"/>
                <w:sz w:val="18"/>
                <w:szCs w:val="18"/>
                <w:rtl w:val="0"/>
              </w:rPr>
              <w:t xml:space="preserve"> *See: NAS Indicators (2018)</w:t>
            </w:r>
          </w:p>
        </w:tc>
        <w:tc>
          <w:tcPr/>
          <w:p w:rsidR="00000000" w:rsidDel="00000000" w:rsidP="00000000" w:rsidRDefault="00000000" w:rsidRPr="00000000" w14:paraId="00000088">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8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37"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80975" cy="209550"/>
                  <wp:effectExtent b="0" l="0" r="0" t="0"/>
                  <wp:docPr id="92"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restart"/>
            <w:tcBorders>
              <w:bottom w:color="bfbfbf" w:space="0" w:sz="4" w:val="single"/>
            </w:tcBorders>
          </w:tcPr>
          <w:p w:rsidR="00000000" w:rsidDel="00000000" w:rsidP="00000000" w:rsidRDefault="00000000" w:rsidRPr="00000000" w14:paraId="0000008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08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08C">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portfolio</w:t>
            </w:r>
          </w:p>
          <w:p w:rsidR="00000000" w:rsidDel="00000000" w:rsidP="00000000" w:rsidRDefault="00000000" w:rsidRPr="00000000" w14:paraId="0000008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Inventory (e.g., TPI)</w:t>
            </w:r>
            <w:r w:rsidDel="00000000" w:rsidR="00000000" w:rsidRPr="00000000">
              <w:rPr>
                <w:rtl w:val="0"/>
              </w:rPr>
            </w:r>
          </w:p>
        </w:tc>
        <w:tc>
          <w:tcPr>
            <w:vMerge w:val="restart"/>
            <w:tcBorders>
              <w:bottom w:color="bfbfbf" w:space="0" w:sz="4" w:val="single"/>
            </w:tcBorders>
          </w:tcPr>
          <w:p w:rsidR="00000000" w:rsidDel="00000000" w:rsidP="00000000" w:rsidRDefault="00000000" w:rsidRPr="00000000" w14:paraId="0000009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observation</w:t>
            </w:r>
          </w:p>
          <w:p w:rsidR="00000000" w:rsidDel="00000000" w:rsidP="00000000" w:rsidRDefault="00000000" w:rsidRPr="00000000" w14:paraId="00000091">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syllabus/ course materials</w:t>
            </w:r>
          </w:p>
          <w:p w:rsidR="00000000" w:rsidDel="00000000" w:rsidP="00000000" w:rsidRDefault="00000000" w:rsidRPr="00000000" w14:paraId="00000093">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portfolio</w:t>
            </w:r>
          </w:p>
          <w:p w:rsidR="00000000" w:rsidDel="00000000" w:rsidP="00000000" w:rsidRDefault="00000000" w:rsidRPr="00000000" w14:paraId="00000095">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COPUS</w:t>
            </w:r>
          </w:p>
          <w:p w:rsidR="00000000" w:rsidDel="00000000" w:rsidP="00000000" w:rsidRDefault="00000000" w:rsidRPr="00000000" w14:paraId="00000097">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8">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Inventory (e.g., TBI)</w:t>
            </w:r>
          </w:p>
        </w:tc>
        <w:tc>
          <w:tcPr>
            <w:vMerge w:val="restart"/>
            <w:tcBorders>
              <w:bottom w:color="bfbfbf" w:space="0" w:sz="4" w:val="single"/>
            </w:tcBorders>
          </w:tcPr>
          <w:p w:rsidR="00000000" w:rsidDel="00000000" w:rsidP="00000000" w:rsidRDefault="00000000" w:rsidRPr="00000000" w14:paraId="0000009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interviews</w:t>
            </w:r>
          </w:p>
          <w:p w:rsidR="00000000" w:rsidDel="00000000" w:rsidP="00000000" w:rsidRDefault="00000000" w:rsidRPr="00000000" w14:paraId="0000009A">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SETs</w:t>
            </w:r>
          </w:p>
          <w:p w:rsidR="00000000" w:rsidDel="00000000" w:rsidP="00000000" w:rsidRDefault="00000000" w:rsidRPr="00000000" w14:paraId="0000009C">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letters</w:t>
            </w:r>
          </w:p>
          <w:p w:rsidR="00000000" w:rsidDel="00000000" w:rsidP="00000000" w:rsidRDefault="00000000" w:rsidRPr="00000000" w14:paraId="0000009E">
            <w:pPr>
              <w:pageBreakBefore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Survey/Inventory (e.g., SALG, TBI)</w:t>
            </w:r>
          </w:p>
        </w:tc>
      </w:tr>
      <w:tr>
        <w:trPr>
          <w:cantSplit w:val="0"/>
          <w:trHeight w:val="480"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A1">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provide opportunities for practice/ feedback on important skills and concepts</w:t>
            </w:r>
          </w:p>
        </w:tc>
        <w:tc>
          <w:tcPr>
            <w:tcBorders>
              <w:top w:color="bfbfbf" w:space="0" w:sz="4" w:val="single"/>
            </w:tcBorders>
          </w:tcPr>
          <w:p w:rsidR="00000000" w:rsidDel="00000000" w:rsidP="00000000" w:rsidRDefault="00000000" w:rsidRPr="00000000" w14:paraId="000000A2">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2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10"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39"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3">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4">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5">
            <w:pPr>
              <w:pageBreakBefore w:val="0"/>
              <w:spacing w:after="0" w:before="0" w:line="240" w:lineRule="auto"/>
              <w:ind w:left="0" w:firstLine="0"/>
              <w:rPr>
                <w:sz w:val="16"/>
                <w:szCs w:val="16"/>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A7">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Recognizes and incorporates multiple ways of knowing in teaching and learning</w:t>
            </w:r>
          </w:p>
        </w:tc>
        <w:tc>
          <w:tcPr>
            <w:tcBorders>
              <w:top w:color="bfbfbf" w:space="0" w:sz="4" w:val="single"/>
            </w:tcBorders>
          </w:tcPr>
          <w:p w:rsidR="00000000" w:rsidDel="00000000" w:rsidP="00000000" w:rsidRDefault="00000000" w:rsidRPr="00000000" w14:paraId="000000A8">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8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47"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14"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9">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A">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B">
            <w:pPr>
              <w:pageBreakBefore w:val="0"/>
              <w:spacing w:after="0" w:before="0" w:line="240" w:lineRule="auto"/>
              <w:ind w:left="0" w:firstLine="0"/>
              <w:rPr>
                <w:sz w:val="16"/>
                <w:szCs w:val="16"/>
              </w:rPr>
            </w:pPr>
            <w:r w:rsidDel="00000000" w:rsidR="00000000" w:rsidRPr="00000000">
              <w:rPr>
                <w:rtl w:val="0"/>
              </w:rPr>
            </w:r>
          </w:p>
        </w:tc>
      </w:tr>
      <w:tr>
        <w:trPr>
          <w:cantSplit w:val="0"/>
          <w:trHeight w:val="405"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AD">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consistently engaged, w/ occasional high levels of engagement</w:t>
            </w:r>
          </w:p>
        </w:tc>
        <w:tc>
          <w:tcPr>
            <w:tcBorders>
              <w:top w:color="bfbfbf" w:space="0" w:sz="4" w:val="single"/>
            </w:tcBorders>
          </w:tcPr>
          <w:p w:rsidR="00000000" w:rsidDel="00000000" w:rsidP="00000000" w:rsidRDefault="00000000" w:rsidRPr="00000000" w14:paraId="000000AE">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7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9"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84"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AF">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B0">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B1">
            <w:pPr>
              <w:pageBreakBefore w:val="0"/>
              <w:spacing w:after="0" w:before="0" w:line="240" w:lineRule="auto"/>
              <w:ind w:left="0" w:firstLine="0"/>
              <w:rPr>
                <w:sz w:val="16"/>
                <w:szCs w:val="16"/>
              </w:rPr>
            </w:pPr>
            <w:r w:rsidDel="00000000" w:rsidR="00000000" w:rsidRPr="00000000">
              <w:rPr>
                <w:rtl w:val="0"/>
              </w:rPr>
            </w:r>
          </w:p>
        </w:tc>
      </w:tr>
      <w:tr>
        <w:trPr>
          <w:cantSplit w:val="0"/>
          <w:trHeight w:val="500" w:hRule="atLeast"/>
          <w:tblHeader w:val="0"/>
        </w:trPr>
        <w:tc>
          <w:tcPr>
            <w:vMerge w:val="restart"/>
          </w:tcPr>
          <w:p w:rsidR="00000000" w:rsidDel="00000000" w:rsidP="00000000" w:rsidRDefault="00000000" w:rsidRPr="00000000" w14:paraId="000000B2">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Presentation and Student Interaction</w:t>
            </w:r>
          </w:p>
          <w:p w:rsidR="00000000" w:rsidDel="00000000" w:rsidP="00000000" w:rsidRDefault="00000000" w:rsidRPr="00000000" w14:paraId="000000B3">
            <w:pPr>
              <w:pageBreakBefore w:val="0"/>
              <w:rPr>
                <w:sz w:val="16"/>
                <w:szCs w:val="16"/>
              </w:rPr>
            </w:pPr>
            <w:r w:rsidDel="00000000" w:rsidR="00000000" w:rsidRPr="00000000">
              <w:rPr>
                <w:rFonts w:ascii="Times New Roman" w:cs="Times New Roman" w:eastAsia="Times New Roman" w:hAnsi="Times New Roman"/>
                <w:i w:val="1"/>
                <w:sz w:val="16"/>
                <w:szCs w:val="16"/>
                <w:rtl w:val="0"/>
              </w:rPr>
              <w:t xml:space="preserve">What are the students’ views of the </w:t>
            </w:r>
            <w:r w:rsidDel="00000000" w:rsidR="00000000" w:rsidRPr="00000000">
              <w:rPr>
                <w:rFonts w:ascii="Times New Roman" w:cs="Times New Roman" w:eastAsia="Times New Roman" w:hAnsi="Times New Roman"/>
                <w:i w:val="1"/>
                <w:sz w:val="16"/>
                <w:szCs w:val="16"/>
                <w:rtl w:val="0"/>
              </w:rPr>
              <w:t xml:space="preserve"> the learning experience? How has student feedback informed the teaching? Are methods (#3) implemented effectively? Are students supported (e.g. student/ teacher interaction)?</w:t>
            </w: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B4">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Inclusive climate, particularly sensitive to and aware of students from under-represented or historically marginalized groups in the field/academia</w:t>
            </w:r>
          </w:p>
        </w:tc>
        <w:tc>
          <w:tcPr/>
          <w:p w:rsidR="00000000" w:rsidDel="00000000" w:rsidP="00000000" w:rsidRDefault="00000000" w:rsidRPr="00000000" w14:paraId="000000B5">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60" name="image24.png"/>
                  <a:graphic>
                    <a:graphicData uri="http://schemas.openxmlformats.org/drawingml/2006/picture">
                      <pic:pic>
                        <pic:nvPicPr>
                          <pic:cNvPr id="0" name="image24.png"/>
                          <pic:cNvPicPr preferRelativeResize="0"/>
                        </pic:nvPicPr>
                        <pic:blipFill>
                          <a:blip r:embed="rId23"/>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13"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62"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restart"/>
            <w:tcBorders>
              <w:bottom w:color="bfbfbf" w:space="0" w:sz="4" w:val="single"/>
            </w:tcBorders>
          </w:tcPr>
          <w:p w:rsidR="00000000" w:rsidDel="00000000" w:rsidP="00000000" w:rsidRDefault="00000000" w:rsidRPr="00000000" w14:paraId="000000B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0B7">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0B9">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portfolio</w:t>
            </w:r>
          </w:p>
          <w:p w:rsidR="00000000" w:rsidDel="00000000" w:rsidP="00000000" w:rsidRDefault="00000000" w:rsidRPr="00000000" w14:paraId="000000BB">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sz w:val="18"/>
                <w:szCs w:val="18"/>
              </w:rPr>
            </w:pPr>
            <w:r w:rsidDel="00000000" w:rsidR="00000000" w:rsidRPr="00000000">
              <w:rPr>
                <w:rtl w:val="0"/>
              </w:rPr>
            </w:r>
          </w:p>
        </w:tc>
        <w:tc>
          <w:tcPr>
            <w:vMerge w:val="restart"/>
            <w:tcBorders>
              <w:bottom w:color="bfbfbf" w:space="0" w:sz="4" w:val="single"/>
            </w:tcBorders>
          </w:tcPr>
          <w:p w:rsidR="00000000" w:rsidDel="00000000" w:rsidP="00000000" w:rsidRDefault="00000000" w:rsidRPr="00000000" w14:paraId="000000B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observation</w:t>
            </w:r>
          </w:p>
          <w:p w:rsidR="00000000" w:rsidDel="00000000" w:rsidP="00000000" w:rsidRDefault="00000000" w:rsidRPr="00000000" w14:paraId="000000B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portfolio</w:t>
            </w:r>
          </w:p>
        </w:tc>
        <w:tc>
          <w:tcPr>
            <w:vMerge w:val="restart"/>
            <w:tcBorders>
              <w:bottom w:color="bfbfbf" w:space="0" w:sz="4" w:val="single"/>
            </w:tcBorders>
          </w:tcPr>
          <w:p w:rsidR="00000000" w:rsidDel="00000000" w:rsidP="00000000" w:rsidRDefault="00000000" w:rsidRPr="00000000" w14:paraId="000000C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interviews</w:t>
            </w:r>
          </w:p>
          <w:p w:rsidR="00000000" w:rsidDel="00000000" w:rsidP="00000000" w:rsidRDefault="00000000" w:rsidRPr="00000000" w14:paraId="000000C1">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2">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SETs</w:t>
            </w:r>
          </w:p>
          <w:p w:rsidR="00000000" w:rsidDel="00000000" w:rsidP="00000000" w:rsidRDefault="00000000" w:rsidRPr="00000000" w14:paraId="000000C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letters</w:t>
            </w:r>
          </w:p>
          <w:p w:rsidR="00000000" w:rsidDel="00000000" w:rsidP="00000000" w:rsidRDefault="00000000" w:rsidRPr="00000000" w14:paraId="000000C5">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Survey/Inventory (e.g., SALG, TBI)</w:t>
            </w:r>
          </w:p>
          <w:p w:rsidR="00000000" w:rsidDel="00000000" w:rsidP="00000000" w:rsidRDefault="00000000" w:rsidRPr="00000000" w14:paraId="000000C7">
            <w:pPr>
              <w:pageBreakBefore w:val="0"/>
              <w:rPr>
                <w:rFonts w:ascii="Times New Roman" w:cs="Times New Roman" w:eastAsia="Times New Roman" w:hAnsi="Times New Roman"/>
                <w:sz w:val="18"/>
                <w:szCs w:val="18"/>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C9">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reports of instructor accessibility and interaction skills are positive</w:t>
            </w:r>
          </w:p>
        </w:tc>
        <w:tc>
          <w:tcPr>
            <w:tcBorders>
              <w:top w:color="bfbfbf" w:space="0" w:sz="4" w:val="single"/>
            </w:tcBorders>
          </w:tcPr>
          <w:p w:rsidR="00000000" w:rsidDel="00000000" w:rsidP="00000000" w:rsidRDefault="00000000" w:rsidRPr="00000000" w14:paraId="000000CA">
            <w:pPr>
              <w:pageBreakBefore w:val="0"/>
              <w:jc w:val="center"/>
              <w:rPr>
                <w:rFonts w:ascii="Times New Roman" w:cs="Times New Roman" w:eastAsia="Times New Roman" w:hAnsi="Times New Roman"/>
                <w:sz w:val="16"/>
                <w:szCs w:val="16"/>
              </w:rPr>
            </w:pPr>
            <w:r w:rsidDel="00000000" w:rsidR="00000000" w:rsidRPr="00000000">
              <w:rPr>
                <w:sz w:val="16"/>
                <w:szCs w:val="16"/>
              </w:rPr>
              <w:drawing>
                <wp:inline distB="114300" distT="114300" distL="114300" distR="114300">
                  <wp:extent cx="190500" cy="200025"/>
                  <wp:effectExtent b="0" l="0" r="0" t="0"/>
                  <wp:docPr id="52" name="image23.png"/>
                  <a:graphic>
                    <a:graphicData uri="http://schemas.openxmlformats.org/drawingml/2006/picture">
                      <pic:pic>
                        <pic:nvPicPr>
                          <pic:cNvPr id="0" name="image23.png"/>
                          <pic:cNvPicPr preferRelativeResize="0"/>
                        </pic:nvPicPr>
                        <pic:blipFill>
                          <a:blip r:embed="rId23"/>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25"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70"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CB">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CC">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CD">
            <w:pPr>
              <w:pageBreakBefore w:val="0"/>
              <w:spacing w:after="0" w:before="0" w:line="240" w:lineRule="auto"/>
              <w:ind w:left="0" w:firstLine="0"/>
              <w:rPr>
                <w:sz w:val="16"/>
                <w:szCs w:val="16"/>
              </w:rPr>
            </w:pPr>
            <w:r w:rsidDel="00000000" w:rsidR="00000000" w:rsidRPr="00000000">
              <w:rPr>
                <w:rtl w:val="0"/>
              </w:rPr>
            </w:r>
          </w:p>
        </w:tc>
      </w:tr>
      <w:tr>
        <w:trPr>
          <w:cantSplit w:val="0"/>
          <w:trHeight w:val="585"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0CF">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perceive that they are learning important skills or knowledge</w:t>
            </w:r>
          </w:p>
        </w:tc>
        <w:tc>
          <w:tcPr>
            <w:tcBorders>
              <w:top w:color="bfbfbf" w:space="0" w:sz="4" w:val="single"/>
            </w:tcBorders>
          </w:tcPr>
          <w:p w:rsidR="00000000" w:rsidDel="00000000" w:rsidP="00000000" w:rsidRDefault="00000000" w:rsidRPr="00000000" w14:paraId="000000D0">
            <w:pPr>
              <w:pageBreakBefore w:val="0"/>
              <w:jc w:val="center"/>
              <w:rPr>
                <w:rFonts w:ascii="Times New Roman" w:cs="Times New Roman" w:eastAsia="Times New Roman" w:hAnsi="Times New Roman"/>
                <w:sz w:val="16"/>
                <w:szCs w:val="16"/>
              </w:rPr>
            </w:pPr>
            <w:r w:rsidDel="00000000" w:rsidR="00000000" w:rsidRPr="00000000">
              <w:rPr>
                <w:sz w:val="16"/>
                <w:szCs w:val="16"/>
              </w:rPr>
              <w:drawing>
                <wp:inline distB="114300" distT="114300" distL="114300" distR="114300">
                  <wp:extent cx="190500" cy="200025"/>
                  <wp:effectExtent b="0" l="0" r="0" t="0"/>
                  <wp:docPr id="12"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16"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75"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D1">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D2">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bottom w:color="bfbfbf" w:space="0" w:sz="4" w:val="single"/>
            </w:tcBorders>
          </w:tcPr>
          <w:p w:rsidR="00000000" w:rsidDel="00000000" w:rsidP="00000000" w:rsidRDefault="00000000" w:rsidRPr="00000000" w14:paraId="000000D3">
            <w:pPr>
              <w:pageBreakBefore w:val="0"/>
              <w:spacing w:after="0" w:before="0" w:line="240" w:lineRule="auto"/>
              <w:ind w:left="0" w:firstLine="0"/>
              <w:rPr>
                <w:sz w:val="16"/>
                <w:szCs w:val="16"/>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0D5">
            <w:pPr>
              <w:pageBreakBefore w:val="0"/>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Instructor gathers student feedback and articulates some lessons learned</w:t>
            </w:r>
          </w:p>
        </w:tc>
        <w:tc>
          <w:tcPr>
            <w:tcBorders>
              <w:top w:color="bfbfbf" w:space="0" w:sz="4" w:val="single"/>
            </w:tcBorders>
          </w:tcPr>
          <w:p w:rsidR="00000000" w:rsidDel="00000000" w:rsidP="00000000" w:rsidRDefault="00000000" w:rsidRPr="00000000" w14:paraId="000000D6">
            <w:pPr>
              <w:pageBreakBefore w:val="0"/>
              <w:jc w:val="center"/>
              <w:rPr>
                <w:rFonts w:ascii="Times New Roman" w:cs="Times New Roman" w:eastAsia="Times New Roman" w:hAnsi="Times New Roman"/>
                <w:sz w:val="16"/>
                <w:szCs w:val="16"/>
              </w:rPr>
            </w:pPr>
            <w:r w:rsidDel="00000000" w:rsidR="00000000" w:rsidRPr="00000000">
              <w:rPr>
                <w:sz w:val="16"/>
                <w:szCs w:val="16"/>
              </w:rPr>
              <w:drawing>
                <wp:inline distB="114300" distT="114300" distL="114300" distR="114300">
                  <wp:extent cx="190500" cy="200025"/>
                  <wp:effectExtent b="0" l="0" r="0" t="0"/>
                  <wp:docPr id="56" name="image28.png"/>
                  <a:graphic>
                    <a:graphicData uri="http://schemas.openxmlformats.org/drawingml/2006/picture">
                      <pic:pic>
                        <pic:nvPicPr>
                          <pic:cNvPr id="0" name="image28.png"/>
                          <pic:cNvPicPr preferRelativeResize="0"/>
                        </pic:nvPicPr>
                        <pic:blipFill>
                          <a:blip r:embed="rId23"/>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50"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8"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D7">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D8">
            <w:pPr>
              <w:pageBreakBefore w:val="0"/>
              <w:spacing w:after="0" w:before="0" w:line="240" w:lineRule="auto"/>
              <w:ind w:left="0" w:firstLine="0"/>
              <w:rPr>
                <w:sz w:val="16"/>
                <w:szCs w:val="16"/>
              </w:rPr>
            </w:pPr>
            <w:r w:rsidDel="00000000" w:rsidR="00000000" w:rsidRPr="00000000">
              <w:rPr>
                <w:rtl w:val="0"/>
              </w:rPr>
            </w:r>
          </w:p>
        </w:tc>
        <w:tc>
          <w:tcPr>
            <w:vMerge w:val="continue"/>
            <w:tcBorders>
              <w:top w:color="bfbfbf" w:space="0" w:sz="4" w:val="single"/>
            </w:tcBorders>
          </w:tcPr>
          <w:p w:rsidR="00000000" w:rsidDel="00000000" w:rsidP="00000000" w:rsidRDefault="00000000" w:rsidRPr="00000000" w14:paraId="000000D9">
            <w:pPr>
              <w:pageBreakBefore w:val="0"/>
              <w:spacing w:after="0" w:before="0" w:line="240" w:lineRule="auto"/>
              <w:ind w:left="0" w:firstLine="0"/>
              <w:rPr>
                <w:sz w:val="16"/>
                <w:szCs w:val="16"/>
              </w:rPr>
            </w:pPr>
            <w:r w:rsidDel="00000000" w:rsidR="00000000" w:rsidRPr="00000000">
              <w:rPr>
                <w:rtl w:val="0"/>
              </w:rPr>
            </w:r>
          </w:p>
        </w:tc>
      </w:tr>
    </w:tbl>
    <w:p w:rsidR="00000000" w:rsidDel="00000000" w:rsidP="00000000" w:rsidRDefault="00000000" w:rsidRPr="00000000" w14:paraId="000000DA">
      <w:pPr>
        <w:pageBreakBefore w:val="0"/>
        <w:widowControl w:val="0"/>
        <w:spacing w:line="276" w:lineRule="auto"/>
        <w:jc w:val="center"/>
        <w:rPr>
          <w:sz w:val="16"/>
          <w:szCs w:val="16"/>
        </w:rPr>
      </w:pPr>
      <w:r w:rsidDel="00000000" w:rsidR="00000000" w:rsidRPr="00000000">
        <w:rPr>
          <w:rtl w:val="0"/>
        </w:rPr>
      </w:r>
    </w:p>
    <w:tbl>
      <w:tblPr>
        <w:tblStyle w:val="Table2"/>
        <w:tblW w:w="137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4785"/>
        <w:gridCol w:w="1530"/>
        <w:gridCol w:w="1710"/>
        <w:gridCol w:w="1845"/>
        <w:gridCol w:w="1860"/>
        <w:tblGridChange w:id="0">
          <w:tblGrid>
            <w:gridCol w:w="2025"/>
            <w:gridCol w:w="4785"/>
            <w:gridCol w:w="1530"/>
            <w:gridCol w:w="1710"/>
            <w:gridCol w:w="1845"/>
            <w:gridCol w:w="1860"/>
          </w:tblGrid>
        </w:tblGridChange>
      </w:tblGrid>
      <w:tr>
        <w:trPr>
          <w:cantSplit w:val="0"/>
          <w:trHeight w:val="320" w:hRule="atLeast"/>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DB">
            <w:pPr>
              <w:pageBreakBefore w:val="0"/>
              <w:rPr>
                <w:sz w:val="16"/>
                <w:szCs w:val="16"/>
              </w:rPr>
            </w:pPr>
            <w:r w:rsidDel="00000000" w:rsidR="00000000" w:rsidRPr="00000000">
              <w:rPr>
                <w:rtl w:val="0"/>
              </w:rPr>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DC">
            <w:pPr>
              <w:pageBreakBefore w:val="0"/>
              <w:widowControl w:val="0"/>
              <w:spacing w:line="276" w:lineRule="auto"/>
              <w:jc w:val="center"/>
              <w:rPr>
                <w:rFonts w:ascii="Times New Roman" w:cs="Times New Roman" w:eastAsia="Times New Roman" w:hAnsi="Times New Roman"/>
                <w:sz w:val="16"/>
                <w:szCs w:val="16"/>
              </w:rPr>
            </w:pPr>
            <w:r w:rsidDel="00000000" w:rsidR="00000000" w:rsidRPr="00000000">
              <w:rPr>
                <w:rFonts w:ascii="Helvetica Neue" w:cs="Helvetica Neue" w:eastAsia="Helvetica Neue" w:hAnsi="Helvetica Neue"/>
                <w:sz w:val="20"/>
                <w:szCs w:val="20"/>
                <w:rtl w:val="0"/>
              </w:rPr>
              <w:t xml:space="preserve">TQF Rubric Mapping Tool (2/2)</w:t>
            </w:r>
            <w:r w:rsidDel="00000000" w:rsidR="00000000" w:rsidRPr="00000000">
              <w:rPr>
                <w:rtl w:val="0"/>
              </w:rPr>
            </w:r>
          </w:p>
        </w:tc>
        <w:tc>
          <w:tcPr>
            <w:tcBorders>
              <w:top w:color="ffffff" w:space="0" w:sz="4" w:val="single"/>
              <w:left w:color="ffffff" w:space="0" w:sz="4" w:val="single"/>
            </w:tcBorders>
          </w:tcPr>
          <w:p w:rsidR="00000000" w:rsidDel="00000000" w:rsidP="00000000" w:rsidRDefault="00000000" w:rsidRPr="00000000" w14:paraId="000000DD">
            <w:pPr>
              <w:pageBreakBefore w:val="0"/>
              <w:jc w:val="center"/>
              <w:rPr>
                <w:rFonts w:ascii="Times New Roman" w:cs="Times New Roman" w:eastAsia="Times New Roman" w:hAnsi="Times New Roman"/>
                <w:sz w:val="18"/>
                <w:szCs w:val="18"/>
              </w:rPr>
            </w:pPr>
            <w:r w:rsidDel="00000000" w:rsidR="00000000" w:rsidRPr="00000000">
              <w:rPr>
                <w:rtl w:val="0"/>
              </w:rPr>
            </w:r>
          </w:p>
        </w:tc>
        <w:tc>
          <w:tcPr>
            <w:gridSpan w:val="3"/>
            <w:vAlign w:val="center"/>
          </w:tcPr>
          <w:p w:rsidR="00000000" w:rsidDel="00000000" w:rsidP="00000000" w:rsidRDefault="00000000" w:rsidRPr="00000000" w14:paraId="000000DE">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Sources of evidence you could collect</w:t>
            </w:r>
          </w:p>
        </w:tc>
      </w:tr>
      <w:tr>
        <w:trPr>
          <w:cantSplit w:val="0"/>
          <w:trHeight w:val="260" w:hRule="atLeast"/>
          <w:tblHeader w:val="0"/>
        </w:trPr>
        <w:tc>
          <w:tcPr>
            <w:vAlign w:val="center"/>
          </w:tcPr>
          <w:p w:rsidR="00000000" w:rsidDel="00000000" w:rsidP="00000000" w:rsidRDefault="00000000" w:rsidRPr="00000000" w14:paraId="000000E1">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Dimension of Quality Teaching</w:t>
            </w:r>
          </w:p>
        </w:tc>
        <w:tc>
          <w:tcPr>
            <w:vAlign w:val="center"/>
          </w:tcPr>
          <w:p w:rsidR="00000000" w:rsidDel="00000000" w:rsidP="00000000" w:rsidRDefault="00000000" w:rsidRPr="00000000" w14:paraId="000000E2">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Professional (3)</w:t>
            </w:r>
          </w:p>
        </w:tc>
        <w:tc>
          <w:tcPr>
            <w:vAlign w:val="center"/>
          </w:tcPr>
          <w:p w:rsidR="00000000" w:rsidDel="00000000" w:rsidP="00000000" w:rsidRDefault="00000000" w:rsidRPr="00000000" w14:paraId="000000E3">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Voice Rank</w:t>
            </w:r>
          </w:p>
        </w:tc>
        <w:tc>
          <w:tcPr/>
          <w:p w:rsidR="00000000" w:rsidDel="00000000" w:rsidP="00000000" w:rsidRDefault="00000000" w:rsidRPr="00000000" w14:paraId="000000E4">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04800" cy="238125"/>
                  <wp:effectExtent b="0" l="0" r="0" t="0"/>
                  <wp:docPr id="72" name="image26.png"/>
                  <a:graphic>
                    <a:graphicData uri="http://schemas.openxmlformats.org/drawingml/2006/picture">
                      <pic:pic>
                        <pic:nvPicPr>
                          <pic:cNvPr id="0" name="image26.png"/>
                          <pic:cNvPicPr preferRelativeResize="0"/>
                        </pic:nvPicPr>
                        <pic:blipFill>
                          <a:blip r:embed="rId13"/>
                          <a:srcRect b="0" l="0" r="0" t="0"/>
                          <a:stretch>
                            <a:fillRect/>
                          </a:stretch>
                        </pic:blipFill>
                        <pic:spPr>
                          <a:xfrm>
                            <a:off x="0" y="0"/>
                            <a:ext cx="304800" cy="2381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5">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52425" cy="257175"/>
                  <wp:effectExtent b="0" l="0" r="0" t="0"/>
                  <wp:docPr id="59"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352425" cy="2571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6">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495300" cy="247650"/>
                  <wp:effectExtent b="0" l="0" r="0" t="0"/>
                  <wp:docPr id="71" name="image20.png"/>
                  <a:graphic>
                    <a:graphicData uri="http://schemas.openxmlformats.org/drawingml/2006/picture">
                      <pic:pic>
                        <pic:nvPicPr>
                          <pic:cNvPr id="0" name="image20.png"/>
                          <pic:cNvPicPr preferRelativeResize="0"/>
                        </pic:nvPicPr>
                        <pic:blipFill>
                          <a:blip r:embed="rId15"/>
                          <a:srcRect b="0" l="0" r="0" t="0"/>
                          <a:stretch>
                            <a:fillRect/>
                          </a:stretch>
                        </pic:blipFill>
                        <pic:spPr>
                          <a:xfrm>
                            <a:off x="0" y="0"/>
                            <a:ext cx="495300" cy="247650"/>
                          </a:xfrm>
                          <a:prstGeom prst="rect"/>
                          <a:ln/>
                        </pic:spPr>
                      </pic:pic>
                    </a:graphicData>
                  </a:graphic>
                </wp:inline>
              </w:drawing>
            </w:r>
            <w:r w:rsidDel="00000000" w:rsidR="00000000" w:rsidRPr="00000000">
              <w:rPr>
                <w:rtl w:val="0"/>
              </w:rPr>
            </w:r>
          </w:p>
        </w:tc>
      </w:tr>
      <w:tr>
        <w:trPr>
          <w:cantSplit w:val="0"/>
          <w:trHeight w:val="510" w:hRule="atLeast"/>
          <w:tblHeader w:val="0"/>
        </w:trPr>
        <w:tc>
          <w:tcPr>
            <w:vMerge w:val="restart"/>
          </w:tcPr>
          <w:p w:rsidR="00000000" w:rsidDel="00000000" w:rsidP="00000000" w:rsidRDefault="00000000" w:rsidRPr="00000000" w14:paraId="000000E7">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Student (and Other) Outcomes</w:t>
            </w:r>
            <w:r w:rsidDel="00000000" w:rsidR="00000000" w:rsidRPr="00000000">
              <w:rPr>
                <w:rtl w:val="0"/>
              </w:rPr>
            </w:r>
          </w:p>
          <w:p w:rsidR="00000000" w:rsidDel="00000000" w:rsidP="00000000" w:rsidRDefault="00000000" w:rsidRPr="00000000" w14:paraId="000000E8">
            <w:pPr>
              <w:pageBreakBefore w:val="0"/>
              <w:rPr>
                <w:sz w:val="16"/>
                <w:szCs w:val="16"/>
              </w:rPr>
            </w:pPr>
            <w:r w:rsidDel="00000000" w:rsidR="00000000" w:rsidRPr="00000000">
              <w:rPr>
                <w:rFonts w:ascii="Times New Roman" w:cs="Times New Roman" w:eastAsia="Times New Roman" w:hAnsi="Times New Roman"/>
                <w:i w:val="1"/>
                <w:sz w:val="16"/>
                <w:szCs w:val="16"/>
                <w:rtl w:val="0"/>
              </w:rPr>
              <w:t xml:space="preserve">What impact do these courses have on learners? What evidence shows the level of student understanding? Are measures of learning (shift in student performance as a result of class/instruction) aligned with goals?</w:t>
            </w: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E9">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Evidence-based/innovative standards for evaluating the quality of student understanding; consistently works to improve student outcomes</w:t>
            </w:r>
            <w:r w:rsidDel="00000000" w:rsidR="00000000" w:rsidRPr="00000000">
              <w:rPr>
                <w:rtl w:val="0"/>
              </w:rPr>
            </w:r>
          </w:p>
        </w:tc>
        <w:tc>
          <w:tcPr/>
          <w:p w:rsidR="00000000" w:rsidDel="00000000" w:rsidP="00000000" w:rsidRDefault="00000000" w:rsidRPr="00000000" w14:paraId="000000EA">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5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43"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80975" cy="209550"/>
                  <wp:effectExtent b="0" l="0" r="0" t="0"/>
                  <wp:docPr id="69"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E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0EC">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0E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portfolio</w:t>
            </w:r>
          </w:p>
          <w:p w:rsidR="00000000" w:rsidDel="00000000" w:rsidP="00000000" w:rsidRDefault="00000000" w:rsidRPr="00000000" w14:paraId="000000F0">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1">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Pre/post measures of learning (report of doing and/or analysis)</w:t>
            </w:r>
          </w:p>
        </w:tc>
        <w:tc>
          <w:tcPr>
            <w:vMerge w:val="restart"/>
          </w:tcPr>
          <w:p w:rsidR="00000000" w:rsidDel="00000000" w:rsidP="00000000" w:rsidRDefault="00000000" w:rsidRPr="00000000" w14:paraId="000000F2">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observation</w:t>
            </w:r>
          </w:p>
          <w:p w:rsidR="00000000" w:rsidDel="00000000" w:rsidP="00000000" w:rsidRDefault="00000000" w:rsidRPr="00000000" w14:paraId="000000F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syllabus/ course materials</w:t>
            </w:r>
          </w:p>
          <w:p w:rsidR="00000000" w:rsidDel="00000000" w:rsidP="00000000" w:rsidRDefault="00000000" w:rsidRPr="00000000" w14:paraId="000000F5">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portfolio</w:t>
            </w:r>
          </w:p>
          <w:p w:rsidR="00000000" w:rsidDel="00000000" w:rsidP="00000000" w:rsidRDefault="00000000" w:rsidRPr="00000000" w14:paraId="000000F7">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8">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Faculty interview</w:t>
            </w:r>
          </w:p>
        </w:tc>
        <w:tc>
          <w:tcPr>
            <w:vMerge w:val="restart"/>
          </w:tcPr>
          <w:p w:rsidR="00000000" w:rsidDel="00000000" w:rsidP="00000000" w:rsidRDefault="00000000" w:rsidRPr="00000000" w14:paraId="000000F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Classroom interviews</w:t>
            </w:r>
          </w:p>
          <w:p w:rsidR="00000000" w:rsidDel="00000000" w:rsidP="00000000" w:rsidRDefault="00000000" w:rsidRPr="00000000" w14:paraId="000000F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SETs</w:t>
            </w:r>
          </w:p>
          <w:p w:rsidR="00000000" w:rsidDel="00000000" w:rsidP="00000000" w:rsidRDefault="00000000" w:rsidRPr="00000000" w14:paraId="000000FC">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letters</w:t>
            </w:r>
          </w:p>
          <w:p w:rsidR="00000000" w:rsidDel="00000000" w:rsidP="00000000" w:rsidRDefault="00000000" w:rsidRPr="00000000" w14:paraId="000000F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F">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surveys (e.g., SALG)</w:t>
            </w:r>
          </w:p>
        </w:tc>
      </w:tr>
      <w:tr>
        <w:trPr>
          <w:cantSplit w:val="0"/>
          <w:trHeight w:val="465" w:hRule="atLeast"/>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101">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a variety of ways for students to succeed and/or demonstrate their learning on assessments, with attention to being inclusive and equitable</w:t>
            </w:r>
          </w:p>
        </w:tc>
        <w:tc>
          <w:tcPr>
            <w:tcBorders>
              <w:top w:color="bfbfbf" w:space="0" w:sz="4" w:val="single"/>
            </w:tcBorders>
          </w:tcPr>
          <w:p w:rsidR="00000000" w:rsidDel="00000000" w:rsidP="00000000" w:rsidRDefault="00000000" w:rsidRPr="00000000" w14:paraId="00000102">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4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66"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80975" cy="209550"/>
                  <wp:effectExtent b="0" l="0" r="0" t="0"/>
                  <wp:docPr id="91"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03">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04">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05">
            <w:pPr>
              <w:pageBreakBefore w:val="0"/>
              <w:spacing w:after="0" w:before="0" w:line="240" w:lineRule="auto"/>
              <w:ind w:left="0" w:firstLine="0"/>
              <w:rPr>
                <w:sz w:val="16"/>
                <w:szCs w:val="16"/>
              </w:rPr>
            </w:pP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107">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Awareness of places where bias may enter assessment and attempts to mitigate those biases</w:t>
            </w:r>
          </w:p>
        </w:tc>
        <w:tc>
          <w:tcPr>
            <w:tcBorders>
              <w:top w:color="bfbfbf" w:space="0" w:sz="4" w:val="single"/>
            </w:tcBorders>
          </w:tcPr>
          <w:p w:rsidR="00000000" w:rsidDel="00000000" w:rsidP="00000000" w:rsidRDefault="00000000" w:rsidRPr="00000000" w14:paraId="00000108">
            <w:pPr>
              <w:pageBreakBefore w:val="0"/>
              <w:jc w:val="center"/>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109">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0A">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0B">
            <w:pPr>
              <w:pageBreakBefore w:val="0"/>
              <w:spacing w:after="0" w:before="0" w:line="240" w:lineRule="auto"/>
              <w:ind w:left="0" w:firstLine="0"/>
              <w:rPr>
                <w:sz w:val="16"/>
                <w:szCs w:val="16"/>
              </w:rPr>
            </w:pP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10D">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Above-average student learning outcomes; course is appropriately challenging and high levels of student learning are expected and generally achieved</w:t>
            </w:r>
          </w:p>
        </w:tc>
        <w:tc>
          <w:tcPr>
            <w:tcBorders>
              <w:top w:color="bfbfbf" w:space="0" w:sz="4" w:val="single"/>
            </w:tcBorders>
          </w:tcPr>
          <w:p w:rsidR="00000000" w:rsidDel="00000000" w:rsidP="00000000" w:rsidRDefault="00000000" w:rsidRPr="00000000" w14:paraId="0000010E">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7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42"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80975" cy="209550"/>
                  <wp:effectExtent b="0" l="0" r="0" t="0"/>
                  <wp:docPr id="46"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0F">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10">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11">
            <w:pPr>
              <w:pageBreakBefore w:val="0"/>
              <w:spacing w:after="0" w:before="0" w:line="240" w:lineRule="auto"/>
              <w:ind w:left="0" w:firstLine="0"/>
              <w:rPr>
                <w:sz w:val="16"/>
                <w:szCs w:val="1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113">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excellent student-related course-level outcomes</w:t>
            </w:r>
          </w:p>
        </w:tc>
        <w:tc>
          <w:tcPr>
            <w:tcBorders>
              <w:top w:color="bfbfbf" w:space="0" w:sz="4" w:val="single"/>
            </w:tcBorders>
          </w:tcPr>
          <w:p w:rsidR="00000000" w:rsidDel="00000000" w:rsidP="00000000" w:rsidRDefault="00000000" w:rsidRPr="00000000" w14:paraId="00000114">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9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88"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80975" cy="209550"/>
                  <wp:effectExtent b="0" l="0" r="0" t="0"/>
                  <wp:docPr id="34"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80975" cy="20955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15">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16">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17">
            <w:pPr>
              <w:pageBreakBefore w:val="0"/>
              <w:spacing w:after="0" w:before="0" w:line="240" w:lineRule="auto"/>
              <w:ind w:left="0" w:firstLine="0"/>
              <w:rPr>
                <w:sz w:val="16"/>
                <w:szCs w:val="16"/>
              </w:rPr>
            </w:pPr>
            <w:r w:rsidDel="00000000" w:rsidR="00000000" w:rsidRPr="00000000">
              <w:rPr>
                <w:rtl w:val="0"/>
              </w:rPr>
            </w:r>
          </w:p>
        </w:tc>
      </w:tr>
      <w:tr>
        <w:trPr>
          <w:cantSplit w:val="0"/>
          <w:trHeight w:val="380" w:hRule="atLeast"/>
          <w:tblHeader w:val="0"/>
        </w:trPr>
        <w:tc>
          <w:tcPr>
            <w:vMerge w:val="restart"/>
          </w:tcPr>
          <w:p w:rsidR="00000000" w:rsidDel="00000000" w:rsidP="00000000" w:rsidRDefault="00000000" w:rsidRPr="00000000" w14:paraId="00000118">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Mentorship and Advising</w:t>
            </w:r>
          </w:p>
          <w:p w:rsidR="00000000" w:rsidDel="00000000" w:rsidP="00000000" w:rsidRDefault="00000000" w:rsidRPr="00000000" w14:paraId="00000119">
            <w:pPr>
              <w:pageBreakBefore w:val="0"/>
              <w:rPr>
                <w:sz w:val="16"/>
                <w:szCs w:val="16"/>
              </w:rPr>
            </w:pPr>
            <w:r w:rsidDel="00000000" w:rsidR="00000000" w:rsidRPr="00000000">
              <w:rPr>
                <w:rFonts w:ascii="Times New Roman" w:cs="Times New Roman" w:eastAsia="Times New Roman" w:hAnsi="Times New Roman"/>
                <w:i w:val="1"/>
                <w:sz w:val="16"/>
                <w:szCs w:val="16"/>
                <w:rtl w:val="0"/>
              </w:rPr>
              <w:t xml:space="preserve">How effectively has the faculty member worked individually with undergraduate or graduate students?</w:t>
            </w: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11A">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Consistent evidence of effective advising and mentoring</w:t>
            </w:r>
          </w:p>
        </w:tc>
        <w:tc>
          <w:tcPr/>
          <w:p w:rsidR="00000000" w:rsidDel="00000000" w:rsidP="00000000" w:rsidRDefault="00000000" w:rsidRPr="00000000" w14:paraId="0000011B">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67"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45"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63"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11C">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11D">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1E">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11F">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Self-report of student awards, activities, etc.</w:t>
            </w:r>
          </w:p>
        </w:tc>
        <w:tc>
          <w:tcPr>
            <w:vMerge w:val="restart"/>
          </w:tcPr>
          <w:p w:rsidR="00000000" w:rsidDel="00000000" w:rsidP="00000000" w:rsidRDefault="00000000" w:rsidRPr="00000000" w14:paraId="00000121">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Faculty interview</w:t>
            </w:r>
          </w:p>
          <w:p w:rsidR="00000000" w:rsidDel="00000000" w:rsidP="00000000" w:rsidRDefault="00000000" w:rsidRPr="00000000" w14:paraId="00000122">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3">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statements/ activities</w:t>
            </w:r>
          </w:p>
        </w:tc>
        <w:tc>
          <w:tcPr>
            <w:vMerge w:val="restart"/>
          </w:tcPr>
          <w:p w:rsidR="00000000" w:rsidDel="00000000" w:rsidP="00000000" w:rsidRDefault="00000000" w:rsidRPr="00000000" w14:paraId="0000012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interviews</w:t>
            </w:r>
          </w:p>
          <w:p w:rsidR="00000000" w:rsidDel="00000000" w:rsidP="00000000" w:rsidRDefault="00000000" w:rsidRPr="00000000" w14:paraId="00000125">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letters</w:t>
            </w:r>
          </w:p>
        </w:tc>
      </w:tr>
      <w:tr>
        <w:trPr>
          <w:cantSplit w:val="0"/>
          <w:trHeight w:val="380" w:hRule="atLeast"/>
          <w:tblHeader w:val="0"/>
        </w:trPr>
        <w:tc>
          <w:tcPr>
            <w:vMerge w:val="continue"/>
            <w:tcBorders>
              <w:right w:color="bfbfbf"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128">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Well-defined, evidence-based goals/scope, with input from mentees/advisees</w:t>
            </w:r>
            <w:r w:rsidDel="00000000" w:rsidR="00000000" w:rsidRPr="00000000">
              <w:rPr>
                <w:rtl w:val="0"/>
              </w:rPr>
            </w:r>
          </w:p>
        </w:tc>
        <w:tc>
          <w:tcPr>
            <w:tcBorders>
              <w:top w:color="bfbfbf" w:space="0" w:sz="4" w:val="single"/>
            </w:tcBorders>
          </w:tcPr>
          <w:p w:rsidR="00000000" w:rsidDel="00000000" w:rsidP="00000000" w:rsidRDefault="00000000" w:rsidRPr="00000000" w14:paraId="00000129">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8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28"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18"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2A">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2B">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2C">
            <w:pPr>
              <w:pageBreakBefore w:val="0"/>
              <w:spacing w:after="0" w:before="0" w:line="240" w:lineRule="auto"/>
              <w:ind w:left="0" w:firstLine="0"/>
              <w:rPr>
                <w:sz w:val="16"/>
                <w:szCs w:val="16"/>
              </w:rPr>
            </w:pPr>
            <w:r w:rsidDel="00000000" w:rsidR="00000000" w:rsidRPr="00000000">
              <w:rPr>
                <w:rtl w:val="0"/>
              </w:rPr>
            </w:r>
          </w:p>
        </w:tc>
      </w:tr>
      <w:tr>
        <w:trPr>
          <w:cantSplit w:val="0"/>
          <w:trHeight w:val="380" w:hRule="atLeast"/>
          <w:tblHeader w:val="0"/>
        </w:trPr>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12E">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Attentive to how to best support students from groups that are historically marginalized or underrepresented in the field/academia</w:t>
            </w:r>
          </w:p>
        </w:tc>
        <w:tc>
          <w:tcPr>
            <w:tcBorders>
              <w:top w:color="bfbfbf" w:space="0" w:sz="4" w:val="single"/>
            </w:tcBorders>
          </w:tcPr>
          <w:p w:rsidR="00000000" w:rsidDel="00000000" w:rsidP="00000000" w:rsidRDefault="00000000" w:rsidRPr="00000000" w14:paraId="0000012F">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15"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40"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30">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31">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32">
            <w:pPr>
              <w:pageBreakBefore w:val="0"/>
              <w:spacing w:after="0" w:before="0" w:line="240" w:lineRule="auto"/>
              <w:ind w:left="0" w:firstLine="0"/>
              <w:rPr>
                <w:sz w:val="16"/>
                <w:szCs w:val="16"/>
              </w:rPr>
            </w:pP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134">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Demonstrates understanding/interest in students’ identities</w:t>
            </w:r>
          </w:p>
        </w:tc>
        <w:tc>
          <w:tcPr>
            <w:tcBorders>
              <w:top w:color="bfbfbf" w:space="0" w:sz="4" w:val="single"/>
            </w:tcBorders>
          </w:tcPr>
          <w:p w:rsidR="00000000" w:rsidDel="00000000" w:rsidP="00000000" w:rsidRDefault="00000000" w:rsidRPr="00000000" w14:paraId="00000135">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2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77"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65"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36">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37">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38">
            <w:pPr>
              <w:pageBreakBefore w:val="0"/>
              <w:spacing w:after="0" w:before="0" w:line="240" w:lineRule="auto"/>
              <w:ind w:left="0" w:firstLine="0"/>
              <w:rPr>
                <w:sz w:val="16"/>
                <w:szCs w:val="16"/>
              </w:rPr>
            </w:pPr>
            <w:r w:rsidDel="00000000" w:rsidR="00000000" w:rsidRPr="00000000">
              <w:rPr>
                <w:rtl w:val="0"/>
              </w:rPr>
            </w:r>
          </w:p>
        </w:tc>
      </w:tr>
      <w:tr>
        <w:trPr>
          <w:cantSplit w:val="0"/>
          <w:trHeight w:val="380"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13A">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Actively supportive of students’ diverse goals and values</w:t>
            </w:r>
          </w:p>
        </w:tc>
        <w:tc>
          <w:tcPr>
            <w:tcBorders>
              <w:top w:color="bfbfbf" w:space="0" w:sz="4" w:val="single"/>
            </w:tcBorders>
          </w:tcPr>
          <w:p w:rsidR="00000000" w:rsidDel="00000000" w:rsidP="00000000" w:rsidRDefault="00000000" w:rsidRPr="00000000" w14:paraId="0000013B">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8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11"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57"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3C">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3D">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3E">
            <w:pPr>
              <w:pageBreakBefore w:val="0"/>
              <w:spacing w:after="0" w:before="0" w:line="240" w:lineRule="auto"/>
              <w:ind w:left="0" w:firstLine="0"/>
              <w:rPr>
                <w:sz w:val="16"/>
                <w:szCs w:val="16"/>
              </w:rPr>
            </w:pPr>
            <w:r w:rsidDel="00000000" w:rsidR="00000000" w:rsidRPr="00000000">
              <w:rPr>
                <w:rtl w:val="0"/>
              </w:rPr>
            </w:r>
          </w:p>
        </w:tc>
      </w:tr>
      <w:tr>
        <w:trPr>
          <w:cantSplit w:val="0"/>
          <w:trHeight w:val="585" w:hRule="atLeast"/>
          <w:tblHeader w:val="0"/>
        </w:trPr>
        <w:tc>
          <w:tcPr>
            <w:vMerge w:val="restart"/>
          </w:tcPr>
          <w:p w:rsidR="00000000" w:rsidDel="00000000" w:rsidP="00000000" w:rsidRDefault="00000000" w:rsidRPr="00000000" w14:paraId="0000013F">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Reflection, Development, &amp; Teaching Service/ Scholarship</w:t>
            </w:r>
          </w:p>
          <w:p w:rsidR="00000000" w:rsidDel="00000000" w:rsidP="00000000" w:rsidRDefault="00000000" w:rsidRPr="00000000" w14:paraId="00000140">
            <w:pPr>
              <w:pageBreakBefore w:val="0"/>
              <w:widowControl w:val="0"/>
              <w:rPr>
                <w:sz w:val="16"/>
                <w:szCs w:val="16"/>
              </w:rPr>
            </w:pPr>
            <w:r w:rsidDel="00000000" w:rsidR="00000000" w:rsidRPr="00000000">
              <w:rPr>
                <w:rFonts w:ascii="Times New Roman" w:cs="Times New Roman" w:eastAsia="Times New Roman" w:hAnsi="Times New Roman"/>
                <w:i w:val="1"/>
                <w:sz w:val="16"/>
                <w:szCs w:val="16"/>
                <w:rtl w:val="0"/>
              </w:rPr>
              <w:t xml:space="preserve">How has the faculty member’s teaching changed over time? To what extent has the teacher reflected on and </w:t>
            </w:r>
            <w:r w:rsidDel="00000000" w:rsidR="00000000" w:rsidRPr="00000000">
              <w:rPr>
                <w:rFonts w:ascii="Times New Roman" w:cs="Times New Roman" w:eastAsia="Times New Roman" w:hAnsi="Times New Roman"/>
                <w:i w:val="1"/>
                <w:sz w:val="16"/>
                <w:szCs w:val="16"/>
                <w:rtl w:val="0"/>
              </w:rPr>
              <w:t xml:space="preserve">improved</w:t>
            </w:r>
            <w:r w:rsidDel="00000000" w:rsidR="00000000" w:rsidRPr="00000000">
              <w:rPr>
                <w:rFonts w:ascii="Times New Roman" w:cs="Times New Roman" w:eastAsia="Times New Roman" w:hAnsi="Times New Roman"/>
                <w:i w:val="1"/>
                <w:sz w:val="16"/>
                <w:szCs w:val="16"/>
                <w:rtl w:val="0"/>
              </w:rPr>
              <w:t xml:space="preserve"> their own teaching, sought out opportunities for development, and contributed to the broader teaching community, both on and off campus?</w:t>
            </w: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141">
            <w:pPr>
              <w:pageBreakBefore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Regularly adjusts teaching based on prior teaching and feedback</w:t>
            </w:r>
          </w:p>
        </w:tc>
        <w:tc>
          <w:tcPr/>
          <w:p w:rsidR="00000000" w:rsidDel="00000000" w:rsidP="00000000" w:rsidRDefault="00000000" w:rsidRPr="00000000" w14:paraId="00000142">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180975" cy="200025"/>
                  <wp:effectExtent b="0" l="0" r="0" t="0"/>
                  <wp:docPr id="9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190500" cy="200025"/>
                  <wp:effectExtent b="0" l="0" r="0" t="0"/>
                  <wp:docPr id="58"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66700" cy="209550"/>
                  <wp:effectExtent b="0" l="0" r="0" t="0"/>
                  <wp:docPr id="5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66700" cy="20955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143">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Self-reflection</w:t>
            </w:r>
          </w:p>
          <w:p w:rsidR="00000000" w:rsidDel="00000000" w:rsidP="00000000" w:rsidRDefault="00000000" w:rsidRPr="00000000" w14:paraId="00000144">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5">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 Statement</w:t>
            </w:r>
          </w:p>
          <w:p w:rsidR="00000000" w:rsidDel="00000000" w:rsidP="00000000" w:rsidRDefault="00000000" w:rsidRPr="00000000" w14:paraId="00000146">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7">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portfolio</w:t>
            </w:r>
          </w:p>
          <w:p w:rsidR="00000000" w:rsidDel="00000000" w:rsidP="00000000" w:rsidRDefault="00000000" w:rsidRPr="00000000" w14:paraId="0000014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 report of PD/activities</w:t>
            </w:r>
          </w:p>
          <w:p w:rsidR="00000000" w:rsidDel="00000000" w:rsidP="00000000" w:rsidRDefault="00000000" w:rsidRPr="00000000" w14:paraId="0000014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B">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Pedagogical publications</w:t>
            </w:r>
          </w:p>
        </w:tc>
        <w:tc>
          <w:tcPr>
            <w:vMerge w:val="restart"/>
          </w:tcPr>
          <w:p w:rsidR="00000000" w:rsidDel="00000000" w:rsidP="00000000" w:rsidRDefault="00000000" w:rsidRPr="00000000" w14:paraId="0000014C">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of course portfolio</w:t>
            </w:r>
          </w:p>
          <w:p w:rsidR="00000000" w:rsidDel="00000000" w:rsidP="00000000" w:rsidRDefault="00000000" w:rsidRPr="00000000" w14:paraId="0000014D">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E">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Letters</w:t>
            </w:r>
          </w:p>
        </w:tc>
        <w:tc>
          <w:tcPr>
            <w:vMerge w:val="restart"/>
          </w:tcPr>
          <w:p w:rsidR="00000000" w:rsidDel="00000000" w:rsidP="00000000" w:rsidRDefault="00000000" w:rsidRPr="00000000" w14:paraId="0000014F">
            <w:pPr>
              <w:pageBreakBefore w:val="0"/>
              <w:spacing w:after="0" w:before="0" w:line="240" w:lineRule="auto"/>
              <w:ind w:left="0" w:firstLine="0"/>
              <w:rPr>
                <w:sz w:val="18"/>
                <w:szCs w:val="18"/>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151">
            <w:pPr>
              <w:pageBreakBefore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Reflection informed by student feedback beyond FCQs (e.g., mid-course surveys, student performance measures)</w:t>
            </w:r>
          </w:p>
        </w:tc>
        <w:tc>
          <w:tcPr>
            <w:tcBorders>
              <w:top w:color="bfbfbf" w:space="0" w:sz="4" w:val="single"/>
            </w:tcBorders>
          </w:tcPr>
          <w:p w:rsidR="00000000" w:rsidDel="00000000" w:rsidP="00000000" w:rsidRDefault="00000000" w:rsidRPr="00000000" w14:paraId="00000152">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79"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27"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266700" cy="209550"/>
                  <wp:effectExtent b="0" l="0" r="0" t="0"/>
                  <wp:docPr id="17"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66700" cy="20955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53">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54">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55">
            <w:pPr>
              <w:pageBreakBefore w:val="0"/>
              <w:spacing w:after="0" w:before="0" w:line="240" w:lineRule="auto"/>
              <w:ind w:left="0" w:firstLine="0"/>
              <w:rPr>
                <w:sz w:val="16"/>
                <w:szCs w:val="16"/>
              </w:rPr>
            </w:pPr>
            <w:r w:rsidDel="00000000" w:rsidR="00000000" w:rsidRPr="00000000">
              <w:rPr>
                <w:rtl w:val="0"/>
              </w:rPr>
            </w:r>
          </w:p>
        </w:tc>
      </w:tr>
      <w:tr>
        <w:trPr>
          <w:cantSplit w:val="0"/>
          <w:trHeight w:val="580" w:hRule="atLeast"/>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bottom w:color="bfbfbf" w:space="0" w:sz="4" w:val="single"/>
            </w:tcBorders>
            <w:vAlign w:val="center"/>
          </w:tcPr>
          <w:p w:rsidR="00000000" w:rsidDel="00000000" w:rsidP="00000000" w:rsidRDefault="00000000" w:rsidRPr="00000000" w14:paraId="00000157">
            <w:pPr>
              <w:pageBreakBefore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Regular attendance at teaching PD activities and/or regular discussions w/ peers re: teaching, </w:t>
            </w:r>
            <w:r w:rsidDel="00000000" w:rsidR="00000000" w:rsidRPr="00000000">
              <w:rPr>
                <w:rFonts w:ascii="Times New Roman" w:cs="Times New Roman" w:eastAsia="Times New Roman" w:hAnsi="Times New Roman"/>
                <w:sz w:val="18"/>
                <w:szCs w:val="18"/>
                <w:rtl w:val="0"/>
              </w:rPr>
              <w:t xml:space="preserve">including culturally responsive teaching or inclusive pedagogy</w:t>
            </w:r>
          </w:p>
        </w:tc>
        <w:tc>
          <w:tcPr>
            <w:tcBorders>
              <w:top w:color="bfbfbf" w:space="0" w:sz="4" w:val="single"/>
            </w:tcBorders>
          </w:tcPr>
          <w:p w:rsidR="00000000" w:rsidDel="00000000" w:rsidP="00000000" w:rsidRDefault="00000000" w:rsidRPr="00000000" w14:paraId="00000158">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89"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31"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266700" cy="209550"/>
                  <wp:effectExtent b="0" l="0" r="0" t="0"/>
                  <wp:docPr id="29"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66700" cy="20955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59">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5A">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5B">
            <w:pPr>
              <w:pageBreakBefore w:val="0"/>
              <w:spacing w:after="0" w:before="0" w:line="240" w:lineRule="auto"/>
              <w:ind w:left="0" w:firstLine="0"/>
              <w:rPr>
                <w:sz w:val="16"/>
                <w:szCs w:val="16"/>
              </w:rPr>
            </w:pPr>
            <w:r w:rsidDel="00000000" w:rsidR="00000000" w:rsidRPr="00000000">
              <w:rPr>
                <w:rtl w:val="0"/>
              </w:rPr>
            </w:r>
          </w:p>
        </w:tc>
      </w:tr>
      <w:tr>
        <w:trPr>
          <w:cantSplit w:val="0"/>
          <w:trHeight w:val="1080" w:hRule="atLeast"/>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bfbfbf" w:space="0" w:sz="4" w:val="single"/>
            </w:tcBorders>
            <w:vAlign w:val="center"/>
          </w:tcPr>
          <w:p w:rsidR="00000000" w:rsidDel="00000000" w:rsidP="00000000" w:rsidRDefault="00000000" w:rsidRPr="00000000" w14:paraId="0000015D">
            <w:pPr>
              <w:pageBreakBefore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Actively mentors others about teaching and/or formally shares teaching ideas, examples, materials, or methods (e.g., presentations, publications)</w:t>
            </w:r>
          </w:p>
        </w:tc>
        <w:tc>
          <w:tcPr>
            <w:tcBorders>
              <w:top w:color="bfbfbf" w:space="0" w:sz="4" w:val="single"/>
            </w:tcBorders>
          </w:tcPr>
          <w:p w:rsidR="00000000" w:rsidDel="00000000" w:rsidP="00000000" w:rsidRDefault="00000000" w:rsidRPr="00000000" w14:paraId="0000015E">
            <w:pPr>
              <w:pageBreakBefore w:val="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80975" cy="200025"/>
                  <wp:effectExtent b="0" l="0" r="0" t="0"/>
                  <wp:docPr id="5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0975"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190500" cy="200025"/>
                  <wp:effectExtent b="0" l="0" r="0" t="0"/>
                  <wp:docPr id="33"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200025"/>
                          </a:xfrm>
                          <a:prstGeom prst="rect"/>
                          <a:ln/>
                        </pic:spPr>
                      </pic:pic>
                    </a:graphicData>
                  </a:graphic>
                </wp:inline>
              </w:drawing>
            </w:r>
            <w:r w:rsidDel="00000000" w:rsidR="00000000" w:rsidRPr="00000000">
              <w:rPr>
                <w:rFonts w:ascii="Times New Roman" w:cs="Times New Roman" w:eastAsia="Times New Roman" w:hAnsi="Times New Roman"/>
                <w:sz w:val="16"/>
                <w:szCs w:val="16"/>
              </w:rPr>
              <w:drawing>
                <wp:inline distB="114300" distT="114300" distL="114300" distR="114300">
                  <wp:extent cx="266700" cy="209550"/>
                  <wp:effectExtent b="0" l="0" r="0" t="0"/>
                  <wp:docPr id="4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66700" cy="20955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15F">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60">
            <w:pPr>
              <w:pageBreakBefore w:val="0"/>
              <w:spacing w:after="0" w:before="0" w:line="240" w:lineRule="auto"/>
              <w:ind w:left="0" w:firstLine="0"/>
              <w:rPr>
                <w:sz w:val="16"/>
                <w:szCs w:val="16"/>
              </w:rPr>
            </w:pPr>
            <w:r w:rsidDel="00000000" w:rsidR="00000000" w:rsidRPr="00000000">
              <w:rPr>
                <w:rtl w:val="0"/>
              </w:rPr>
            </w:r>
          </w:p>
        </w:tc>
        <w:tc>
          <w:tcPr>
            <w:vMerge w:val="continue"/>
          </w:tcPr>
          <w:p w:rsidR="00000000" w:rsidDel="00000000" w:rsidP="00000000" w:rsidRDefault="00000000" w:rsidRPr="00000000" w14:paraId="00000161">
            <w:pPr>
              <w:pageBreakBefore w:val="0"/>
              <w:spacing w:after="0" w:before="0" w:line="240" w:lineRule="auto"/>
              <w:ind w:left="0" w:firstLine="0"/>
              <w:rPr>
                <w:sz w:val="16"/>
                <w:szCs w:val="16"/>
              </w:rPr>
            </w:pPr>
            <w:r w:rsidDel="00000000" w:rsidR="00000000" w:rsidRPr="00000000">
              <w:rPr>
                <w:rtl w:val="0"/>
              </w:rPr>
            </w:r>
          </w:p>
        </w:tc>
      </w:tr>
    </w:tbl>
    <w:p w:rsidR="00000000" w:rsidDel="00000000" w:rsidP="00000000" w:rsidRDefault="00000000" w:rsidRPr="00000000" w14:paraId="00000162">
      <w:pPr>
        <w:pageBreakBefore w:val="0"/>
        <w:spacing w:line="276" w:lineRule="auto"/>
        <w:ind w:left="720" w:firstLine="0"/>
        <w:rPr>
          <w:rFonts w:ascii="Times New Roman" w:cs="Times New Roman" w:eastAsia="Times New Roman" w:hAnsi="Times New Roman"/>
          <w:sz w:val="16"/>
          <w:szCs w:val="16"/>
        </w:rPr>
      </w:pPr>
      <w:r w:rsidDel="00000000" w:rsidR="00000000" w:rsidRPr="00000000">
        <w:rPr>
          <w:rtl w:val="0"/>
        </w:rPr>
      </w:r>
    </w:p>
    <w:sectPr>
      <w:headerReference r:id="rId24" w:type="first"/>
      <w:footerReference r:id="rId25" w:type="default"/>
      <w:footerReference r:id="rId26" w:type="first"/>
      <w:pgSz w:h="12240" w:w="15840" w:orient="landscape"/>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pageBreakBefore w:val="0"/>
      <w:spacing w:line="276"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64">
    <w:pPr>
      <w:pageBreakBefore w:val="0"/>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For more information about the Teaching Quality Framework, please visit our website:</w:t>
    </w:r>
    <w:hyperlink r:id="rId1">
      <w:r w:rsidDel="00000000" w:rsidR="00000000" w:rsidRPr="00000000">
        <w:rPr>
          <w:rFonts w:ascii="Helvetica Neue" w:cs="Helvetica Neue" w:eastAsia="Helvetica Neue" w:hAnsi="Helvetica Neue"/>
          <w:sz w:val="16"/>
          <w:szCs w:val="16"/>
          <w:rtl w:val="0"/>
        </w:rPr>
        <w:t xml:space="preserve"> </w:t>
      </w:r>
    </w:hyperlink>
    <w:hyperlink r:id="rId2">
      <w:r w:rsidDel="00000000" w:rsidR="00000000" w:rsidRPr="00000000">
        <w:rPr>
          <w:rFonts w:ascii="Helvetica Neue" w:cs="Helvetica Neue" w:eastAsia="Helvetica Neue" w:hAnsi="Helvetica Neue"/>
          <w:color w:val="1155cc"/>
          <w:sz w:val="16"/>
          <w:szCs w:val="16"/>
          <w:u w:val="single"/>
          <w:rtl w:val="0"/>
        </w:rPr>
        <w:t xml:space="preserve">www.colorado.edu/teaching-quality-framework</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tl w:val="0"/>
      </w:rPr>
    </w:r>
  </w:p>
  <w:p w:rsidR="00000000" w:rsidDel="00000000" w:rsidP="00000000" w:rsidRDefault="00000000" w:rsidRPr="00000000" w14:paraId="00000165">
    <w:pPr>
      <w:pageBreakBefore w:val="0"/>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See also </w:t>
    </w:r>
    <w:hyperlink r:id="rId3">
      <w:r w:rsidDel="00000000" w:rsidR="00000000" w:rsidRPr="00000000">
        <w:rPr>
          <w:rFonts w:ascii="Helvetica Neue" w:cs="Helvetica Neue" w:eastAsia="Helvetica Neue" w:hAnsi="Helvetica Neue"/>
          <w:color w:val="1155cc"/>
          <w:sz w:val="16"/>
          <w:szCs w:val="16"/>
          <w:u w:val="single"/>
          <w:rtl w:val="0"/>
        </w:rPr>
        <w:t xml:space="preserve">http://teval.net/</w:t>
      </w:r>
    </w:hyperlink>
    <w:r w:rsidDel="00000000" w:rsidR="00000000" w:rsidRPr="00000000">
      <w:rPr>
        <w:rFonts w:ascii="Helvetica Neue" w:cs="Helvetica Neue" w:eastAsia="Helvetica Neue" w:hAnsi="Helvetica Neue"/>
        <w:sz w:val="16"/>
        <w:szCs w:val="16"/>
        <w:rtl w:val="0"/>
      </w:rPr>
      <w:t xml:space="preserve"> for information about the broader NSF-funded multi-institutional teaching evaluation project.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pageBreakBefore w:val="0"/>
      <w:spacing w:line="276" w:lineRule="auto"/>
      <w:rPr>
        <w:rFonts w:ascii="Helvetica Neue" w:cs="Helvetica Neue" w:eastAsia="Helvetica Neue" w:hAnsi="Helvetica Neue"/>
        <w:color w:val="3c4043"/>
        <w:sz w:val="16"/>
        <w:szCs w:val="16"/>
        <w:highlight w:val="white"/>
      </w:rPr>
    </w:pPr>
    <w:r w:rsidDel="00000000" w:rsidR="00000000" w:rsidRPr="00000000">
      <w:rPr>
        <w:rFonts w:ascii="Helvetica Neue" w:cs="Helvetica Neue" w:eastAsia="Helvetica Neue" w:hAnsi="Helvetica Neue"/>
        <w:sz w:val="16"/>
        <w:szCs w:val="16"/>
        <w:highlight w:val="white"/>
        <w:rtl w:val="0"/>
      </w:rPr>
      <w:t xml:space="preserve">This resource is part of the TQF project at CU Boulder, which is supported by NSF </w:t>
    </w:r>
    <w:r w:rsidDel="00000000" w:rsidR="00000000" w:rsidRPr="00000000">
      <w:rPr>
        <w:rFonts w:ascii="Helvetica Neue" w:cs="Helvetica Neue" w:eastAsia="Helvetica Neue" w:hAnsi="Helvetica Neue"/>
        <w:sz w:val="16"/>
        <w:szCs w:val="16"/>
        <w:rtl w:val="0"/>
      </w:rPr>
      <w:t xml:space="preserve">(DUE-1725959)</w:t>
    </w:r>
    <w:r w:rsidDel="00000000" w:rsidR="00000000" w:rsidRPr="00000000">
      <w:rPr>
        <w:rFonts w:ascii="Helvetica Neue" w:cs="Helvetica Neue" w:eastAsia="Helvetica Neue" w:hAnsi="Helvetica Neue"/>
        <w:sz w:val="16"/>
        <w:szCs w:val="16"/>
        <w:highlight w:val="white"/>
        <w:rtl w:val="0"/>
      </w:rPr>
      <w:t xml:space="preserve">, the </w:t>
    </w:r>
    <w:r w:rsidDel="00000000" w:rsidR="00000000" w:rsidRPr="00000000">
      <w:rPr>
        <w:rFonts w:ascii="Helvetica Neue" w:cs="Helvetica Neue" w:eastAsia="Helvetica Neue" w:hAnsi="Helvetica Neue"/>
        <w:sz w:val="16"/>
        <w:szCs w:val="16"/>
        <w:highlight w:val="white"/>
        <w:rtl w:val="0"/>
      </w:rPr>
      <w:t xml:space="preserve">Association</w:t>
    </w:r>
    <w:r w:rsidDel="00000000" w:rsidR="00000000" w:rsidRPr="00000000">
      <w:rPr>
        <w:rFonts w:ascii="Helvetica Neue" w:cs="Helvetica Neue" w:eastAsia="Helvetica Neue" w:hAnsi="Helvetica Neue"/>
        <w:sz w:val="16"/>
        <w:szCs w:val="16"/>
        <w:highlight w:val="white"/>
        <w:rtl w:val="0"/>
      </w:rPr>
      <w:t xml:space="preserve"> of American Universities, and CU Boulder Colleges of Arts &amp; Sciences and Engineering &amp; Applied Science. </w:t>
    </w:r>
    <w:r w:rsidDel="00000000" w:rsidR="00000000" w:rsidRPr="00000000">
      <w:rPr>
        <w:rFonts w:ascii="Helvetica Neue" w:cs="Helvetica Neue" w:eastAsia="Helvetica Neue" w:hAnsi="Helvetica Neue"/>
        <w:sz w:val="16"/>
        <w:szCs w:val="16"/>
        <w:highlight w:val="white"/>
        <w:rtl w:val="0"/>
      </w:rPr>
      <w:t xml:space="preserve">Any opinions, findings, and conclusions or recommendations expressed in this material are those of the authors and do not necessarily reflect the views of the NSF or other funding sources.</w:t>
    </w:r>
    <w:r w:rsidDel="00000000" w:rsidR="00000000" w:rsidRPr="00000000">
      <w:rPr>
        <w:rFonts w:ascii="Helvetica Neue" w:cs="Helvetica Neue" w:eastAsia="Helvetica Neue" w:hAnsi="Helvetica Neue"/>
        <w:color w:val="3c4043"/>
        <w:sz w:val="16"/>
        <w:szCs w:val="16"/>
        <w:highlight w:val="white"/>
        <w:rtl w:val="0"/>
      </w:rPr>
      <w:t xml:space="preserve"> </w:t>
    </w:r>
    <w:r w:rsidDel="00000000" w:rsidR="00000000" w:rsidRPr="00000000">
      <w:rPr>
        <w:rFonts w:ascii="Helvetica Neue" w:cs="Helvetica Neue" w:eastAsia="Helvetica Neue" w:hAnsi="Helvetica Neue"/>
        <w:sz w:val="16"/>
        <w:szCs w:val="16"/>
        <w:rtl w:val="0"/>
      </w:rPr>
      <w:t xml:space="preserve">For more information about the Teaching Quality Framework, please visit our website:</w:t>
    </w:r>
    <w:hyperlink r:id="rId1">
      <w:r w:rsidDel="00000000" w:rsidR="00000000" w:rsidRPr="00000000">
        <w:rPr>
          <w:rFonts w:ascii="Helvetica Neue" w:cs="Helvetica Neue" w:eastAsia="Helvetica Neue" w:hAnsi="Helvetica Neue"/>
          <w:sz w:val="16"/>
          <w:szCs w:val="16"/>
          <w:rtl w:val="0"/>
        </w:rPr>
        <w:t xml:space="preserve"> </w:t>
      </w:r>
    </w:hyperlink>
    <w:hyperlink r:id="rId2">
      <w:r w:rsidDel="00000000" w:rsidR="00000000" w:rsidRPr="00000000">
        <w:rPr>
          <w:rFonts w:ascii="Helvetica Neue" w:cs="Helvetica Neue" w:eastAsia="Helvetica Neue" w:hAnsi="Helvetica Neue"/>
          <w:color w:val="1155cc"/>
          <w:sz w:val="16"/>
          <w:szCs w:val="16"/>
          <w:u w:val="single"/>
          <w:rtl w:val="0"/>
        </w:rPr>
        <w:t xml:space="preserve">www.colorado.edu/teaching-quality-framework</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sz w:val="16"/>
        <w:szCs w:val="16"/>
        <w:rtl w:val="0"/>
      </w:rPr>
      <w:t xml:space="preserve">See also </w:t>
    </w:r>
    <w:hyperlink r:id="rId3">
      <w:r w:rsidDel="00000000" w:rsidR="00000000" w:rsidRPr="00000000">
        <w:rPr>
          <w:rFonts w:ascii="Helvetica Neue" w:cs="Helvetica Neue" w:eastAsia="Helvetica Neue" w:hAnsi="Helvetica Neue"/>
          <w:color w:val="1155cc"/>
          <w:sz w:val="16"/>
          <w:szCs w:val="16"/>
          <w:u w:val="single"/>
          <w:rtl w:val="0"/>
        </w:rPr>
        <w:t xml:space="preserve">http://teval.net/</w:t>
      </w:r>
    </w:hyperlink>
    <w:r w:rsidDel="00000000" w:rsidR="00000000" w:rsidRPr="00000000">
      <w:rPr>
        <w:rFonts w:ascii="Helvetica Neue" w:cs="Helvetica Neue" w:eastAsia="Helvetica Neue" w:hAnsi="Helvetica Neue"/>
        <w:sz w:val="16"/>
        <w:szCs w:val="16"/>
        <w:rtl w:val="0"/>
      </w:rPr>
      <w:t xml:space="preserve"> for information about the broader NSF-funded multi-institutional teaching evaluation project.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pageBreakBefore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Teaching Quality Framework (TQF) Rubric Mapping Tool - Identifying Gaps in Teaching Evaluation Systems</w:t>
    </w:r>
  </w:p>
  <w:p w:rsidR="00000000" w:rsidDel="00000000" w:rsidP="00000000" w:rsidRDefault="00000000" w:rsidRPr="00000000" w14:paraId="00000167">
    <w:pPr>
      <w:pageBreakBefore w:val="0"/>
      <w:widowControl w:val="0"/>
      <w:spacing w:line="276"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October 2020 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image" Target="media/image11.png"/><Relationship Id="rId21" Type="http://schemas.openxmlformats.org/officeDocument/2006/relationships/image" Target="media/image10.png"/><Relationship Id="rId24" Type="http://schemas.openxmlformats.org/officeDocument/2006/relationships/header" Target="header1.xml"/><Relationship Id="rId23" Type="http://schemas.openxmlformats.org/officeDocument/2006/relationships/image" Target="media/image2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orado.edu/center/teaching-learning/"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lorado.edu/teaching-quality-framework/TQFRubric" TargetMode="External"/><Relationship Id="rId7" Type="http://schemas.openxmlformats.org/officeDocument/2006/relationships/hyperlink" Target="https://www.colorado.edu/teaching-quality-framework/tools-for-teaching-evaluation" TargetMode="External"/><Relationship Id="rId8" Type="http://schemas.openxmlformats.org/officeDocument/2006/relationships/hyperlink" Target="http://teval.net/" TargetMode="External"/><Relationship Id="rId11" Type="http://schemas.openxmlformats.org/officeDocument/2006/relationships/hyperlink" Target="https://cte.ku.edu/rubric-department-evaluation-faculty-teaching" TargetMode="External"/><Relationship Id="rId10" Type="http://schemas.openxmlformats.org/officeDocument/2006/relationships/hyperlink" Target="https://www.colorado.edu/assett/our-offerings/services" TargetMode="External"/><Relationship Id="rId13" Type="http://schemas.openxmlformats.org/officeDocument/2006/relationships/image" Target="media/image5.png"/><Relationship Id="rId12" Type="http://schemas.openxmlformats.org/officeDocument/2006/relationships/hyperlink" Target="https://cte.ku.edu/rubric-department-evaluation-faculty-teaching" TargetMode="External"/><Relationship Id="rId15" Type="http://schemas.openxmlformats.org/officeDocument/2006/relationships/image" Target="media/image14.png"/><Relationship Id="rId14" Type="http://schemas.openxmlformats.org/officeDocument/2006/relationships/image" Target="media/image19.png"/><Relationship Id="rId17" Type="http://schemas.openxmlformats.org/officeDocument/2006/relationships/image" Target="media/image21.png"/><Relationship Id="rId16" Type="http://schemas.openxmlformats.org/officeDocument/2006/relationships/image" Target="media/image12.png"/><Relationship Id="rId19" Type="http://schemas.openxmlformats.org/officeDocument/2006/relationships/image" Target="media/image17.png"/><Relationship Id="rId1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olorado.edu/teaching-quality-framework" TargetMode="External"/><Relationship Id="rId2" Type="http://schemas.openxmlformats.org/officeDocument/2006/relationships/hyperlink" Target="http://www.colorado.edu/teaching-quality-framework" TargetMode="External"/><Relationship Id="rId3" Type="http://schemas.openxmlformats.org/officeDocument/2006/relationships/hyperlink" Target="http://teval.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lorado.edu/teaching-quality-framework" TargetMode="External"/><Relationship Id="rId2" Type="http://schemas.openxmlformats.org/officeDocument/2006/relationships/hyperlink" Target="http://www.colorado.edu/teaching-quality-framework" TargetMode="External"/><Relationship Id="rId3" Type="http://schemas.openxmlformats.org/officeDocument/2006/relationships/hyperlink" Target="http://tev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