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0A87" w:rsidRDefault="00380A87" w:rsidP="00477E59">
      <w:pPr>
        <w:pStyle w:val="PDMHeading1"/>
      </w:pPr>
      <w:bookmarkStart w:id="0" w:name="_GoBack"/>
      <w:bookmarkEnd w:id="0"/>
      <w:r>
        <w:t xml:space="preserve">Construction </w:t>
      </w:r>
      <w:r w:rsidRPr="00A27397">
        <w:t>Manager</w:t>
      </w:r>
      <w:r>
        <w:t xml:space="preserve"> / General Contractor (CM/GC)</w:t>
      </w:r>
    </w:p>
    <w:p w:rsidR="00380A87" w:rsidRDefault="00380A87" w:rsidP="00380A87">
      <w:r>
        <w:t>Also known as Construction Manager at Risk (CMR)</w:t>
      </w:r>
    </w:p>
    <w:p w:rsidR="00380A87" w:rsidRDefault="00380A87" w:rsidP="00380A87">
      <w:pPr>
        <w:pStyle w:val="PDMHeading2"/>
      </w:pPr>
      <w:r>
        <w:t>What is it?</w:t>
      </w:r>
    </w:p>
    <w:p w:rsidR="00380A87" w:rsidRPr="00A27397" w:rsidRDefault="00380A87" w:rsidP="00380A87">
      <w:r>
        <w:t>Construction manager / general contractor (CM/GC) is a project delivery method in which the State Transportation Agency (STA) holds contracts with two parties: the design consultant and the Construction Manager/General Contractor firm.</w:t>
      </w:r>
      <w:r w:rsidR="00E86F37">
        <w:t xml:space="preserve"> </w:t>
      </w:r>
      <w:r>
        <w:t xml:space="preserve">However, unlike the typical design-bid-build system, here, the CMGC’s services </w:t>
      </w:r>
      <w:proofErr w:type="gramStart"/>
      <w:r>
        <w:t>are retained</w:t>
      </w:r>
      <w:proofErr w:type="gramEnd"/>
      <w:r>
        <w:t xml:space="preserve"> early on the design phase. As a result, the CMGC has an input during design and controls the entire construction phase. Under this method, the CMGC is said to be “at Risk” because the project is delivered under a Guaranteed Maximum Price (GMP) that is negotiated during the design phase </w:t>
      </w:r>
      <w:r>
        <w:fldChar w:fldCharType="begin"/>
      </w:r>
      <w:r>
        <w:instrText xml:space="preserve"> ADDIN ZOTERO_ITEM CSL_CITATION {"citationID":"2620plheo1","properties":{"formattedCitation":"{\\rtf \\i (1, 2)\\i0{}}","plainCitation":"(1, 2)"},"citationItems":[{"id":55,"uris":["http://zotero.org/users/1628965/items/38DITQEM"],"uri":["http://zotero.org/users/1628965/items/38DITQEM"],"itemData":{"id":55,"type":"report","title":"Alternative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E10B98">
        <w:rPr>
          <w:i/>
          <w:iCs/>
          <w:szCs w:val="24"/>
        </w:rPr>
        <w:t>(1, 2)</w:t>
      </w:r>
      <w:r>
        <w:fldChar w:fldCharType="end"/>
      </w:r>
      <w:r>
        <w:t xml:space="preserve">. </w:t>
      </w:r>
    </w:p>
    <w:p w:rsidR="00380A87" w:rsidRDefault="00380A87" w:rsidP="00380A87">
      <w:pPr>
        <w:pStyle w:val="PDMHeading2"/>
      </w:pPr>
      <w:r>
        <w:t>Why use it?</w:t>
      </w:r>
    </w:p>
    <w:p w:rsidR="00380A87" w:rsidRDefault="00380A87" w:rsidP="00380A87">
      <w:r>
        <w:t xml:space="preserve">The CM/GC delivery method provides the following advantages </w:t>
      </w:r>
      <w:r w:rsidRPr="00B02BEC">
        <w:rPr>
          <w:i/>
        </w:rPr>
        <w:t>(2, 3)</w:t>
      </w:r>
      <w:r>
        <w:t>:</w:t>
      </w:r>
    </w:p>
    <w:p w:rsidR="00380A87" w:rsidRDefault="00380A87" w:rsidP="00380A87">
      <w:pPr>
        <w:pStyle w:val="Bullets"/>
      </w:pPr>
      <w:r>
        <w:t xml:space="preserve">Allows fast-tracking of design and construction activities resulting in potential time savings </w:t>
      </w:r>
      <w:r>
        <w:fldChar w:fldCharType="begin"/>
      </w:r>
      <w:r>
        <w:instrText xml:space="preserve"> ADDIN ZOTERO_ITEM CSL_CITATION {"citationID":"2p22gugnop","properties":{"formattedCitation":"{\\rtf \\i (3)\\i0{}}","plainCitation":"(3)"},"citationItems":[{"id":44,"uris":["http://zotero.org/users/1628965/items/J36VQNBG"],"uri":["http://zotero.org/users/1628965/items/J36VQNBG"],"itemData":{"id":44,"type":"report","title":"Innovative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end"/>
      </w:r>
      <w:r>
        <w:t>,</w:t>
      </w:r>
    </w:p>
    <w:p w:rsidR="00380A87" w:rsidRDefault="00380A87" w:rsidP="00380A87">
      <w:pPr>
        <w:pStyle w:val="Bullets"/>
      </w:pPr>
      <w:r>
        <w:t>Allows for innovation and constructability recommendations during design, but the STA retains significant control over design,</w:t>
      </w:r>
    </w:p>
    <w:p w:rsidR="00380A87" w:rsidRDefault="00380A87" w:rsidP="00380A87">
      <w:pPr>
        <w:pStyle w:val="Bullets"/>
      </w:pPr>
      <w:r>
        <w:t>Once GMP is established the CM/GC invests more in cost engineering and constructability reviews in order to minimize risks,</w:t>
      </w:r>
    </w:p>
    <w:p w:rsidR="00380A87" w:rsidRDefault="00380A87" w:rsidP="00380A87">
      <w:pPr>
        <w:pStyle w:val="Bullets"/>
      </w:pPr>
      <w:r>
        <w:t>Fixes project costs and completion responsibility, and</w:t>
      </w:r>
    </w:p>
    <w:p w:rsidR="00380A87" w:rsidRPr="00615971" w:rsidRDefault="00380A87" w:rsidP="00380A87">
      <w:pPr>
        <w:pStyle w:val="Bullets"/>
      </w:pPr>
      <w:r>
        <w:t xml:space="preserve">CM/GC services provided during preconstruction reduce design costs by reducing the amount of detail that is required and by focusing the early design effort on constructible solutions </w:t>
      </w:r>
    </w:p>
    <w:p w:rsidR="00380A87" w:rsidRDefault="00380A87" w:rsidP="00380A87">
      <w:pPr>
        <w:pStyle w:val="PDMHeading2"/>
      </w:pPr>
      <w:r>
        <w:t>What does it do?</w:t>
      </w:r>
    </w:p>
    <w:p w:rsidR="00380A87" w:rsidRDefault="00380A87" w:rsidP="00380A87">
      <w:r>
        <w:t xml:space="preserve">Under the CM/GC delivery method, the STA selects a CMGC firm to perform preconstruction and construction management services. During the design phase, the CMGC firm acts in an advisory/management role. It provides constructability reviews, value engineering suggestions, construction estimates, and other construction-related recommendations </w:t>
      </w:r>
      <w:r>
        <w:fldChar w:fldCharType="begin"/>
      </w:r>
      <w:r>
        <w:instrText xml:space="preserve"> ADDIN ZOTERO_ITEM CSL_CITATION {"citationID":"YtF6oA1h","properties":{"formattedCitation":"{\\rtf \\i (1, 4)\\i0{}}","plainCitation":"(1, 4)"},"citationItems":[{"id":55,"uris":["http://zotero.org/users/1628965/items/38DITQEM"],"uri":["http://zotero.org/users/1628965/items/38DITQEM"],"itemData":{"id":55,"type":"report","title":"Alternative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id":395,"uris":["http://zotero.org/users/1628965/items/9JNTT6VS"],"uri":["http://zotero.org/users/1628965/items/9JNTT6VS"],"itemData":{"id":395,"type":"report","title":"Benefits of Contract Manager/General Contractor (CMGC)","URL":"https://www.udot.utah.gov/main/uconowner.gf?n=3287906763319024","author":[{"family":"Utah Department of Trasportation","given":""}],"issued":{"date-parts":[["2009",2]]},"accessed":{"date-parts":[["2014",3,28]]}}}],"schema":"https://github.com/citation-style-language/schema/raw/master/csl-citation.json"} </w:instrText>
      </w:r>
      <w:r>
        <w:fldChar w:fldCharType="separate"/>
      </w:r>
      <w:r w:rsidRPr="00E10B98">
        <w:rPr>
          <w:i/>
          <w:iCs/>
          <w:szCs w:val="24"/>
        </w:rPr>
        <w:t>(1, 4)</w:t>
      </w:r>
      <w:r>
        <w:fldChar w:fldCharType="end"/>
      </w:r>
      <w:r>
        <w:t xml:space="preserve">. At some point on or before design reaches 100% completion, the STA and CMGC firm negotiate a GMP, which is based on o partially completed design and includes the CMGC estimate of the cost for the remaining design elements </w:t>
      </w:r>
      <w:r>
        <w:fldChar w:fldCharType="begin"/>
      </w:r>
      <w:r>
        <w:instrText xml:space="preserve"> ADDIN ZOTERO_ITEM CSL_CITATION {"citationID":"260mk97b6s","properties":{"formattedCitation":"{\\rtf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E10B98">
        <w:rPr>
          <w:i/>
          <w:iCs/>
          <w:szCs w:val="24"/>
        </w:rPr>
        <w:t>(1)</w:t>
      </w:r>
      <w:r>
        <w:fldChar w:fldCharType="end"/>
      </w:r>
      <w:r>
        <w:t>.</w:t>
      </w:r>
    </w:p>
    <w:p w:rsidR="00380A87" w:rsidRPr="00E10B98" w:rsidRDefault="00380A87" w:rsidP="00380A87">
      <w:r>
        <w:t xml:space="preserve">Once the GMP is established, the CMGC firm starts the construction phase, thus allowing an overlap of the design and construction phases. During construction, the CMGC firm acts as a general contractor and </w:t>
      </w:r>
      <w:r>
        <w:lastRenderedPageBreak/>
        <w:t xml:space="preserve">performs contractually obligated work. The contractor holds the construction contract and risk for any construction costs that exceed the GMP </w:t>
      </w:r>
      <w:r>
        <w:fldChar w:fldCharType="begin"/>
      </w:r>
      <w:r>
        <w:instrText xml:space="preserve"> ADDIN ZOTERO_ITEM CSL_CITATION {"citationID":"b5ppqffnn","properties":{"formattedCitation":"{\\rtf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7D67B8">
        <w:rPr>
          <w:i/>
          <w:iCs/>
          <w:szCs w:val="24"/>
        </w:rPr>
        <w:t>(1)</w:t>
      </w:r>
      <w:r>
        <w:fldChar w:fldCharType="end"/>
      </w:r>
      <w:r>
        <w:t>.</w:t>
      </w:r>
    </w:p>
    <w:p w:rsidR="00380A87" w:rsidRDefault="00380A87" w:rsidP="00380A87">
      <w:pPr>
        <w:pStyle w:val="PDMHeading2"/>
      </w:pPr>
      <w:proofErr w:type="gramStart"/>
      <w:r>
        <w:t>How to use it?</w:t>
      </w:r>
      <w:proofErr w:type="gramEnd"/>
    </w:p>
    <w:p w:rsidR="00380A87" w:rsidRDefault="00380A87" w:rsidP="00380A87">
      <w:r>
        <w:t xml:space="preserve">Upon selection of the CM/GC method as a project’s delivery method, the process </w:t>
      </w:r>
      <w:proofErr w:type="gramStart"/>
      <w:r>
        <w:t>can be divided</w:t>
      </w:r>
      <w:proofErr w:type="gramEnd"/>
      <w:r>
        <w:t xml:space="preserve"> into three parts:</w:t>
      </w:r>
    </w:p>
    <w:p w:rsidR="00380A87" w:rsidRDefault="00380A87" w:rsidP="00380A87">
      <w:pPr>
        <w:numPr>
          <w:ilvl w:val="0"/>
          <w:numId w:val="5"/>
        </w:numPr>
        <w:ind w:left="360"/>
      </w:pPr>
      <w:r>
        <w:rPr>
          <w:b/>
        </w:rPr>
        <w:t>Project development and CMGC selection</w:t>
      </w:r>
      <w:r>
        <w:t xml:space="preserve"> – As a first step in the project development phase, the STA identifies and allocates the risks associated with the project. The second step is to develop preliminary documents including environmental, right of way, and utilities </w:t>
      </w:r>
      <w:r>
        <w:fldChar w:fldCharType="begin"/>
      </w:r>
      <w:r>
        <w:instrText xml:space="preserve"> ADDIN ZOTERO_ITEM CSL_CITATION {"citationID":"25ecu0hc37","properties":{"formattedCitation":"{\\rtf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0200AD">
        <w:rPr>
          <w:i/>
          <w:iCs/>
          <w:szCs w:val="24"/>
        </w:rPr>
        <w:t>(1)</w:t>
      </w:r>
      <w:r>
        <w:fldChar w:fldCharType="end"/>
      </w:r>
      <w:r>
        <w:t xml:space="preserve">. The third step is to develop preliminary design documentation, which should be minimal in order to maximize the effectiveness of the CM/GC method but enough to conduct effective procurement of a CM/GC firm. The project goals and objectives should guide the STA through these steps. In case of the CMGC selection, the procurement is generally made using a qualifications-based selection </w:t>
      </w:r>
      <w:r>
        <w:fldChar w:fldCharType="begin"/>
      </w:r>
      <w:r>
        <w:instrText xml:space="preserve"> ADDIN ZOTERO_ITEM CSL_CITATION {"citationID":"1pa1rhb0ac","properties":{"formattedCitation":"{\\rtf \\i (5)\\i0{}}","plainCitation":"(5)"},"citationItems":[{"id":399,"uris":["http://zotero.org/users/1628965/items/33DHPVNR"],"uri":["http://zotero.org/users/1628965/items/33DHPVNR"],"itemData":{"id":399,"type":"report","title":"CM/GC Guidelines for Public Owners","publisher-place":"United States of America","event-place":"United States of America","URL":"http://www.agc.org/galleries/events/CM_GC_Guidelines.pdf","number":"AGC 2912, NASFA F-3007","author":[{"family":"Associated General Contractors of America","given":""},{"family":"National Association of State Facilitites Administrators","given":""}],"issued":{"date-parts":[["2003"]]},"accessed":{"date-parts":[["2014",3,28]]}}}],"schema":"https://github.com/citation-style-language/schema/raw/master/csl-citation.json"} </w:instrText>
      </w:r>
      <w:r>
        <w:fldChar w:fldCharType="separate"/>
      </w:r>
      <w:r w:rsidRPr="000200AD">
        <w:rPr>
          <w:i/>
          <w:iCs/>
          <w:szCs w:val="24"/>
        </w:rPr>
        <w:t>(5)</w:t>
      </w:r>
      <w:r>
        <w:fldChar w:fldCharType="end"/>
      </w:r>
      <w:r>
        <w:t xml:space="preserve">. Here, the STA negotiates a fee for the pre-construction services with the highest ranked proposer awarded the project </w:t>
      </w:r>
      <w:r>
        <w:fldChar w:fldCharType="begin"/>
      </w:r>
      <w:r>
        <w:instrText xml:space="preserve"> ADDIN ZOTERO_ITEM CSL_CITATION {"citationID":"1o382f7hcr","properties":{"formattedCitation":"{\\rtf \\i (1)\\i0{}}","plainCitation":"(1)"},"citationItems":[{"id":55,"uris":["http://zotero.org/users/1628965/items/38DITQEM"],"uri":["http://zotero.org/users/1628965/items/38DITQEM"],"itemData":{"id":55,"type":"report","title":"Alternative Procurement Guide","publisher":"California Department of Transportation","publisher-place":"San Diego, CA","event-place":"San Diego, CA","URL":"http://www.dot.ca.gov/hq/oppd/contracting/AlternativeProcurementGuide.pdf","author":[{"family":"Trauner Consulting Services","given":""},{"family":"California Department of Transportation","given":""}],"issued":{"date-parts":[["2008",4]]},"accessed":{"date-parts":[["2013",9,21]]}}}],"schema":"https://github.com/citation-style-language/schema/raw/master/csl-citation.json"} </w:instrText>
      </w:r>
      <w:r>
        <w:fldChar w:fldCharType="separate"/>
      </w:r>
      <w:r w:rsidRPr="00DC7E68">
        <w:rPr>
          <w:i/>
          <w:iCs/>
          <w:szCs w:val="24"/>
        </w:rPr>
        <w:t>(1)</w:t>
      </w:r>
      <w:r>
        <w:fldChar w:fldCharType="end"/>
      </w:r>
      <w:r>
        <w:t>.</w:t>
      </w:r>
    </w:p>
    <w:p w:rsidR="00380A87" w:rsidRDefault="00380A87" w:rsidP="00380A87">
      <w:pPr>
        <w:numPr>
          <w:ilvl w:val="0"/>
          <w:numId w:val="5"/>
        </w:numPr>
        <w:ind w:left="360"/>
      </w:pPr>
      <w:r>
        <w:rPr>
          <w:b/>
        </w:rPr>
        <w:t xml:space="preserve">Pre-construction services and GMP negotiation </w:t>
      </w:r>
      <w:r w:rsidRPr="00DC7E68">
        <w:t>–</w:t>
      </w:r>
      <w:r>
        <w:rPr>
          <w:b/>
        </w:rPr>
        <w:t xml:space="preserve"> </w:t>
      </w:r>
      <w:r>
        <w:t xml:space="preserve">The pre-construction services include almost anything the agency requires from the CMGC firm. Typical CM/GC packages include costs estimates, schedule analysis, work sequence, risk identification, mitigation and pricing, constructability reviews, development of work packages for bid, and development of a GMP that meets owner requirements and budget restraints </w:t>
      </w:r>
      <w:r>
        <w:fldChar w:fldCharType="begin"/>
      </w:r>
      <w:r>
        <w:instrText xml:space="preserve"> ADDIN ZOTERO_ITEM CSL_CITATION {"citationID":"1ia8dt0klb","properties":{"formattedCitation":"{\\rtf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DC7E68">
        <w:rPr>
          <w:i/>
          <w:iCs/>
          <w:szCs w:val="24"/>
        </w:rPr>
        <w:t>(2)</w:t>
      </w:r>
      <w:r>
        <w:fldChar w:fldCharType="end"/>
      </w:r>
      <w:r>
        <w:t xml:space="preserve">. During this stage of the project delivery process, the STA and CMGC should begin negotiations for the GMP. This payment provision </w:t>
      </w:r>
      <w:proofErr w:type="gramStart"/>
      <w:r>
        <w:t>is described</w:t>
      </w:r>
      <w:proofErr w:type="gramEnd"/>
      <w:r>
        <w:t xml:space="preserve"> more in detail in the payment provisions appendix of this guidebook. The GMP is a maximum price to which the CM/GC firm will commit to deliver the project for a quantified scope of work expressed in the design documents. It includes project direct costs, indirect costs, a profit, and the project contingency </w:t>
      </w:r>
      <w:r>
        <w:fldChar w:fldCharType="begin"/>
      </w:r>
      <w:r>
        <w:instrText xml:space="preserve"> ADDIN ZOTERO_ITEM CSL_CITATION {"citationID":"qvbtaangq","properties":{"formattedCitation":"{\\rtf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335B3A">
        <w:rPr>
          <w:i/>
          <w:iCs/>
          <w:szCs w:val="24"/>
        </w:rPr>
        <w:t>(2)</w:t>
      </w:r>
      <w:r>
        <w:fldChar w:fldCharType="end"/>
      </w:r>
      <w:r>
        <w:t xml:space="preserve">. The GMP </w:t>
      </w:r>
      <w:proofErr w:type="gramStart"/>
      <w:r>
        <w:t>can be negotiated</w:t>
      </w:r>
      <w:proofErr w:type="gramEnd"/>
      <w:r>
        <w:t xml:space="preserve"> any time during the design phase. It </w:t>
      </w:r>
      <w:proofErr w:type="gramStart"/>
      <w:r>
        <w:t>should be taken</w:t>
      </w:r>
      <w:proofErr w:type="gramEnd"/>
      <w:r>
        <w:t xml:space="preserve"> into account that when the GMP is negotiated closer to the design completion it will include less contingency. Conversely, when the GMP </w:t>
      </w:r>
      <w:proofErr w:type="gramStart"/>
      <w:r>
        <w:t>is negotiated</w:t>
      </w:r>
      <w:proofErr w:type="gramEnd"/>
      <w:r>
        <w:t xml:space="preserve"> earlier in the design, the overall costs may be higher due to a larger contingency; however, it allows construction to start earlier. Some special aspects to consider in the GMP are the CMGC self-performance limits which is regulated by laws in some states, subcontract competition and selection constraints, and the use of a shared savings clause which allows sharing a percentage of any GMP savings with the CM/GC firm upon project completion </w:t>
      </w:r>
      <w:r>
        <w:fldChar w:fldCharType="begin"/>
      </w:r>
      <w:r>
        <w:instrText xml:space="preserve"> ADDIN ZOTERO_ITEM CSL_CITATION {"citationID":"1ptapp3n6f","properties":{"formattedCitation":"{\\rtf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29153F">
        <w:rPr>
          <w:i/>
          <w:iCs/>
          <w:szCs w:val="24"/>
        </w:rPr>
        <w:t>(2)</w:t>
      </w:r>
      <w:r>
        <w:fldChar w:fldCharType="end"/>
      </w:r>
      <w:r>
        <w:t>.</w:t>
      </w:r>
    </w:p>
    <w:p w:rsidR="00380A87" w:rsidRPr="0029153F" w:rsidRDefault="00380A87" w:rsidP="00380A87">
      <w:pPr>
        <w:numPr>
          <w:ilvl w:val="0"/>
          <w:numId w:val="5"/>
        </w:numPr>
        <w:ind w:left="360"/>
      </w:pPr>
      <w:r>
        <w:rPr>
          <w:b/>
        </w:rPr>
        <w:lastRenderedPageBreak/>
        <w:t>Construction services</w:t>
      </w:r>
      <w:r>
        <w:t xml:space="preserve"> – During the construction phase of the project, the STA should provide a </w:t>
      </w:r>
      <w:proofErr w:type="gramStart"/>
      <w:r>
        <w:t>method  to</w:t>
      </w:r>
      <w:proofErr w:type="gramEnd"/>
      <w:r>
        <w:t xml:space="preserve"> review and respond to construction issues compatible with the GMP contract requirements, and maintain an accounting system that supports the review of contractor invoices and justifications, and make timely payments to the CM/GC firm. Key aspects to consider are strong communication between the STA and the CMGC, subcontractor control, quality control, contract changes procedures, and invoicing system. </w:t>
      </w:r>
    </w:p>
    <w:p w:rsidR="00380A87" w:rsidRDefault="00380A87" w:rsidP="00380A87">
      <w:pPr>
        <w:pStyle w:val="PDMHeading2"/>
      </w:pPr>
      <w:proofErr w:type="gramStart"/>
      <w:r>
        <w:t>When to use it?</w:t>
      </w:r>
      <w:proofErr w:type="gramEnd"/>
    </w:p>
    <w:p w:rsidR="00380A87" w:rsidRDefault="00380A87" w:rsidP="00380A87">
      <w:r>
        <w:t xml:space="preserve">The CM/GC delivery method is most advantageous </w:t>
      </w:r>
      <w:r w:rsidRPr="009C40E3">
        <w:rPr>
          <w:i/>
        </w:rPr>
        <w:t>(1, 6)</w:t>
      </w:r>
      <w:r>
        <w:t>:</w:t>
      </w:r>
    </w:p>
    <w:p w:rsidR="00380A87" w:rsidRDefault="00380A87" w:rsidP="00380A87">
      <w:pPr>
        <w:pStyle w:val="Bullets"/>
      </w:pPr>
      <w:r>
        <w:t>On projects where the STA has limited management resources,</w:t>
      </w:r>
    </w:p>
    <w:p w:rsidR="00380A87" w:rsidRDefault="00380A87" w:rsidP="00380A87">
      <w:pPr>
        <w:pStyle w:val="Bullets"/>
      </w:pPr>
      <w:r>
        <w:t>On projects where there is limited time or funding,</w:t>
      </w:r>
    </w:p>
    <w:p w:rsidR="00380A87" w:rsidRDefault="00380A87" w:rsidP="00380A87">
      <w:pPr>
        <w:pStyle w:val="Bullets"/>
      </w:pPr>
      <w:r>
        <w:t>When there is a need for immediate transportation improvements,</w:t>
      </w:r>
    </w:p>
    <w:p w:rsidR="00380A87" w:rsidRDefault="00380A87" w:rsidP="00380A87">
      <w:pPr>
        <w:pStyle w:val="Bullets"/>
      </w:pPr>
      <w:r>
        <w:t>On project where the design is complex, difficult to define, subject to change and there are several design options, and</w:t>
      </w:r>
    </w:p>
    <w:p w:rsidR="00380A87" w:rsidRDefault="00380A87" w:rsidP="00380A87">
      <w:pPr>
        <w:pStyle w:val="Bullets"/>
      </w:pPr>
      <w:proofErr w:type="gramStart"/>
      <w:r>
        <w:t>When the project is sequence or schedule sensitive.</w:t>
      </w:r>
      <w:proofErr w:type="gramEnd"/>
      <w:r>
        <w:t xml:space="preserve"> </w:t>
      </w:r>
    </w:p>
    <w:p w:rsidR="00380A87" w:rsidRPr="00D235D8" w:rsidRDefault="00380A87" w:rsidP="00380A87">
      <w:r>
        <w:t xml:space="preserve">The CMR methods is less suitable for straight-forward projects, projects with easily defined scope and low risk, and projects that lack schedule sensitivity. </w:t>
      </w:r>
    </w:p>
    <w:p w:rsidR="00380A87" w:rsidRDefault="00380A87" w:rsidP="00380A87">
      <w:pPr>
        <w:pStyle w:val="PDMHeading2"/>
      </w:pPr>
      <w:r>
        <w:t>Limitations</w:t>
      </w:r>
    </w:p>
    <w:p w:rsidR="00380A87" w:rsidRDefault="00380A87" w:rsidP="00380A87">
      <w:r>
        <w:t>Some of the major risks and disadvantages of a CM/GC delivery method are (2, 3):</w:t>
      </w:r>
    </w:p>
    <w:p w:rsidR="00380A87" w:rsidRDefault="00380A87" w:rsidP="00380A87">
      <w:pPr>
        <w:pStyle w:val="Bullets"/>
      </w:pPr>
      <w:r>
        <w:t>Project price is negotiated with a CM and not competitively bid,</w:t>
      </w:r>
    </w:p>
    <w:p w:rsidR="00380A87" w:rsidRDefault="00380A87" w:rsidP="00380A87">
      <w:pPr>
        <w:pStyle w:val="Bullets"/>
      </w:pPr>
      <w:r>
        <w:t>CMGC input may not be included by designer,</w:t>
      </w:r>
    </w:p>
    <w:p w:rsidR="00380A87" w:rsidRDefault="00380A87" w:rsidP="00380A87">
      <w:pPr>
        <w:pStyle w:val="Bullets"/>
      </w:pPr>
      <w:r>
        <w:t xml:space="preserve">Use of GMP may lead to a large contingency to cover uncertainties and incomplete design elements </w:t>
      </w:r>
      <w:r>
        <w:fldChar w:fldCharType="begin"/>
      </w:r>
      <w:r>
        <w:instrText xml:space="preserve"> ADDIN ZOTERO_ITEM CSL_CITATION {"citationID":"lc13jk5ao","properties":{"formattedCitation":"{\\rtf \\i (3)\\i0{}}","plainCitation":"(3)"},"citationItems":[{"id":44,"uris":["http://zotero.org/users/1628965/items/J36VQNBG"],"uri":["http://zotero.org/users/1628965/items/J36VQNBG"],"itemData":{"id":44,"type":"report","title":"Innovative Construction Contracting","publisher":"Michigan Department of Transportation","URL":"https://www.michigan.gov/documents/mdot/Innovative_Construction_Contracting_340000_7.pdf","author":[{"family":"Michigan Department of Transportation","given":""}],"issued":{"date-parts":[["2013",4,9]]},"accessed":{"date-parts":[["2013",9,21]]}}}],"schema":"https://github.com/citation-style-language/schema/raw/master/csl-citation.json"} </w:instrText>
      </w:r>
      <w:r>
        <w:fldChar w:fldCharType="end"/>
      </w:r>
      <w:r>
        <w:t>,</w:t>
      </w:r>
    </w:p>
    <w:p w:rsidR="00380A87" w:rsidRDefault="00380A87" w:rsidP="00380A87">
      <w:pPr>
        <w:pStyle w:val="Bullets"/>
      </w:pPr>
      <w:r>
        <w:t>Use of GMP can lead to disputes over the completeness of the design and contract changes, and</w:t>
      </w:r>
    </w:p>
    <w:p w:rsidR="00380A87" w:rsidRPr="00753B48" w:rsidRDefault="00380A87" w:rsidP="00380A87">
      <w:pPr>
        <w:pStyle w:val="Bullets"/>
      </w:pPr>
      <w:r>
        <w:t xml:space="preserve">CMGC design input does not necessarily translates into better design quality </w:t>
      </w:r>
    </w:p>
    <w:p w:rsidR="00380A87" w:rsidRDefault="00380A87" w:rsidP="00380A87">
      <w:pPr>
        <w:pStyle w:val="PDMHeading2"/>
      </w:pPr>
      <w:r>
        <w:t>Who uses it?</w:t>
      </w:r>
    </w:p>
    <w:p w:rsidR="00380A87" w:rsidRDefault="00380A87" w:rsidP="00380A87">
      <w:r>
        <w:t xml:space="preserve">STAs that have executed or experimented with CM/GC projects are: Alaska, Arizona, Florida, Oregon, and Utah </w:t>
      </w:r>
      <w:r>
        <w:fldChar w:fldCharType="begin"/>
      </w:r>
      <w:r>
        <w:instrText xml:space="preserve"> ADDIN ZOTERO_ITEM CSL_CITATION {"citationID":"hkshvv0fe","properties":{"formattedCitation":"{\\rtf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E10B98">
        <w:rPr>
          <w:i/>
          <w:iCs/>
          <w:szCs w:val="24"/>
        </w:rPr>
        <w:t>(2)</w:t>
      </w:r>
      <w:r>
        <w:fldChar w:fldCharType="end"/>
      </w:r>
      <w:r>
        <w:t>. With the passage of the Moving Ahead for Progress in the 21</w:t>
      </w:r>
      <w:r w:rsidRPr="00624217">
        <w:rPr>
          <w:vertAlign w:val="superscript"/>
        </w:rPr>
        <w:t>st</w:t>
      </w:r>
      <w:r>
        <w:t xml:space="preserve"> Century Act (MAP-21) on July 2012, SEP-14 approval is no longer required for CM/GC projects as long as the state statutes allow for it. STAs with full authority to use CMGC are: Alaska, Arizona, California, Colorado, Connecticut, Florida, Idaho, Michigan, Minnesota, New Mexico, Oregon, and Utah </w:t>
      </w:r>
      <w:r>
        <w:fldChar w:fldCharType="begin"/>
      </w:r>
      <w:r>
        <w:instrText xml:space="preserve"> ADDIN ZOTERO_ITEM CSL_CITATION {"citationID":"usm50bbql","properties":{"formattedCitation":"{\\rtf \\i (7)\\i0{}}","plainCitation":"(7)"},"citationItems":[{"id":396,"uris":["http://zotero.org/users/1628965/items/9DJGDPI9"],"uri":["http://zotero.org/users/1628965/items/9DJGDPI9"],"itemData":{"id":396,"type":"webpage","title":"Every Day Counts: Construction Manager/General Contractor","URL":"http://www.fhwa.dot.gov/everydaycounts/edctwo/2012/pdfs/edc_cm_gm.pdf","author":[{"family":"Federal Highway Administration","given":""}],"issued":{"date-parts":[["2012"]]},"accessed":{"date-parts":[["2014",3,28]]}}}],"schema":"https://github.com/citation-style-language/schema/raw/master/csl-citation.json"} </w:instrText>
      </w:r>
      <w:r>
        <w:fldChar w:fldCharType="separate"/>
      </w:r>
      <w:r w:rsidRPr="000200AD">
        <w:rPr>
          <w:i/>
          <w:iCs/>
          <w:szCs w:val="24"/>
        </w:rPr>
        <w:t>(7)</w:t>
      </w:r>
      <w:r>
        <w:fldChar w:fldCharType="end"/>
      </w:r>
      <w:r>
        <w:t xml:space="preserve">. </w:t>
      </w:r>
    </w:p>
    <w:p w:rsidR="00380A87" w:rsidRDefault="00380A87" w:rsidP="00380A87">
      <w:pPr>
        <w:pStyle w:val="PDMHeading2"/>
      </w:pPr>
      <w:r>
        <w:lastRenderedPageBreak/>
        <w:t>Examples</w:t>
      </w:r>
    </w:p>
    <w:p w:rsidR="00380A87" w:rsidRPr="00AC45F2" w:rsidRDefault="00380A87" w:rsidP="00380A87">
      <w:pPr>
        <w:rPr>
          <w:u w:val="single"/>
        </w:rPr>
      </w:pPr>
      <w:r>
        <w:rPr>
          <w:u w:val="single"/>
        </w:rPr>
        <w:t xml:space="preserve">Example 1) </w:t>
      </w:r>
      <w:r w:rsidRPr="00AC45F2">
        <w:rPr>
          <w:u w:val="single"/>
        </w:rPr>
        <w:t>Florida Department of Transportation</w:t>
      </w:r>
    </w:p>
    <w:p w:rsidR="00380A87" w:rsidRDefault="00380A87" w:rsidP="00380A87">
      <w:r>
        <w:t xml:space="preserve">The Florida Department of Transportation (FDOT) is using the CM/GC delivery method on the Miami Intermodal Center (MIC). The MIC is transportation hub that will provide connectivity between all forms of ground transportation available in the county and includes road, bridge, and interchange construction to improve access to the Miami International Airport; rail components; bus facilities; and airport landside improvements </w:t>
      </w:r>
      <w:r>
        <w:fldChar w:fldCharType="begin"/>
      </w:r>
      <w:r>
        <w:instrText xml:space="preserve"> ADDIN ZOTERO_ITEM CSL_CITATION {"citationID":"esfseuk5r","properties":{"formattedCitation":"{\\rtf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4A6196">
        <w:rPr>
          <w:i/>
          <w:iCs/>
          <w:szCs w:val="24"/>
        </w:rPr>
        <w:t>(2)</w:t>
      </w:r>
      <w:r>
        <w:fldChar w:fldCharType="end"/>
      </w:r>
      <w:r>
        <w:t xml:space="preserve">. FDOT made the decision to use CM/GC before starting design. Given that this </w:t>
      </w:r>
      <w:proofErr w:type="gramStart"/>
      <w:r>
        <w:t>is</w:t>
      </w:r>
      <w:proofErr w:type="gramEnd"/>
      <w:r>
        <w:t xml:space="preserve"> a complex project that combines horizontal and vertical construction the DOT viewed CMR as an opportunity to increase technical expertise. Other reasons to use CM/GC were a desire to improve coordination requirements and early contractor involvement, reduce the project delivery period, establish project budget at an early stage of design development, and redistribute risks </w:t>
      </w:r>
      <w:r>
        <w:fldChar w:fldCharType="begin"/>
      </w:r>
      <w:r>
        <w:instrText xml:space="preserve"> ADDIN ZOTERO_ITEM CSL_CITATION {"citationID":"8mjdnh8oi","properties":{"formattedCitation":"{\\rtf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C637D1">
        <w:rPr>
          <w:i/>
          <w:iCs/>
          <w:szCs w:val="24"/>
        </w:rPr>
        <w:t>(2)</w:t>
      </w:r>
      <w:r>
        <w:fldChar w:fldCharType="end"/>
      </w:r>
      <w:r>
        <w:t xml:space="preserve">. </w:t>
      </w:r>
    </w:p>
    <w:p w:rsidR="00380A87" w:rsidRDefault="00380A87" w:rsidP="00380A87">
      <w:r>
        <w:t xml:space="preserve">The CMGC firm </w:t>
      </w:r>
      <w:proofErr w:type="gramStart"/>
      <w:r>
        <w:t>was selected</w:t>
      </w:r>
      <w:proofErr w:type="gramEnd"/>
      <w:r>
        <w:t xml:space="preserve"> early in the design process, immediately after the consultant. FDOT issued a request for letters of interest, and the solicitation document contained a description of the scope of work and preliminary plans and specifications. Competing CMGC firms were required to show past CM/GC experience, past project experience, and CMGC firm’s project manager qualifications. The winner </w:t>
      </w:r>
      <w:proofErr w:type="gramStart"/>
      <w:r>
        <w:t>was determined</w:t>
      </w:r>
      <w:proofErr w:type="gramEnd"/>
      <w:r>
        <w:t xml:space="preserve"> by the results of the scoring of the selection panel as published in the advertisement. The GMP </w:t>
      </w:r>
      <w:proofErr w:type="gramStart"/>
      <w:r>
        <w:t>was established</w:t>
      </w:r>
      <w:proofErr w:type="gramEnd"/>
      <w:r>
        <w:t xml:space="preserve"> before 100% design was reached. The CMGC firm can self-perform up to 50% of the work, and must publicly accept bids to conduct subcontract selection. The project has an approximated cost of $1.7 billion and </w:t>
      </w:r>
      <w:proofErr w:type="gramStart"/>
      <w:r>
        <w:t>is scheduled to be completed</w:t>
      </w:r>
      <w:proofErr w:type="gramEnd"/>
      <w:r>
        <w:t xml:space="preserve"> by 2014. </w:t>
      </w:r>
    </w:p>
    <w:p w:rsidR="00380A87" w:rsidRPr="00AC45F2" w:rsidRDefault="00380A87" w:rsidP="00380A87">
      <w:pPr>
        <w:rPr>
          <w:u w:val="single"/>
        </w:rPr>
      </w:pPr>
      <w:r>
        <w:rPr>
          <w:u w:val="single"/>
        </w:rPr>
        <w:t xml:space="preserve">Example 2) </w:t>
      </w:r>
      <w:r w:rsidRPr="00AC45F2">
        <w:rPr>
          <w:u w:val="single"/>
        </w:rPr>
        <w:t>Oregon Department of Transportation</w:t>
      </w:r>
    </w:p>
    <w:p w:rsidR="00380A87" w:rsidRDefault="00380A87" w:rsidP="00380A87">
      <w:r>
        <w:t xml:space="preserve">Another example of CM/GC is Oregon Department of Transportation’s (ODOT) I-5 Willamette River Bridge Project </w:t>
      </w:r>
      <w:r>
        <w:fldChar w:fldCharType="begin"/>
      </w:r>
      <w:r>
        <w:instrText xml:space="preserve"> ADDIN ZOTERO_ITEM CSL_CITATION {"citationID":"18bs9esb5j","properties":{"formattedCitation":"{\\rtf \\i (2)\\i0{}}","plainCitation":"(2)"},"citationItems":[{"id":278,"uris":["http://zotero.org/users/1628965/items/55SB25DE"],"uri":["http://zotero.org/users/1628965/items/55SB25DE"],"itemData":{"id":278,"type":"book","title":"Construction manager-at-risk project delivery for highway programs","collection-title":"NCHRP synthesis","collection-number":"402","publisher":"Transportation Research Board","publisher-place":"Washington, D.C","number-of-pages":"1","source":"colorado.edu Library Catalog","event-place":"Washington, D.C","URL":"http://onlinepubs.trb.org/onlinepubs/nchrp/nchrp%5Fsyn%5F402.pdf","call-number":"T56.8 .G73 2010","author":[{"family":"Gransberg","given":"Douglas D."},{"family":"National Research Council (U.S.)","given":""},{"family":"National Cooperative Highway Research Program","given":""},{"family":"American Association of State Highway and Transportation Officials","given":""},{"family":"United States","given":""}],"issued":{"date-parts":[["2010"]]},"accessed":{"date-parts":[["2013",11,15]]}}}],"schema":"https://github.com/citation-style-language/schema/raw/master/csl-citation.json"} </w:instrText>
      </w:r>
      <w:r>
        <w:fldChar w:fldCharType="separate"/>
      </w:r>
      <w:r w:rsidRPr="00B44582">
        <w:rPr>
          <w:i/>
          <w:iCs/>
          <w:szCs w:val="24"/>
        </w:rPr>
        <w:t>(2)</w:t>
      </w:r>
      <w:r>
        <w:fldChar w:fldCharType="end"/>
      </w:r>
      <w:r>
        <w:t xml:space="preserve">.  This project consisted on the removal of the old Willamette River Bridge, construction of a new 1,800-foot long bridge to replace the old bridge, replacement of the old Canoe Canal Bridge, reconstruction of approximately 2,500 feet of road approaching and between bridges, and modifications several ramps. The project had a total cost of $150 million. The decision to use this delivery method </w:t>
      </w:r>
      <w:proofErr w:type="gramStart"/>
      <w:r>
        <w:t>was made</w:t>
      </w:r>
      <w:proofErr w:type="gramEnd"/>
      <w:r>
        <w:t xml:space="preserve"> before 30% design completion was reached and the main reason was to gain experience before using the CM/GC method on a much larger bridge project over the Columbia River. Some of the project specific reasons for choosing CM/GC included budget and schedule control issues, and a desire to redistribute risks. </w:t>
      </w:r>
    </w:p>
    <w:p w:rsidR="00380A87" w:rsidRDefault="00380A87" w:rsidP="00380A87">
      <w:r>
        <w:t xml:space="preserve">The CMGC firm </w:t>
      </w:r>
      <w:proofErr w:type="gramStart"/>
      <w:r>
        <w:t>was chosen</w:t>
      </w:r>
      <w:proofErr w:type="gramEnd"/>
      <w:r>
        <w:t xml:space="preserve"> as soon as possible after the consultant selection. ODOT issued and RFP, which contained five unit prices for major pay items. The solicitation documents included a description of the scope of work, quality management roles and responsibilities, and design criteria checklists. </w:t>
      </w:r>
      <w:r>
        <w:lastRenderedPageBreak/>
        <w:t xml:space="preserve">Contractor were required to submit past CM/GC experience, past related project experience, qualifications of the project management, construction manager, and project principal, construction quality management plan and public relations plan, preliminary project schedule, and proposed preconstruction services fee, post-construction services fee, and general conditions. The wining CM/GC firm </w:t>
      </w:r>
      <w:proofErr w:type="gramStart"/>
      <w:r>
        <w:t>was determined</w:t>
      </w:r>
      <w:proofErr w:type="gramEnd"/>
      <w:r>
        <w:t xml:space="preserve"> by the output from the weighted scores given the selection panel. Here, price carried 15% of the weight. </w:t>
      </w:r>
    </w:p>
    <w:p w:rsidR="00380A87" w:rsidRPr="004A6196" w:rsidRDefault="00380A87" w:rsidP="00380A87">
      <w:r>
        <w:t xml:space="preserve">The GMP </w:t>
      </w:r>
      <w:proofErr w:type="gramStart"/>
      <w:r>
        <w:t>was defined</w:t>
      </w:r>
      <w:proofErr w:type="gramEnd"/>
      <w:r>
        <w:t xml:space="preserve"> before 100% design was reached. It included a single transparent project contingency and the CMGC firm </w:t>
      </w:r>
      <w:proofErr w:type="gramStart"/>
      <w:r>
        <w:t>was allowed</w:t>
      </w:r>
      <w:proofErr w:type="gramEnd"/>
      <w:r>
        <w:t xml:space="preserve"> to keep any remaining contingency as a shared savings clause. The CMGC firm </w:t>
      </w:r>
      <w:proofErr w:type="gramStart"/>
      <w:r>
        <w:t>was also allowed</w:t>
      </w:r>
      <w:proofErr w:type="gramEnd"/>
      <w:r>
        <w:t xml:space="preserve"> to self-perform 30% of the work, and there were no restrictions regarding subcontractor selection.</w:t>
      </w:r>
    </w:p>
    <w:p w:rsidR="00380A87" w:rsidRDefault="00380A87" w:rsidP="00380A87">
      <w:pPr>
        <w:pStyle w:val="PDMHeading2"/>
      </w:pPr>
      <w:r>
        <w:t>References</w:t>
      </w:r>
    </w:p>
    <w:p w:rsidR="00380A87" w:rsidRPr="004E6957" w:rsidRDefault="00380A87" w:rsidP="00380A87">
      <w:pPr>
        <w:pStyle w:val="TRBReferences"/>
        <w:numPr>
          <w:ilvl w:val="0"/>
          <w:numId w:val="3"/>
        </w:numPr>
      </w:pPr>
      <w:proofErr w:type="gramStart"/>
      <w:r w:rsidRPr="006E6F5F">
        <w:t>California Department of Transportation (Caltrans).</w:t>
      </w:r>
      <w:proofErr w:type="gramEnd"/>
      <w:r w:rsidRPr="00A16D09">
        <w:rPr>
          <w:i/>
        </w:rPr>
        <w:t xml:space="preserve"> </w:t>
      </w:r>
      <w:proofErr w:type="gramStart"/>
      <w:r w:rsidRPr="00A16D09">
        <w:rPr>
          <w:i/>
        </w:rPr>
        <w:t>Alternative Procurement Guide.</w:t>
      </w:r>
      <w:proofErr w:type="gramEnd"/>
      <w:r w:rsidRPr="004E6957">
        <w:t xml:space="preserve"> </w:t>
      </w:r>
      <w:proofErr w:type="gramStart"/>
      <w:r w:rsidRPr="004E6957">
        <w:t>Trauner Consu</w:t>
      </w:r>
      <w:r>
        <w:t>lting Services, Inc., San Diego, 2008.</w:t>
      </w:r>
      <w:proofErr w:type="gramEnd"/>
    </w:p>
    <w:p w:rsidR="00380A87" w:rsidRPr="004E6957" w:rsidRDefault="00380A87" w:rsidP="00380A87">
      <w:pPr>
        <w:pStyle w:val="TRBReferences"/>
      </w:pPr>
      <w:r w:rsidRPr="004E6957">
        <w:t>Gransberg, D</w:t>
      </w:r>
      <w:r>
        <w:t xml:space="preserve">ouglas </w:t>
      </w:r>
      <w:proofErr w:type="gramStart"/>
      <w:r>
        <w:t>D.</w:t>
      </w:r>
      <w:proofErr w:type="gramEnd"/>
      <w:r>
        <w:t xml:space="preserve"> and Jennifer S. Shane. </w:t>
      </w:r>
      <w:proofErr w:type="gramStart"/>
      <w:r w:rsidRPr="006E6F5F">
        <w:rPr>
          <w:i/>
        </w:rPr>
        <w:t>NCHRP Synthesis 402:</w:t>
      </w:r>
      <w:r>
        <w:t xml:space="preserve"> </w:t>
      </w:r>
      <w:r w:rsidRPr="004E6957">
        <w:rPr>
          <w:i/>
        </w:rPr>
        <w:t>Construction Manager-at-Risk Project Delivery for Highway Projects</w:t>
      </w:r>
      <w:r>
        <w:t>.</w:t>
      </w:r>
      <w:proofErr w:type="gramEnd"/>
      <w:r w:rsidRPr="004E6957">
        <w:t xml:space="preserve"> </w:t>
      </w:r>
      <w:proofErr w:type="gramStart"/>
      <w:r w:rsidRPr="004E6957">
        <w:t>National Cooperative Highway Research Program, Transportation Research Board</w:t>
      </w:r>
      <w:r>
        <w:t>, Washington, DC, 2010.</w:t>
      </w:r>
      <w:proofErr w:type="gramEnd"/>
    </w:p>
    <w:p w:rsidR="00380A87" w:rsidRDefault="00380A87" w:rsidP="00380A87">
      <w:pPr>
        <w:pStyle w:val="TRBReferences"/>
      </w:pPr>
      <w:proofErr w:type="gramStart"/>
      <w:r>
        <w:t>Michigan Department of Transportation (MDOT).</w:t>
      </w:r>
      <w:proofErr w:type="gramEnd"/>
      <w:r>
        <w:t xml:space="preserve"> </w:t>
      </w:r>
      <w:proofErr w:type="gramStart"/>
      <w:r w:rsidRPr="00395F5B">
        <w:rPr>
          <w:i/>
        </w:rPr>
        <w:t>Innovative Construction Contracting</w:t>
      </w:r>
      <w:r>
        <w:t>.</w:t>
      </w:r>
      <w:proofErr w:type="gramEnd"/>
      <w:r>
        <w:t xml:space="preserve"> Apr. 2013.</w:t>
      </w:r>
    </w:p>
    <w:p w:rsidR="00380A87" w:rsidRDefault="00380A87" w:rsidP="00380A87">
      <w:pPr>
        <w:pStyle w:val="TRBReferences"/>
      </w:pPr>
      <w:proofErr w:type="gramStart"/>
      <w:r>
        <w:t>Utah Department of Transportation (UDOT).</w:t>
      </w:r>
      <w:proofErr w:type="gramEnd"/>
      <w:r>
        <w:t xml:space="preserve"> </w:t>
      </w:r>
      <w:proofErr w:type="gramStart"/>
      <w:r w:rsidRPr="00395F5B">
        <w:rPr>
          <w:i/>
        </w:rPr>
        <w:t>Benefits of Contract Manager/General Contractor (CMGC)</w:t>
      </w:r>
      <w:r>
        <w:t>.</w:t>
      </w:r>
      <w:proofErr w:type="gramEnd"/>
      <w:r>
        <w:t xml:space="preserve"> Feb. 2009.</w:t>
      </w:r>
    </w:p>
    <w:p w:rsidR="00380A87" w:rsidRDefault="00380A87" w:rsidP="00380A87">
      <w:pPr>
        <w:pStyle w:val="TRBReferences"/>
      </w:pPr>
      <w:proofErr w:type="gramStart"/>
      <w:r>
        <w:t>Associated General Contractors (AGC).</w:t>
      </w:r>
      <w:proofErr w:type="gramEnd"/>
      <w:r>
        <w:t xml:space="preserve"> </w:t>
      </w:r>
      <w:proofErr w:type="gramStart"/>
      <w:r w:rsidRPr="00A16D09">
        <w:rPr>
          <w:i/>
        </w:rPr>
        <w:t>CM/GC Guidelines for Public Owners</w:t>
      </w:r>
      <w:r>
        <w:t>, 2</w:t>
      </w:r>
      <w:r w:rsidRPr="00A16D09">
        <w:rPr>
          <w:vertAlign w:val="superscript"/>
        </w:rPr>
        <w:t>nd</w:t>
      </w:r>
      <w:r>
        <w:t xml:space="preserve"> ed. Publication AGC 2912, NASFA F-3007, National Association of State Facilities Administrators, 2007.</w:t>
      </w:r>
      <w:proofErr w:type="gramEnd"/>
    </w:p>
    <w:p w:rsidR="00380A87" w:rsidRDefault="00380A87" w:rsidP="00380A87">
      <w:pPr>
        <w:pStyle w:val="TRBReferences"/>
      </w:pPr>
      <w:proofErr w:type="gramStart"/>
      <w:r>
        <w:t>Arizona Department of Transportation.</w:t>
      </w:r>
      <w:proofErr w:type="gramEnd"/>
      <w:r>
        <w:t xml:space="preserve"> </w:t>
      </w:r>
      <w:proofErr w:type="gramStart"/>
      <w:r w:rsidRPr="00A16D09">
        <w:rPr>
          <w:i/>
        </w:rPr>
        <w:t>Construction Manager at Risk (CMAR).</w:t>
      </w:r>
      <w:proofErr w:type="gramEnd"/>
      <w:r>
        <w:t xml:space="preserve"> Intermodal Transportation Division, Phoenix, AZ, Sep. 2010.</w:t>
      </w:r>
    </w:p>
    <w:p w:rsidR="00380A87" w:rsidRPr="00395F5B" w:rsidRDefault="00380A87" w:rsidP="00380A87">
      <w:pPr>
        <w:pStyle w:val="TRBReferences"/>
      </w:pPr>
      <w:proofErr w:type="gramStart"/>
      <w:r>
        <w:t>Federal Highway Administration (FHWA).</w:t>
      </w:r>
      <w:proofErr w:type="gramEnd"/>
      <w:r>
        <w:t xml:space="preserve"> </w:t>
      </w:r>
      <w:proofErr w:type="gramStart"/>
      <w:r w:rsidRPr="00A16D09">
        <w:rPr>
          <w:i/>
        </w:rPr>
        <w:t>Construction Manager/General Contractor</w:t>
      </w:r>
      <w:r>
        <w:t>.</w:t>
      </w:r>
      <w:proofErr w:type="gramEnd"/>
      <w:r>
        <w:t xml:space="preserve"> </w:t>
      </w:r>
      <w:proofErr w:type="gramStart"/>
      <w:r>
        <w:t>Every Day Counts Initiative.</w:t>
      </w:r>
      <w:proofErr w:type="gramEnd"/>
      <w:r>
        <w:t xml:space="preserve"> </w:t>
      </w:r>
      <w:hyperlink r:id="rId7" w:history="1">
        <w:r w:rsidRPr="00F0689B">
          <w:rPr>
            <w:rStyle w:val="Hyperlink"/>
          </w:rPr>
          <w:t>http://www.fhwa.dot.gov/everydaycounts/edctwo/2012/pdfs/edc_cm_gm.pdf</w:t>
        </w:r>
      </w:hyperlink>
      <w:r>
        <w:t xml:space="preserve"> [Accessed March 28, 2014].</w:t>
      </w:r>
    </w:p>
    <w:p w:rsidR="002144EB" w:rsidRPr="00380A87" w:rsidRDefault="002144EB" w:rsidP="00380A87">
      <w:pPr>
        <w:spacing w:line="259" w:lineRule="auto"/>
        <w:rPr>
          <w:rFonts w:eastAsiaTheme="majorEastAsia"/>
          <w:b/>
          <w:sz w:val="28"/>
          <w:szCs w:val="26"/>
        </w:rPr>
      </w:pPr>
    </w:p>
    <w:sectPr w:rsidR="002144EB" w:rsidRPr="00380A8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060B4" w:rsidRDefault="00A060B4" w:rsidP="00380A87">
      <w:pPr>
        <w:spacing w:after="0" w:line="240" w:lineRule="auto"/>
      </w:pPr>
      <w:r>
        <w:separator/>
      </w:r>
    </w:p>
  </w:endnote>
  <w:endnote w:type="continuationSeparator" w:id="0">
    <w:p w:rsidR="00A060B4" w:rsidRDefault="00A060B4" w:rsidP="00380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510286"/>
      <w:docPartObj>
        <w:docPartGallery w:val="Page Numbers (Bottom of Page)"/>
        <w:docPartUnique/>
      </w:docPartObj>
    </w:sdtPr>
    <w:sdtEndPr>
      <w:rPr>
        <w:noProof/>
      </w:rPr>
    </w:sdtEndPr>
    <w:sdtContent>
      <w:p w:rsidR="00380A87" w:rsidRPr="00380A87" w:rsidRDefault="00380A87" w:rsidP="00380A87">
        <w:pPr>
          <w:pStyle w:val="Footer"/>
          <w:tabs>
            <w:tab w:val="left" w:pos="7470"/>
            <w:tab w:val="right" w:pos="9450"/>
          </w:tabs>
          <w:ind w:right="-90"/>
        </w:pPr>
        <w:r>
          <w:t>Appendix A</w:t>
        </w:r>
        <w:r>
          <w:tab/>
        </w:r>
        <w:r>
          <w:tab/>
        </w:r>
        <w:r>
          <w:tab/>
        </w:r>
        <w:r>
          <w:fldChar w:fldCharType="begin"/>
        </w:r>
        <w:r>
          <w:instrText xml:space="preserve"> PAGE   \* MERGEFORMAT </w:instrText>
        </w:r>
        <w:r>
          <w:fldChar w:fldCharType="separate"/>
        </w:r>
        <w:r w:rsidR="00477E59">
          <w:rPr>
            <w:noProof/>
          </w:rPr>
          <w:t>5</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060B4" w:rsidRDefault="00A060B4" w:rsidP="00380A87">
      <w:pPr>
        <w:spacing w:after="0" w:line="240" w:lineRule="auto"/>
      </w:pPr>
      <w:r>
        <w:separator/>
      </w:r>
    </w:p>
  </w:footnote>
  <w:footnote w:type="continuationSeparator" w:id="0">
    <w:p w:rsidR="00A060B4" w:rsidRDefault="00A060B4" w:rsidP="00380A8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0A87" w:rsidRPr="009A73FA" w:rsidRDefault="00380A87" w:rsidP="00380A87">
    <w:pPr>
      <w:pStyle w:val="Header"/>
      <w:jc w:val="right"/>
      <w:rPr>
        <w:i/>
        <w:sz w:val="20"/>
      </w:rPr>
    </w:pPr>
    <w:r>
      <w:rPr>
        <w:i/>
        <w:noProof/>
        <w:sz w:val="20"/>
      </w:rPr>
      <mc:AlternateContent>
        <mc:Choice Requires="wps">
          <w:drawing>
            <wp:anchor distT="0" distB="0" distL="114300" distR="114300" simplePos="0" relativeHeight="251659264" behindDoc="0" locked="0" layoutInCell="1" allowOverlap="1" wp14:anchorId="260FDB34" wp14:editId="4959190E">
              <wp:simplePos x="0" y="0"/>
              <wp:positionH relativeFrom="margin">
                <wp:posOffset>0</wp:posOffset>
              </wp:positionH>
              <wp:positionV relativeFrom="paragraph">
                <wp:posOffset>-81753</wp:posOffset>
              </wp:positionV>
              <wp:extent cx="5943600" cy="0"/>
              <wp:effectExtent l="0" t="38100" r="38100" b="38100"/>
              <wp:wrapNone/>
              <wp:docPr id="20" name="Straight Connector 20"/>
              <wp:cNvGraphicFramePr/>
              <a:graphic xmlns:a="http://schemas.openxmlformats.org/drawingml/2006/main">
                <a:graphicData uri="http://schemas.microsoft.com/office/word/2010/wordprocessingShape">
                  <wps:wsp>
                    <wps:cNvCnPr/>
                    <wps:spPr>
                      <a:xfrm>
                        <a:off x="0" y="0"/>
                        <a:ext cx="5943600" cy="0"/>
                      </a:xfrm>
                      <a:prstGeom prst="line">
                        <a:avLst/>
                      </a:prstGeom>
                      <a:ln w="762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A1AE786" id="Straight Connector 20" o:spid="_x0000_s1026" style="position:absolute;z-index:251659264;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 from="0,-6.45pt" to="468pt,-6.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" strokecolor="black [3200]" strokeweight="6pt">
              <v:stroke joinstyle="miter"/>
              <w10:wrap anchorx="margin"/>
            </v:line>
          </w:pict>
        </mc:Fallback>
      </mc:AlternateContent>
    </w:r>
    <w:r w:rsidRPr="009A73FA">
      <w:rPr>
        <w:i/>
        <w:sz w:val="20"/>
      </w:rPr>
      <w:t>Guidebook for Selecting Project Delivery Methods &amp; Alternative Contracting Strategies</w:t>
    </w:r>
  </w:p>
  <w:p w:rsidR="00380A87" w:rsidRPr="009A73FA" w:rsidRDefault="00380A87" w:rsidP="00380A87">
    <w:pPr>
      <w:pStyle w:val="Header"/>
      <w:jc w:val="right"/>
      <w:rPr>
        <w:i/>
        <w:sz w:val="20"/>
      </w:rPr>
    </w:pPr>
    <w:r w:rsidRPr="009A73FA">
      <w:rPr>
        <w:i/>
        <w:sz w:val="20"/>
      </w:rPr>
      <w:t>TPF-5(260) Project No. 1</w:t>
    </w:r>
  </w:p>
  <w:p w:rsidR="00380A87" w:rsidRDefault="00380A8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595FC5"/>
    <w:multiLevelType w:val="hybridMultilevel"/>
    <w:tmpl w:val="D0CCBB98"/>
    <w:lvl w:ilvl="0" w:tplc="4A00346A">
      <w:start w:val="1"/>
      <w:numFmt w:val="bullet"/>
      <w:pStyle w:val="Bullets"/>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94D73F3"/>
    <w:multiLevelType w:val="hybridMultilevel"/>
    <w:tmpl w:val="A82E6AC4"/>
    <w:lvl w:ilvl="0" w:tplc="22BC0FBA">
      <w:start w:val="3"/>
      <w:numFmt w:val="decimal"/>
      <w:pStyle w:val="PDMHeading1"/>
      <w:lvlText w:val="A.%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3EFA38AE"/>
    <w:multiLevelType w:val="hybridMultilevel"/>
    <w:tmpl w:val="370AF3D8"/>
    <w:lvl w:ilvl="0" w:tplc="11761FF0">
      <w:start w:val="1"/>
      <w:numFmt w:val="decimal"/>
      <w:pStyle w:val="TRBReferences"/>
      <w:lvlText w:val="%1."/>
      <w:lvlJc w:val="left"/>
      <w:pPr>
        <w:ind w:left="360" w:hanging="360"/>
      </w:pPr>
      <w:rPr>
        <w:sz w:val="22"/>
      </w:rPr>
    </w:lvl>
    <w:lvl w:ilvl="1" w:tplc="2926EEE0">
      <w:start w:val="1"/>
      <w:numFmt w:val="decimal"/>
      <w:lvlText w:val="%2)"/>
      <w:lvlJc w:val="left"/>
      <w:pPr>
        <w:ind w:left="1080" w:hanging="360"/>
      </w:pPr>
      <w:rPr>
        <w:rFont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607C34D9"/>
    <w:multiLevelType w:val="hybridMultilevel"/>
    <w:tmpl w:val="2A0C521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2"/>
  </w:num>
  <w:num w:numId="3">
    <w:abstractNumId w:val="2"/>
    <w:lvlOverride w:ilvl="0">
      <w:startOverride w:val="1"/>
    </w:lvlOverride>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0A87"/>
    <w:rsid w:val="001969E6"/>
    <w:rsid w:val="002144EB"/>
    <w:rsid w:val="00215426"/>
    <w:rsid w:val="00307BEA"/>
    <w:rsid w:val="00380A87"/>
    <w:rsid w:val="003975A3"/>
    <w:rsid w:val="00477E59"/>
    <w:rsid w:val="005F1CCD"/>
    <w:rsid w:val="00633904"/>
    <w:rsid w:val="00651EC9"/>
    <w:rsid w:val="008413C1"/>
    <w:rsid w:val="009A0EDF"/>
    <w:rsid w:val="009F5F1B"/>
    <w:rsid w:val="00A060B4"/>
    <w:rsid w:val="00A15241"/>
    <w:rsid w:val="00C10C21"/>
    <w:rsid w:val="00C47AD2"/>
    <w:rsid w:val="00C50952"/>
    <w:rsid w:val="00E36B7F"/>
    <w:rsid w:val="00E86F37"/>
    <w:rsid w:val="00F614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D6A8B3-2080-4DBE-B6EB-08BEBCD14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0A87"/>
    <w:pPr>
      <w:spacing w:line="36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s">
    <w:name w:val="Bullets"/>
    <w:basedOn w:val="Normal"/>
    <w:link w:val="BulletsChar"/>
    <w:qFormat/>
    <w:rsid w:val="00380A87"/>
    <w:pPr>
      <w:numPr>
        <w:numId w:val="1"/>
      </w:numPr>
      <w:spacing w:before="120" w:after="120" w:line="276" w:lineRule="auto"/>
      <w:jc w:val="both"/>
    </w:pPr>
    <w:rPr>
      <w:rFonts w:eastAsia="Calibri"/>
      <w:szCs w:val="20"/>
    </w:rPr>
  </w:style>
  <w:style w:type="character" w:customStyle="1" w:styleId="BulletsChar">
    <w:name w:val="Bullets Char"/>
    <w:basedOn w:val="DefaultParagraphFont"/>
    <w:link w:val="Bullets"/>
    <w:rsid w:val="00380A87"/>
    <w:rPr>
      <w:rFonts w:ascii="Times New Roman" w:eastAsia="Calibri" w:hAnsi="Times New Roman" w:cs="Times New Roman"/>
      <w:szCs w:val="20"/>
    </w:rPr>
  </w:style>
  <w:style w:type="character" w:styleId="Hyperlink">
    <w:name w:val="Hyperlink"/>
    <w:basedOn w:val="DefaultParagraphFont"/>
    <w:uiPriority w:val="99"/>
    <w:unhideWhenUsed/>
    <w:rsid w:val="00380A87"/>
    <w:rPr>
      <w:color w:val="0563C1" w:themeColor="hyperlink"/>
      <w:u w:val="single"/>
    </w:rPr>
  </w:style>
  <w:style w:type="paragraph" w:customStyle="1" w:styleId="TRBReferences">
    <w:name w:val="TRB References"/>
    <w:basedOn w:val="Normal"/>
    <w:link w:val="TRBReferencesChar"/>
    <w:qFormat/>
    <w:rsid w:val="00380A87"/>
    <w:pPr>
      <w:numPr>
        <w:numId w:val="2"/>
      </w:numPr>
      <w:spacing w:after="240" w:line="276" w:lineRule="auto"/>
    </w:pPr>
  </w:style>
  <w:style w:type="character" w:customStyle="1" w:styleId="TRBReferencesChar">
    <w:name w:val="TRB References Char"/>
    <w:basedOn w:val="DefaultParagraphFont"/>
    <w:link w:val="TRBReferences"/>
    <w:rsid w:val="00380A87"/>
    <w:rPr>
      <w:rFonts w:ascii="Times New Roman" w:hAnsi="Times New Roman" w:cs="Times New Roman"/>
    </w:rPr>
  </w:style>
  <w:style w:type="paragraph" w:customStyle="1" w:styleId="PDMHeading1">
    <w:name w:val="PDM Heading 1"/>
    <w:basedOn w:val="Normal"/>
    <w:link w:val="PDMHeading1Char"/>
    <w:qFormat/>
    <w:rsid w:val="00380A87"/>
    <w:pPr>
      <w:keepNext/>
      <w:keepLines/>
      <w:numPr>
        <w:numId w:val="4"/>
      </w:numPr>
      <w:spacing w:before="40" w:after="0"/>
      <w:outlineLvl w:val="1"/>
    </w:pPr>
    <w:rPr>
      <w:rFonts w:eastAsiaTheme="majorEastAsia"/>
      <w:b/>
      <w:sz w:val="28"/>
      <w:szCs w:val="26"/>
    </w:rPr>
  </w:style>
  <w:style w:type="character" w:customStyle="1" w:styleId="PDMHeading1Char">
    <w:name w:val="PDM Heading 1 Char"/>
    <w:basedOn w:val="DefaultParagraphFont"/>
    <w:link w:val="PDMHeading1"/>
    <w:rsid w:val="00380A87"/>
    <w:rPr>
      <w:rFonts w:ascii="Times New Roman" w:eastAsiaTheme="majorEastAsia" w:hAnsi="Times New Roman" w:cs="Times New Roman"/>
      <w:b/>
      <w:sz w:val="28"/>
      <w:szCs w:val="26"/>
    </w:rPr>
  </w:style>
  <w:style w:type="paragraph" w:customStyle="1" w:styleId="PDMHeading2">
    <w:name w:val="PDM Heading 2"/>
    <w:basedOn w:val="Normal"/>
    <w:link w:val="PDMHeading2Char"/>
    <w:qFormat/>
    <w:rsid w:val="00380A87"/>
    <w:pPr>
      <w:keepNext/>
      <w:keepLines/>
      <w:spacing w:before="240" w:after="0"/>
      <w:outlineLvl w:val="2"/>
    </w:pPr>
    <w:rPr>
      <w:rFonts w:eastAsiaTheme="majorEastAsia"/>
      <w:b/>
      <w:i/>
      <w:sz w:val="24"/>
      <w:szCs w:val="24"/>
    </w:rPr>
  </w:style>
  <w:style w:type="character" w:customStyle="1" w:styleId="PDMHeading2Char">
    <w:name w:val="PDM Heading 2 Char"/>
    <w:basedOn w:val="DefaultParagraphFont"/>
    <w:link w:val="PDMHeading2"/>
    <w:rsid w:val="00380A87"/>
    <w:rPr>
      <w:rFonts w:ascii="Times New Roman" w:eastAsiaTheme="majorEastAsia" w:hAnsi="Times New Roman" w:cs="Times New Roman"/>
      <w:b/>
      <w:i/>
      <w:sz w:val="24"/>
      <w:szCs w:val="24"/>
    </w:rPr>
  </w:style>
  <w:style w:type="paragraph" w:styleId="Header">
    <w:name w:val="header"/>
    <w:basedOn w:val="Normal"/>
    <w:link w:val="HeaderChar"/>
    <w:unhideWhenUsed/>
    <w:rsid w:val="00380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80A87"/>
    <w:rPr>
      <w:rFonts w:ascii="Times New Roman" w:hAnsi="Times New Roman" w:cs="Times New Roman"/>
    </w:rPr>
  </w:style>
  <w:style w:type="paragraph" w:styleId="Footer">
    <w:name w:val="footer"/>
    <w:basedOn w:val="Normal"/>
    <w:link w:val="FooterChar"/>
    <w:uiPriority w:val="99"/>
    <w:unhideWhenUsed/>
    <w:rsid w:val="00380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80A8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fhwa.dot.gov/everydaycounts/edctwo/2012/pdfs/edc_cm_gm.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4485</Words>
  <Characters>25565</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Christofer Harper</dc:creator>
  <cp:keywords/>
  <dc:description/>
  <cp:lastModifiedBy>Christofer Harper</cp:lastModifiedBy>
  <cp:revision>3</cp:revision>
  <dcterms:created xsi:type="dcterms:W3CDTF">2014-07-24T17:57:00Z</dcterms:created>
  <dcterms:modified xsi:type="dcterms:W3CDTF">2014-07-24T18:08:00Z</dcterms:modified>
</cp:coreProperties>
</file>