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74" w:rsidRPr="00344374" w:rsidRDefault="00344374" w:rsidP="00344374">
      <w:pPr>
        <w:pStyle w:val="PayHeading1"/>
      </w:pPr>
      <w:bookmarkStart w:id="0" w:name="_Toc392598420"/>
      <w:r w:rsidRPr="00344374">
        <w:t>Price Adjustment Clause</w:t>
      </w:r>
      <w:bookmarkEnd w:id="0"/>
    </w:p>
    <w:p w:rsidR="00344374" w:rsidRPr="004E6957" w:rsidRDefault="00344374" w:rsidP="00344374">
      <w:r>
        <w:t>Also known as Economic Price Adjustment, Cost Adjustment, Escalation Clauses, Price Indexing</w:t>
      </w:r>
    </w:p>
    <w:p w:rsidR="00344374" w:rsidRPr="004E6957" w:rsidRDefault="00344374" w:rsidP="00344374">
      <w:pPr>
        <w:pStyle w:val="PDMHeading2"/>
      </w:pPr>
      <w:bookmarkStart w:id="1" w:name="_Toc376781538"/>
      <w:r w:rsidRPr="004E6957">
        <w:t>What is it?</w:t>
      </w:r>
      <w:bookmarkEnd w:id="1"/>
    </w:p>
    <w:p w:rsidR="00344374" w:rsidRPr="00325CB4" w:rsidRDefault="00344374" w:rsidP="00344374">
      <w:bookmarkStart w:id="2" w:name="_Toc376781539"/>
      <w:r w:rsidRPr="00325CB4">
        <w:t>Economic Price Adjustment consists of providing contractor</w:t>
      </w:r>
      <w:r>
        <w:t>s</w:t>
      </w:r>
      <w:r w:rsidRPr="00325CB4">
        <w:t xml:space="preserve"> with protection against materials, and fuel price increases that m</w:t>
      </w:r>
      <w:r>
        <w:t>a</w:t>
      </w:r>
      <w:r w:rsidRPr="00325CB4">
        <w:t>y occur during the execution of the work through the use of Price Adjustment Clauses (PAC</w:t>
      </w:r>
      <w:r>
        <w:t>s</w:t>
      </w:r>
      <w:r w:rsidRPr="00325CB4">
        <w:t xml:space="preserve">). </w:t>
      </w:r>
      <w:r>
        <w:t>Under these provisions, t</w:t>
      </w:r>
      <w:r w:rsidRPr="00325CB4">
        <w:t xml:space="preserve">he </w:t>
      </w:r>
      <w:r>
        <w:t>STA</w:t>
      </w:r>
      <w:r w:rsidRPr="00325CB4">
        <w:t xml:space="preserve"> accepts the risk for increasing prices by offering a PAC that will </w:t>
      </w:r>
      <w:r>
        <w:t>compensate</w:t>
      </w:r>
      <w:r w:rsidRPr="00325CB4">
        <w:t xml:space="preserve"> the con</w:t>
      </w:r>
      <w:r>
        <w:t>tractor for any increase above the bid price or a</w:t>
      </w:r>
      <w:r w:rsidRPr="00325CB4">
        <w:t xml:space="preserve"> trigger amount </w:t>
      </w:r>
      <w:r>
        <w:t xml:space="preserve">of a specific material </w:t>
      </w:r>
      <w:r>
        <w:fldChar w:fldCharType="begin"/>
      </w:r>
      <w:r>
        <w:instrText xml:space="preserve"> ADDIN ZOTERO_ITEM CSL_CITATION {"citationID":"13stae7d6t","properties":{"formattedCitation":"{\\rtf \\i (1)\\i0{}}","plainCitation":"(1)"},"citationItems":[{"id":190,"uris":["http://zotero.org/users/1628965/items/J3DCFHBP"],"uri":["http://zotero.org/users/1628965/items/J3DCFHBP"],"itemData":{"id":190,"type":"report","title":"Price Adjustment Clauses: Report","publisher":"Federal Highway Administration","URL":"http://ntl.bts.gov/lib/47000/47700/47735/0-6799-1.pdf","author":[{"family":"Newcomb","given":"David"},{"family":"Lenz","given":"Russel"},{"family":"Epps","given":"Jon"}],"issued":{"date-parts":[["2013",6]]},"accessed":{"date-parts":[["2013",11,4]]}}}],"schema":"https://github.com/citation-style-language/schema/raw/master/csl-citation.json"} </w:instrText>
      </w:r>
      <w:r>
        <w:fldChar w:fldCharType="separate"/>
      </w:r>
      <w:r w:rsidRPr="00325CB4">
        <w:rPr>
          <w:i/>
          <w:iCs/>
          <w:szCs w:val="24"/>
        </w:rPr>
        <w:t>(1)</w:t>
      </w:r>
      <w:r>
        <w:fldChar w:fldCharType="end"/>
      </w:r>
      <w:r>
        <w:t>.</w:t>
      </w:r>
    </w:p>
    <w:p w:rsidR="00344374" w:rsidRPr="004E6957" w:rsidRDefault="00344374" w:rsidP="00344374">
      <w:pPr>
        <w:pStyle w:val="PDMHeading2"/>
      </w:pPr>
      <w:r w:rsidRPr="004E6957">
        <w:t>Why use it?</w:t>
      </w:r>
      <w:bookmarkEnd w:id="2"/>
    </w:p>
    <w:p w:rsidR="00344374" w:rsidRPr="004E6957" w:rsidRDefault="00344374" w:rsidP="00344374">
      <w:pPr>
        <w:spacing w:after="0"/>
      </w:pPr>
      <w:r w:rsidRPr="004E6957">
        <w:t xml:space="preserve">According to </w:t>
      </w:r>
      <w:r w:rsidRPr="004E6957">
        <w:rPr>
          <w:i/>
          <w:iCs/>
        </w:rPr>
        <w:t>Price Indexing in Transportation Construction Contracts</w:t>
      </w:r>
      <w:r w:rsidRPr="004E6957">
        <w:t xml:space="preserve"> </w:t>
      </w:r>
      <w:r w:rsidRPr="004E6957">
        <w:fldChar w:fldCharType="begin"/>
      </w:r>
      <w:r w:rsidRPr="004E6957">
        <w:instrText xml:space="preserve"> ADDIN ZOTERO_ITEM CSL_CITATION {"citationID":"2dr2nohn13","properties":{"formattedCitation":"{\\rtf \\i (2)\\i0{}}","plainCitation":"(2)"},"citationItems":[{"id":189,"uris":["http://zotero.org/users/1628965/items/5ZRT75MU"],"uri":["http://zotero.org/users/1628965/items/5ZRT75MU"],"itemData":{"id":189,"type":"article","title":"Price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a NCHRP research </w:t>
      </w:r>
      <w:r>
        <w:t>study</w:t>
      </w:r>
      <w:r w:rsidRPr="004E6957">
        <w:t xml:space="preserve"> on the use of PACs in the transportation construction industry, this type of provision has the following benefits:</w:t>
      </w:r>
    </w:p>
    <w:p w:rsidR="00344374" w:rsidRPr="004E6957" w:rsidRDefault="00344374" w:rsidP="00344374">
      <w:pPr>
        <w:pStyle w:val="Bullets"/>
      </w:pPr>
      <w:r w:rsidRPr="004E6957">
        <w:t>Lower bid prices</w:t>
      </w:r>
    </w:p>
    <w:p w:rsidR="00344374" w:rsidRPr="004E6957" w:rsidRDefault="00344374" w:rsidP="00344374">
      <w:pPr>
        <w:pStyle w:val="Bullets"/>
      </w:pPr>
      <w:r w:rsidRPr="004E6957">
        <w:t>Increased number of bids and fewer bid retractions</w:t>
      </w:r>
    </w:p>
    <w:p w:rsidR="00344374" w:rsidRPr="004E6957" w:rsidRDefault="00344374" w:rsidP="00344374">
      <w:pPr>
        <w:pStyle w:val="Bullets"/>
      </w:pPr>
      <w:r w:rsidRPr="004E6957">
        <w:t xml:space="preserve">Better market stability </w:t>
      </w:r>
    </w:p>
    <w:p w:rsidR="00344374" w:rsidRPr="004E6957" w:rsidRDefault="00344374" w:rsidP="00344374">
      <w:pPr>
        <w:pStyle w:val="Bullets"/>
      </w:pPr>
      <w:r w:rsidRPr="004E6957">
        <w:t>Increased reliability in the supply chain</w:t>
      </w:r>
    </w:p>
    <w:p w:rsidR="00344374" w:rsidRPr="004E6957" w:rsidRDefault="00344374" w:rsidP="00344374">
      <w:pPr>
        <w:pStyle w:val="Bullets"/>
      </w:pPr>
      <w:r w:rsidRPr="004E6957">
        <w:t>Consistent contractor profit margins</w:t>
      </w:r>
    </w:p>
    <w:p w:rsidR="00344374" w:rsidRPr="004E6957" w:rsidRDefault="00344374" w:rsidP="00344374">
      <w:pPr>
        <w:pStyle w:val="PDMHeading2"/>
      </w:pPr>
      <w:bookmarkStart w:id="3" w:name="_Toc376781540"/>
      <w:r w:rsidRPr="004E6957">
        <w:t>What does it do?</w:t>
      </w:r>
      <w:bookmarkEnd w:id="3"/>
    </w:p>
    <w:p w:rsidR="00344374" w:rsidRPr="004E6957" w:rsidRDefault="00344374" w:rsidP="00344374">
      <w:r w:rsidRPr="004E6957">
        <w:t xml:space="preserve">PACs help in addressing the issues caused by commodities with volatile prices. The uncertainty about future costs bring large risks to the construction contracting industry. As a result, under regular payment provisions, contractors try to include risk premiums to their bids to ensure profitability through unforeseen circumstances causing overall higher bid prices. In addition, for the case of long term projects, changing prices result in much higher risks as the changes increase with time resulting in unrealistic bid prices </w:t>
      </w:r>
      <w:r w:rsidRPr="004E6957">
        <w:fldChar w:fldCharType="begin"/>
      </w:r>
      <w:r w:rsidRPr="004E6957">
        <w:instrText xml:space="preserve"> ADDIN ZOTERO_ITEM CSL_CITATION {"citationID":"t60loomtu","properties":{"formattedCitation":"{\\rtf \\i (1)\\i0{}}","plainCitation":"(1)"},"citationItems":[{"id":190,"uris":["http://zotero.org/users/1628965/items/J3DCFHBP"],"uri":["http://zotero.org/users/1628965/items/J3DCFHBP"],"itemData":{"id":190,"type":"article","title":"Price Adjustment Clauses: Report","publisher":"Federal Highway Administration","URL":"http://ntl.bts.gov/lib/47000/47700/47735/0-6799-1.pdf","author":[{"family":"Newcomb","given":"David"},{"family":"Lenz","given":"Russel"},{"family":"Epps","given":"Jon"}],"issued":{"date-parts":[["2013",6]]},"accessed":{"date-parts":[["2013",11,4]]}}}],"schema":"https://github.com/citation-style-language/schema/raw/master/csl-citation.json"} </w:instrText>
      </w:r>
      <w:r w:rsidRPr="004E6957">
        <w:fldChar w:fldCharType="separate"/>
      </w:r>
      <w:r w:rsidRPr="004E6957">
        <w:rPr>
          <w:i/>
          <w:iCs/>
          <w:szCs w:val="24"/>
        </w:rPr>
        <w:t>(1)</w:t>
      </w:r>
      <w:r w:rsidRPr="004E6957">
        <w:fldChar w:fldCharType="end"/>
      </w:r>
      <w:r w:rsidRPr="004E6957">
        <w:t xml:space="preserve">. By transferring the risks from the contractor to the DOT, the need for these contingency costs is eliminated resulting in better bid prices. In addition, by eliminating the risks, PACs shield construction firms from large losses on single contracts. PACs help reduce the number of firms that exit the market and provide better market stability </w:t>
      </w:r>
      <w:r w:rsidRPr="004E6957">
        <w:fldChar w:fldCharType="begin"/>
      </w:r>
      <w:r w:rsidRPr="004E6957">
        <w:instrText xml:space="preserve"> ADDIN ZOTERO_ITEM CSL_CITATION {"citationID":"mf2pbscoc","properties":{"formattedCitation":"{\\rtf \\i (2)\\i0{}}","plainCitation":"(2)"},"citationItems":[{"id":189,"uris":["http://zotero.org/users/1628965/items/5ZRT75MU"],"uri":["http://zotero.org/users/1628965/items/5ZRT75MU"],"itemData":{"id":189,"type":"article","title":"Price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rsidRPr="004E6957">
        <w:fldChar w:fldCharType="separate"/>
      </w:r>
      <w:r w:rsidRPr="004E6957">
        <w:rPr>
          <w:i/>
          <w:iCs/>
          <w:szCs w:val="24"/>
        </w:rPr>
        <w:t>(2)</w:t>
      </w:r>
      <w:r w:rsidRPr="004E6957">
        <w:fldChar w:fldCharType="end"/>
      </w:r>
      <w:r w:rsidRPr="004E6957">
        <w:t>.</w:t>
      </w:r>
    </w:p>
    <w:p w:rsidR="00344374" w:rsidRPr="004E6957" w:rsidRDefault="00344374" w:rsidP="00344374">
      <w:pPr>
        <w:pStyle w:val="PDMHeading2"/>
      </w:pPr>
      <w:bookmarkStart w:id="4" w:name="_Toc376781541"/>
      <w:r w:rsidRPr="004E6957">
        <w:t>How to use it?</w:t>
      </w:r>
      <w:bookmarkEnd w:id="4"/>
    </w:p>
    <w:p w:rsidR="00344374" w:rsidRPr="004E6957" w:rsidRDefault="00344374" w:rsidP="00344374">
      <w:pPr>
        <w:spacing w:after="0"/>
      </w:pPr>
      <w:r w:rsidRPr="004E6957">
        <w:t xml:space="preserve">The NCHRP report 20-07/274 </w:t>
      </w:r>
      <w:r w:rsidRPr="004E6957">
        <w:fldChar w:fldCharType="begin"/>
      </w:r>
      <w:r w:rsidRPr="004E6957">
        <w:instrText xml:space="preserve"> ADDIN ZOTERO_ITEM CSL_CITATION {"citationID":"1oami8q2d7","properties":{"formattedCitation":"{\\rtf \\i (2)\\i0{}}","plainCitation":"(2)"},"citationItems":[{"id":189,"uris":["http://zotero.org/users/1628965/items/5ZRT75MU"],"uri":["http://zotero.org/users/1628965/items/5ZRT75MU"],"itemData":{"id":189,"type":"article","title":"Price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rsidRPr="004E6957">
        <w:fldChar w:fldCharType="separate"/>
      </w:r>
      <w:r w:rsidRPr="004E6957">
        <w:rPr>
          <w:i/>
          <w:iCs/>
          <w:szCs w:val="24"/>
        </w:rPr>
        <w:t>(2)</w:t>
      </w:r>
      <w:r w:rsidRPr="004E6957">
        <w:fldChar w:fldCharType="end"/>
      </w:r>
      <w:r w:rsidRPr="004E6957">
        <w:t>, provides guidelines for the implementation of a PAC program in STAs, which includes the following four sections:</w:t>
      </w:r>
    </w:p>
    <w:p w:rsidR="00344374" w:rsidRPr="004E6957" w:rsidRDefault="00344374" w:rsidP="00344374">
      <w:pPr>
        <w:pStyle w:val="Bullets"/>
      </w:pPr>
      <w:r w:rsidRPr="004E6957">
        <w:rPr>
          <w:b/>
        </w:rPr>
        <w:lastRenderedPageBreak/>
        <w:t>Criteria for Implementing a PAC Program</w:t>
      </w:r>
      <w:r w:rsidRPr="004E6957">
        <w:t xml:space="preserve"> - In this stage, the STA should perform a risks and benefits analysis to assess the need of a PAC program. Among the benefits are improved market stability, better bid prices, increased number of bidders, less bid retractions, and a reduced risks for contractors. Among the risks are political barriers, increased power of suppliers in the supply chain, start-up costs, and increased administrative costs. </w:t>
      </w:r>
    </w:p>
    <w:p w:rsidR="00344374" w:rsidRPr="004E6957" w:rsidRDefault="00344374" w:rsidP="00344374">
      <w:pPr>
        <w:pStyle w:val="Bullets"/>
      </w:pPr>
      <w:r w:rsidRPr="004E6957">
        <w:rPr>
          <w:b/>
        </w:rPr>
        <w:t>Criteria for selecting materials to include in a PAC program</w:t>
      </w:r>
      <w:r w:rsidRPr="004E6957">
        <w:t xml:space="preserve"> – Here, the STA should analyze which materials are adequate to combine with PACs. The Price Indexing in Transportation Construction Contracts </w:t>
      </w:r>
      <w:r w:rsidRPr="004E6957">
        <w:fldChar w:fldCharType="begin"/>
      </w:r>
      <w:r w:rsidRPr="004E6957">
        <w:instrText xml:space="preserve"> ADDIN ZOTERO_ITEM CSL_CITATION {"citationID":"1f9ohigqf1","properties":{"formattedCitation":"{\\rtf \\i (2)\\i0{}}","plainCitation":"(2)"},"citationItems":[{"id":189,"uris":["http://zotero.org/users/1628965/items/5ZRT75MU"],"uri":["http://zotero.org/users/1628965/items/5ZRT75MU"],"itemData":{"id":189,"type":"article","title":"Price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provides the following material selection framework: </w:t>
      </w:r>
    </w:p>
    <w:p w:rsidR="00344374" w:rsidRPr="004E6957" w:rsidRDefault="00344374" w:rsidP="00344374">
      <w:pPr>
        <w:pStyle w:val="Bullets"/>
        <w:numPr>
          <w:ilvl w:val="1"/>
          <w:numId w:val="1"/>
        </w:numPr>
      </w:pPr>
      <w:r w:rsidRPr="004E6957">
        <w:t>Availability of price index – Find a material specific price index that can be used to monitor price changes. Materials with readily available price indices are more suitable for PACs.</w:t>
      </w:r>
    </w:p>
    <w:p w:rsidR="00344374" w:rsidRPr="004E6957" w:rsidRDefault="00344374" w:rsidP="00344374">
      <w:pPr>
        <w:pStyle w:val="Bullets"/>
        <w:numPr>
          <w:ilvl w:val="1"/>
          <w:numId w:val="1"/>
        </w:numPr>
      </w:pPr>
      <w:r w:rsidRPr="004E6957">
        <w:t>Validity of the chosen index – Assess the reliability of the price index chosen. Materials for which the prices are easily accessible at any time have better price indices and are therefore better for PACs.</w:t>
      </w:r>
    </w:p>
    <w:p w:rsidR="00344374" w:rsidRPr="004E6957" w:rsidRDefault="00344374" w:rsidP="00344374">
      <w:pPr>
        <w:pStyle w:val="Bullets"/>
        <w:numPr>
          <w:ilvl w:val="1"/>
          <w:numId w:val="1"/>
        </w:numPr>
      </w:pPr>
      <w:r w:rsidRPr="004E6957">
        <w:t>Method for measuring material quantities used - Determine the method for measuring and calculating the material quantities (e.g. An STA can use fuel usage factors for the case of diesel fuel, and pounds for structural steel). In this case, materials that can be easily measured are preferred.</w:t>
      </w:r>
    </w:p>
    <w:p w:rsidR="00344374" w:rsidRPr="004E6957" w:rsidRDefault="00344374" w:rsidP="00344374">
      <w:pPr>
        <w:pStyle w:val="Bullets"/>
        <w:numPr>
          <w:ilvl w:val="1"/>
          <w:numId w:val="1"/>
        </w:numPr>
      </w:pPr>
      <w:r w:rsidRPr="004E6957">
        <w:t>Impact of changing prices - The impact of the changing prices on the overall project cost comes from the volatility of the material price and the quantity of material to be employed in the project. Materials that are required in larger quantities and have very volatile prices will have larger impacts on overall project cost and are more suitable for PACs.</w:t>
      </w:r>
    </w:p>
    <w:p w:rsidR="00344374" w:rsidRPr="004E6957" w:rsidRDefault="00344374" w:rsidP="00344374">
      <w:pPr>
        <w:pStyle w:val="Bullets"/>
        <w:numPr>
          <w:ilvl w:val="1"/>
          <w:numId w:val="1"/>
        </w:numPr>
      </w:pPr>
      <w:r w:rsidRPr="004E6957">
        <w:t>Contractor's ability to control price - For some materials contractors can secure constant prices from suppliers for the duration of a project, or they can store large material reserves. However, other materials are hard to procure at a constant rate or store for long periods of time. This last type of material is preferred for PACs.</w:t>
      </w:r>
    </w:p>
    <w:p w:rsidR="00344374" w:rsidRPr="004E6957" w:rsidRDefault="00344374" w:rsidP="00344374">
      <w:pPr>
        <w:pStyle w:val="Bullets"/>
        <w:numPr>
          <w:ilvl w:val="1"/>
          <w:numId w:val="1"/>
        </w:numPr>
        <w:spacing w:after="240"/>
      </w:pPr>
      <w:r w:rsidRPr="004E6957">
        <w:t xml:space="preserve">Program setup and administration - Assess the cost of implementing and maintaining a PAC program for the material. </w:t>
      </w:r>
    </w:p>
    <w:p w:rsidR="00344374" w:rsidRPr="004E6957" w:rsidRDefault="00344374" w:rsidP="00344374">
      <w:r w:rsidRPr="004E6957">
        <w:t>STAs use PACs for a variety of materials such as fuel, liquid asphalt, cement, structural steel, aggregates, and pipes. However, based on this framework the two materials that get the most benefits from PACs are fuel (Gasoline and Diesel), and liquid asphalt as they have very volatile prices, and can have large impacts on overall project costs.</w:t>
      </w:r>
    </w:p>
    <w:p w:rsidR="00344374" w:rsidRPr="004E6957" w:rsidRDefault="00344374" w:rsidP="00344374">
      <w:pPr>
        <w:pStyle w:val="Bullets"/>
      </w:pPr>
      <w:r w:rsidRPr="004E6957">
        <w:rPr>
          <w:b/>
        </w:rPr>
        <w:t>Criteria for selecting a PAC program method</w:t>
      </w:r>
      <w:r w:rsidRPr="004E6957">
        <w:t xml:space="preserve"> - At this point, the STA should select how it will compute the cost difference. Methods used by the STAs are indexed material use per unit, percent of cost method, bid item method, invoice method, and specified total fuel requirement. The most used method is the indexed material use per unit, as it is hard to manipulate to the advantage of the contractor or STA, and it only requires one input, the material quantity.</w:t>
      </w:r>
    </w:p>
    <w:p w:rsidR="00344374" w:rsidRPr="004E6957" w:rsidRDefault="00344374" w:rsidP="00344374">
      <w:pPr>
        <w:pStyle w:val="Bullets"/>
      </w:pPr>
      <w:r w:rsidRPr="004E6957">
        <w:rPr>
          <w:b/>
        </w:rPr>
        <w:t>Criteria for selecting the attributes of a PAC program</w:t>
      </w:r>
      <w:r w:rsidRPr="004E6957">
        <w:t xml:space="preserve"> – Here, the STA needs to define  attributes of the PAC program such as:</w:t>
      </w:r>
    </w:p>
    <w:p w:rsidR="00344374" w:rsidRPr="004E6957" w:rsidRDefault="00344374" w:rsidP="00344374">
      <w:pPr>
        <w:pStyle w:val="Bullets"/>
        <w:numPr>
          <w:ilvl w:val="1"/>
          <w:numId w:val="1"/>
        </w:numPr>
      </w:pPr>
      <w:r w:rsidRPr="004E6957">
        <w:lastRenderedPageBreak/>
        <w:t>Trigger value - This defines how much the prices can change before the PAC applies. It is important to consider that the lower the trigger value the higher the risk the STA is assuming, but the bid price will be lower as the contractor's contingency to cover for material price changes will be reduced as well. The opposite is true for higher trigger values. Usual values range from 0% to 10%.</w:t>
      </w:r>
    </w:p>
    <w:p w:rsidR="00344374" w:rsidRPr="004E6957" w:rsidRDefault="00344374" w:rsidP="00344374">
      <w:pPr>
        <w:pStyle w:val="Bullets"/>
        <w:numPr>
          <w:ilvl w:val="1"/>
          <w:numId w:val="1"/>
        </w:numPr>
      </w:pPr>
      <w:r w:rsidRPr="004E6957">
        <w:t xml:space="preserve">Opt in/opt out option - STAs can provide the option to opt out of a PAC provision if the contractor can secure pricing from a supplier or storage material for the duration of the project. </w:t>
      </w:r>
    </w:p>
    <w:p w:rsidR="00344374" w:rsidRPr="004E6957" w:rsidRDefault="00344374" w:rsidP="00344374">
      <w:pPr>
        <w:pStyle w:val="PDMHeading2"/>
      </w:pPr>
      <w:bookmarkStart w:id="5" w:name="_Toc376781542"/>
      <w:r w:rsidRPr="004E6957">
        <w:t>When to use it?</w:t>
      </w:r>
      <w:bookmarkEnd w:id="5"/>
    </w:p>
    <w:p w:rsidR="00344374" w:rsidRPr="004E6957" w:rsidRDefault="00344374" w:rsidP="00344374">
      <w:r w:rsidRPr="004E6957">
        <w:t xml:space="preserve">PACs are heavily dependent on project duration. In shorter duration projects it is easier to forecast the price of materials until the end of the project as there will be small variations in time. In longer duration projects however, it is harder to forecast these prices as they can vary greatly over time resulting in higher risks. The NCHRP report 20-07/274 </w:t>
      </w:r>
      <w:r w:rsidRPr="004E6957">
        <w:fldChar w:fldCharType="begin"/>
      </w:r>
      <w:r w:rsidRPr="004E6957">
        <w:instrText xml:space="preserve"> ADDIN ZOTERO_ITEM CSL_CITATION {"citationID":"1pfvqsukqt","properties":{"formattedCitation":"{\\rtf \\i (2)\\i0{}}","plainCitation":"(2)"},"citationItems":[{"id":189,"uris":["http://zotero.org/users/1628965/items/5ZRT75MU"],"uri":["http://zotero.org/users/1628965/items/5ZRT75MU"],"itemData":{"id":189,"type":"article","title":"Price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rsidRPr="004E6957">
        <w:fldChar w:fldCharType="separate"/>
      </w:r>
      <w:r w:rsidRPr="004E6957">
        <w:rPr>
          <w:i/>
          <w:iCs/>
          <w:szCs w:val="24"/>
        </w:rPr>
        <w:t>(2)</w:t>
      </w:r>
      <w:r w:rsidRPr="004E6957">
        <w:fldChar w:fldCharType="end"/>
      </w:r>
      <w:r w:rsidRPr="004E6957">
        <w:t xml:space="preserve"> suggests that PACs should be used in projects with a duration of 6 months or longer. </w:t>
      </w:r>
    </w:p>
    <w:p w:rsidR="00344374" w:rsidRDefault="00344374" w:rsidP="00344374">
      <w:pPr>
        <w:pStyle w:val="PDMHeading2"/>
      </w:pPr>
      <w:bookmarkStart w:id="6" w:name="_Toc376781543"/>
      <w:r>
        <w:t>Limitations?</w:t>
      </w:r>
    </w:p>
    <w:p w:rsidR="00344374" w:rsidRDefault="00344374" w:rsidP="00344374">
      <w:r>
        <w:t>Some of the risks of using PACs are:</w:t>
      </w:r>
    </w:p>
    <w:p w:rsidR="00344374" w:rsidRDefault="00344374" w:rsidP="00344374">
      <w:pPr>
        <w:pStyle w:val="Bullets"/>
      </w:pPr>
      <w:r>
        <w:t xml:space="preserve">Accuracy of indices </w:t>
      </w:r>
      <w:r>
        <w:fldChar w:fldCharType="begin"/>
      </w:r>
      <w:r>
        <w:instrText xml:space="preserve"> ADDIN ZOTERO_ITEM CSL_CITATION {"citationID":"oqs9mp331","properties":{"formattedCitation":"{\\rtf \\i (1)\\i0{}}","plainCitation":"(1)"},"citationItems":[{"id":190,"uris":["http://zotero.org/users/1628965/items/J3DCFHBP"],"uri":["http://zotero.org/users/1628965/items/J3DCFHBP"],"itemData":{"id":190,"type":"report","title":"Price Adjustment Clauses: Report","publisher":"Federal Highway Administration","URL":"http://ntl.bts.gov/lib/47000/47700/47735/0-6799-1.pdf","author":[{"family":"Newcomb","given":"David"},{"family":"Lenz","given":"Russel"},{"family":"Epps","given":"Jon"}],"issued":{"date-parts":[["2013",6]]},"accessed":{"date-parts":[["2013",11,4]]}}}],"schema":"https://github.com/citation-style-language/schema/raw/master/csl-citation.json"} </w:instrText>
      </w:r>
      <w:r>
        <w:fldChar w:fldCharType="separate"/>
      </w:r>
      <w:r w:rsidRPr="002F47A0">
        <w:rPr>
          <w:i/>
          <w:iCs/>
          <w:szCs w:val="24"/>
        </w:rPr>
        <w:t>(1)</w:t>
      </w:r>
      <w:r>
        <w:fldChar w:fldCharType="end"/>
      </w:r>
      <w:r>
        <w:t xml:space="preserve"> – Can affect the overall performance and effectiveness of PACs</w:t>
      </w:r>
    </w:p>
    <w:p w:rsidR="00344374" w:rsidRDefault="00344374" w:rsidP="00344374">
      <w:pPr>
        <w:pStyle w:val="Bullets"/>
      </w:pPr>
      <w:r>
        <w:t xml:space="preserve">Program Start-up costs </w:t>
      </w:r>
      <w:r>
        <w:fldChar w:fldCharType="begin"/>
      </w:r>
      <w:r>
        <w:instrText xml:space="preserve"> ADDIN ZOTERO_ITEM CSL_CITATION {"citationID":"qfn0nvtfn","properties":{"formattedCitation":"{\\rtf \\i (2)\\i0{}}","plainCitation":"(2)"},"citationItems":[{"id":189,"uris":["http://zotero.org/users/1628965/items/5ZRT75MU"],"uri":["http://zotero.org/users/1628965/items/5ZRT75MU"],"itemData":{"id":189,"type":"report","title":"Price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fldChar w:fldCharType="separate"/>
      </w:r>
      <w:r w:rsidRPr="002F47A0">
        <w:rPr>
          <w:i/>
          <w:iCs/>
          <w:szCs w:val="24"/>
        </w:rPr>
        <w:t>(2)</w:t>
      </w:r>
      <w:r>
        <w:fldChar w:fldCharType="end"/>
      </w:r>
      <w:r>
        <w:t xml:space="preserve"> – Cost of purchasing indexes, setting up resources and procedures, and developing computer programs among others. </w:t>
      </w:r>
    </w:p>
    <w:p w:rsidR="00344374" w:rsidRDefault="00344374" w:rsidP="00344374">
      <w:pPr>
        <w:pStyle w:val="Bullets"/>
      </w:pPr>
      <w:r>
        <w:t xml:space="preserve">Price adjustment payouts </w:t>
      </w:r>
      <w:r>
        <w:fldChar w:fldCharType="begin"/>
      </w:r>
      <w:r>
        <w:instrText xml:space="preserve"> ADDIN ZOTERO_ITEM CSL_CITATION {"citationID":"212abqa56h","properties":{"formattedCitation":"{\\rtf \\i (1)\\i0{}}","plainCitation":"(1)"},"citationItems":[{"id":190,"uris":["http://zotero.org/users/1628965/items/J3DCFHBP"],"uri":["http://zotero.org/users/1628965/items/J3DCFHBP"],"itemData":{"id":190,"type":"report","title":"Price Adjustment Clauses: Report","publisher":"Federal Highway Administration","URL":"http://ntl.bts.gov/lib/47000/47700/47735/0-6799-1.pdf","author":[{"family":"Newcomb","given":"David"},{"family":"Lenz","given":"Russel"},{"family":"Epps","given":"Jon"}],"issued":{"date-parts":[["2013",6]]},"accessed":{"date-parts":[["2013",11,4]]}}}],"schema":"https://github.com/citation-style-language/schema/raw/master/csl-citation.json"} </w:instrText>
      </w:r>
      <w:r>
        <w:fldChar w:fldCharType="separate"/>
      </w:r>
      <w:r w:rsidRPr="002F47A0">
        <w:rPr>
          <w:i/>
          <w:iCs/>
          <w:szCs w:val="24"/>
        </w:rPr>
        <w:t>(1)</w:t>
      </w:r>
      <w:r>
        <w:fldChar w:fldCharType="end"/>
      </w:r>
      <w:r>
        <w:t xml:space="preserve"> – If prices change considerably the STA may be forced to pay more through PACs than it would by using non-adjusted prices.  </w:t>
      </w:r>
    </w:p>
    <w:p w:rsidR="00344374" w:rsidRDefault="00344374" w:rsidP="00344374">
      <w:pPr>
        <w:pStyle w:val="Bullets"/>
      </w:pPr>
      <w:r>
        <w:t xml:space="preserve">Increased power of suppliers in the supply chain </w:t>
      </w:r>
      <w:r>
        <w:fldChar w:fldCharType="begin"/>
      </w:r>
      <w:r>
        <w:instrText xml:space="preserve"> ADDIN ZOTERO_ITEM CSL_CITATION {"citationID":"22qbqdm00b","properties":{"formattedCitation":"{\\rtf \\i (2)\\i0{}}","plainCitation":"(2)"},"citationItems":[{"id":189,"uris":["http://zotero.org/users/1628965/items/5ZRT75MU"],"uri":["http://zotero.org/users/1628965/items/5ZRT75MU"],"itemData":{"id":189,"type":"report","title":"Price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fldChar w:fldCharType="separate"/>
      </w:r>
      <w:r w:rsidRPr="002F47A0">
        <w:rPr>
          <w:i/>
          <w:iCs/>
          <w:szCs w:val="24"/>
        </w:rPr>
        <w:t>(2)</w:t>
      </w:r>
      <w:r>
        <w:fldChar w:fldCharType="end"/>
      </w:r>
      <w:r>
        <w:t xml:space="preserve"> – Suppliers have increased power as contractors do not have any motivation to negotiate lower prices. </w:t>
      </w:r>
    </w:p>
    <w:p w:rsidR="00344374" w:rsidRPr="004E6957" w:rsidRDefault="00344374" w:rsidP="00344374">
      <w:pPr>
        <w:pStyle w:val="Bullets"/>
      </w:pPr>
      <w:r>
        <w:t xml:space="preserve">Increased administrative costs </w:t>
      </w:r>
      <w:r>
        <w:fldChar w:fldCharType="begin"/>
      </w:r>
      <w:r>
        <w:instrText xml:space="preserve"> ADDIN ZOTERO_ITEM CSL_CITATION {"citationID":"136nab77gj","properties":{"formattedCitation":"{\\rtf \\i (2)\\i0{}}","plainCitation":"(2)"},"citationItems":[{"id":189,"uris":["http://zotero.org/users/1628965/items/5ZRT75MU"],"uri":["http://zotero.org/users/1628965/items/5ZRT75MU"],"itemData":{"id":189,"type":"report","title":"Price Indexing in Transportation Construction Contracts","URL":"http://onlinepubs.trb.org/onlinepubs/nchrp/docs/NCHRP20-07(274)_FR.pdf","author":[{"family":"Skolnik","given":"Jonathan"},{"family":"Oman Systems","given":""}],"issued":{"date-parts":[["2011",1]]},"accessed":{"date-parts":[["2013",11,4]]}}}],"schema":"https://github.com/citation-style-language/schema/raw/master/csl-citation.json"} </w:instrText>
      </w:r>
      <w:r>
        <w:fldChar w:fldCharType="separate"/>
      </w:r>
      <w:r w:rsidRPr="002F47A0">
        <w:rPr>
          <w:i/>
          <w:iCs/>
          <w:szCs w:val="24"/>
        </w:rPr>
        <w:t>(2)</w:t>
      </w:r>
      <w:r>
        <w:fldChar w:fldCharType="end"/>
      </w:r>
      <w:r>
        <w:t xml:space="preserve"> – The STA may incur in higher administrative costs when maintaining a PAC program. </w:t>
      </w:r>
    </w:p>
    <w:p w:rsidR="00344374" w:rsidRPr="004E6957" w:rsidRDefault="00344374" w:rsidP="00344374">
      <w:pPr>
        <w:pStyle w:val="PDMHeading2"/>
      </w:pPr>
      <w:r w:rsidRPr="004E6957">
        <w:t>Who uses it?</w:t>
      </w:r>
      <w:bookmarkEnd w:id="6"/>
    </w:p>
    <w:p w:rsidR="00344374" w:rsidRPr="004E6957" w:rsidRDefault="00344374" w:rsidP="00344374">
      <w:r w:rsidRPr="004E6957">
        <w:t xml:space="preserve">The American Association of Highway and Transportation Officials (AASHTO) conducted a survey on the use of PACs in 2009. According to this survey only Arkansas, Michigan, and Texas do not use PACs. Furthermore, fuel and asphalt cement are the two most used material with 41 STAs and 40 STAs respectively </w:t>
      </w:r>
      <w:r w:rsidRPr="004E6957">
        <w:fldChar w:fldCharType="begin"/>
      </w:r>
      <w:r w:rsidRPr="004E6957">
        <w:instrText xml:space="preserve"> ADDIN ZOTERO_ITEM CSL_CITATION {"citationID":"25ou43f547","properties":{"formattedCitation":"{\\rtf \\i (3)\\i0{}}","plainCitation":"(3)"},"citationItems":[{"id":34,"uris":["http://zotero.org/users/1628965/items/7SWA2WBI"],"uri":["http://zotero.org/users/1628965/items/7SWA2WBI"],"itemData":{"id":34,"type":"article","title":"Survey on the Use of Price Adjustment Clauses","publisher":"AASHTO Subcommittee on Construction, Contract Administration Section","URL":"http://www.fhwa.dot.gov/programadmin/contracts/aashto.cfm","author":[{"family":"American Association of State Highway and Transportation Officials","given":""}],"issued":{"date-parts":[["2009"]]},"accessed":{"date-parts":[["2013",11,4]]}}}],"schema":"https://github.com/citation-style-language/schema/raw/master/csl-citation.json"} </w:instrText>
      </w:r>
      <w:r w:rsidRPr="004E6957">
        <w:fldChar w:fldCharType="separate"/>
      </w:r>
      <w:r w:rsidRPr="004E6957">
        <w:rPr>
          <w:i/>
          <w:iCs/>
          <w:szCs w:val="24"/>
        </w:rPr>
        <w:t>(3)</w:t>
      </w:r>
      <w:r w:rsidRPr="004E6957">
        <w:fldChar w:fldCharType="end"/>
      </w:r>
      <w:r w:rsidRPr="004E6957">
        <w:t>.</w:t>
      </w:r>
    </w:p>
    <w:p w:rsidR="00344374" w:rsidRDefault="00344374" w:rsidP="00344374">
      <w:pPr>
        <w:pStyle w:val="PDMHeading2"/>
      </w:pPr>
      <w:bookmarkStart w:id="7" w:name="_Toc376781545"/>
      <w:r w:rsidRPr="004E6957">
        <w:t>Examples</w:t>
      </w:r>
      <w:bookmarkEnd w:id="7"/>
    </w:p>
    <w:p w:rsidR="00344374" w:rsidRPr="00EC6DEF" w:rsidRDefault="00344374" w:rsidP="00344374">
      <w:pPr>
        <w:rPr>
          <w:u w:val="single"/>
        </w:rPr>
      </w:pPr>
      <w:r>
        <w:rPr>
          <w:u w:val="single"/>
        </w:rPr>
        <w:t xml:space="preserve">Example 1) </w:t>
      </w:r>
      <w:r w:rsidRPr="00EC6DEF">
        <w:rPr>
          <w:u w:val="single"/>
        </w:rPr>
        <w:t>Tennessee Department of Transportation</w:t>
      </w:r>
    </w:p>
    <w:p w:rsidR="00344374" w:rsidRPr="004E6957" w:rsidRDefault="00344374" w:rsidP="00344374">
      <w:r w:rsidRPr="004E6957">
        <w:lastRenderedPageBreak/>
        <w:t xml:space="preserve">The following is an example of a fuel price adjustment clause from the Tennessee Department of Transportation special provisions using the fuel use per unit method </w:t>
      </w:r>
      <w:r w:rsidRPr="004E6957">
        <w:fldChar w:fldCharType="begin"/>
      </w:r>
      <w:r w:rsidRPr="004E6957">
        <w:instrText xml:space="preserve"> ADDIN ZOTERO_ITEM CSL_CITATION {"citationID":"qvakbtip2","properties":{"formattedCitation":"{\\rtf \\i (4)\\i0{}}","plainCitation":"(4)"},"citationItems":[{"id":52,"uris":["http://zotero.org/users/1628965/items/S692QH4K"],"uri":["http://zotero.org/users/1628965/items/S692QH4K"],"itemData":{"id":52,"type":"article","title":"Special Provision Regarding Payment Adjustment for Fuel","publisher":"Tennessee Department of Transportation","URL":"http://www.tdot.state.tn.us/construction/Special%20Provisions/109A.pdf","author":[{"family":"Tennessee Department of Transportation","given":""}],"issued":{"date-parts":[["2013",11,3]]},"accessed":{"date-parts":[["2013",11,4]]}}}],"schema":"https://github.com/citation-style-language/schema/raw/master/csl-citation.json"} </w:instrText>
      </w:r>
      <w:r w:rsidRPr="004E6957">
        <w:fldChar w:fldCharType="separate"/>
      </w:r>
      <w:r w:rsidRPr="004E6957">
        <w:rPr>
          <w:i/>
          <w:iCs/>
          <w:szCs w:val="24"/>
        </w:rPr>
        <w:t>(4)</w:t>
      </w:r>
      <w:r w:rsidRPr="004E6957">
        <w:fldChar w:fldCharType="end"/>
      </w:r>
      <w:r w:rsidRPr="004E6957">
        <w:t>:</w:t>
      </w:r>
    </w:p>
    <w:p w:rsidR="00344374" w:rsidRPr="004E6957" w:rsidRDefault="00344374" w:rsidP="00344374">
      <w:r w:rsidRPr="004E6957">
        <w:rPr>
          <w:noProof/>
        </w:rPr>
        <w:drawing>
          <wp:inline distT="0" distB="0" distL="0" distR="0" wp14:anchorId="129664E5" wp14:editId="2EA970B8">
            <wp:extent cx="5942965" cy="7578957"/>
            <wp:effectExtent l="19050" t="19050" r="19685"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8369" cy="7585849"/>
                    </a:xfrm>
                    <a:prstGeom prst="rect">
                      <a:avLst/>
                    </a:prstGeom>
                    <a:ln>
                      <a:solidFill>
                        <a:schemeClr val="tx1"/>
                      </a:solidFill>
                    </a:ln>
                  </pic:spPr>
                </pic:pic>
              </a:graphicData>
            </a:graphic>
          </wp:inline>
        </w:drawing>
      </w:r>
    </w:p>
    <w:p w:rsidR="00344374" w:rsidRPr="004E6957" w:rsidRDefault="00344374" w:rsidP="00344374">
      <w:pPr>
        <w:jc w:val="center"/>
      </w:pPr>
      <w:r w:rsidRPr="004E6957">
        <w:rPr>
          <w:noProof/>
        </w:rPr>
        <w:lastRenderedPageBreak/>
        <w:drawing>
          <wp:inline distT="0" distB="0" distL="0" distR="0" wp14:anchorId="35562048" wp14:editId="4421310A">
            <wp:extent cx="5698097" cy="8229600"/>
            <wp:effectExtent l="19050" t="19050" r="1714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8097" cy="8229600"/>
                    </a:xfrm>
                    <a:prstGeom prst="rect">
                      <a:avLst/>
                    </a:prstGeom>
                    <a:ln>
                      <a:solidFill>
                        <a:schemeClr val="tx1"/>
                      </a:solidFill>
                    </a:ln>
                  </pic:spPr>
                </pic:pic>
              </a:graphicData>
            </a:graphic>
          </wp:inline>
        </w:drawing>
      </w:r>
    </w:p>
    <w:p w:rsidR="00344374" w:rsidRPr="004E6957" w:rsidRDefault="00344374" w:rsidP="00344374">
      <w:r w:rsidRPr="004E6957">
        <w:rPr>
          <w:noProof/>
        </w:rPr>
        <w:lastRenderedPageBreak/>
        <w:drawing>
          <wp:inline distT="0" distB="0" distL="0" distR="0" wp14:anchorId="48632007" wp14:editId="1DD08CC1">
            <wp:extent cx="5943600" cy="3117338"/>
            <wp:effectExtent l="19050" t="19050" r="1905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17338"/>
                    </a:xfrm>
                    <a:prstGeom prst="rect">
                      <a:avLst/>
                    </a:prstGeom>
                    <a:ln>
                      <a:solidFill>
                        <a:schemeClr val="tx1"/>
                      </a:solidFill>
                    </a:ln>
                  </pic:spPr>
                </pic:pic>
              </a:graphicData>
            </a:graphic>
          </wp:inline>
        </w:drawing>
      </w:r>
    </w:p>
    <w:p w:rsidR="00344374" w:rsidRPr="004E6957" w:rsidRDefault="00344374" w:rsidP="00344374">
      <w:pPr>
        <w:jc w:val="center"/>
      </w:pPr>
      <w:r w:rsidRPr="004E6957">
        <w:rPr>
          <w:noProof/>
        </w:rPr>
        <w:lastRenderedPageBreak/>
        <w:drawing>
          <wp:inline distT="0" distB="0" distL="0" distR="0" wp14:anchorId="64B48447" wp14:editId="7C439286">
            <wp:extent cx="5619135" cy="8229600"/>
            <wp:effectExtent l="19050" t="19050" r="1968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9135" cy="8229600"/>
                    </a:xfrm>
                    <a:prstGeom prst="rect">
                      <a:avLst/>
                    </a:prstGeom>
                    <a:ln>
                      <a:solidFill>
                        <a:schemeClr val="tx1"/>
                      </a:solidFill>
                    </a:ln>
                  </pic:spPr>
                </pic:pic>
              </a:graphicData>
            </a:graphic>
          </wp:inline>
        </w:drawing>
      </w:r>
    </w:p>
    <w:p w:rsidR="00344374" w:rsidRPr="00EC6DEF" w:rsidRDefault="00344374" w:rsidP="00344374">
      <w:pPr>
        <w:rPr>
          <w:u w:val="single"/>
        </w:rPr>
      </w:pPr>
      <w:bookmarkStart w:id="8" w:name="_Toc376781546"/>
      <w:r>
        <w:rPr>
          <w:u w:val="single"/>
        </w:rPr>
        <w:lastRenderedPageBreak/>
        <w:t xml:space="preserve">Example 2) </w:t>
      </w:r>
      <w:r w:rsidRPr="00EC6DEF">
        <w:rPr>
          <w:u w:val="single"/>
        </w:rPr>
        <w:t>Federal Highway Administration</w:t>
      </w:r>
    </w:p>
    <w:p w:rsidR="00344374" w:rsidRPr="007D4C01" w:rsidRDefault="00344374" w:rsidP="00344374">
      <w:r>
        <w:rPr>
          <w:noProof/>
        </w:rPr>
        <mc:AlternateContent>
          <mc:Choice Requires="wps">
            <w:drawing>
              <wp:anchor distT="0" distB="0" distL="114300" distR="114300" simplePos="0" relativeHeight="251659264" behindDoc="0" locked="0" layoutInCell="1" allowOverlap="1" wp14:anchorId="47590CC0" wp14:editId="3E4AF525">
                <wp:simplePos x="0" y="0"/>
                <wp:positionH relativeFrom="margin">
                  <wp:align>center</wp:align>
                </wp:positionH>
                <wp:positionV relativeFrom="margin">
                  <wp:align>bottom</wp:align>
                </wp:positionV>
                <wp:extent cx="5943600" cy="73152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5943600" cy="731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EA952" id="Rectangle 60" o:spid="_x0000_s1026" style="position:absolute;margin-left:0;margin-top:0;width:468pt;height:8in;z-index:251659264;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Sd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" filled="f" strokecolor="black [3213]" strokeweight="1pt">
                <w10:wrap anchorx="margin" anchory="margin"/>
              </v:rect>
            </w:pict>
          </mc:Fallback>
        </mc:AlternateContent>
      </w:r>
      <w:r>
        <w:t xml:space="preserve">The Office of Federal Lands from the Federal Highway Administration has the following price adjustment clauses for asphalt cement and fuel </w:t>
      </w:r>
      <w:r w:rsidRPr="007D4C01">
        <w:rPr>
          <w:i/>
        </w:rPr>
        <w:t>(5)</w:t>
      </w:r>
      <w:r>
        <w:t>:</w:t>
      </w:r>
    </w:p>
    <w:p w:rsidR="00344374" w:rsidRPr="00320FCD" w:rsidRDefault="00344374" w:rsidP="00344374">
      <w:pPr>
        <w:tabs>
          <w:tab w:val="left" w:pos="9000"/>
        </w:tabs>
        <w:ind w:left="360" w:right="360"/>
        <w:jc w:val="center"/>
        <w:rPr>
          <w:rFonts w:eastAsia="MS Mincho"/>
          <w:b/>
        </w:rPr>
      </w:pPr>
      <w:r w:rsidRPr="00320FCD">
        <w:rPr>
          <w:rFonts w:eastAsia="MS Mincho"/>
          <w:b/>
        </w:rPr>
        <w:t>ASPHALT CEMENT PRICE ADJUSTMENT PROVISION</w:t>
      </w:r>
    </w:p>
    <w:p w:rsidR="00344374" w:rsidRPr="00320FCD" w:rsidRDefault="00344374" w:rsidP="00344374">
      <w:pPr>
        <w:tabs>
          <w:tab w:val="left" w:pos="9000"/>
        </w:tabs>
        <w:ind w:left="360" w:right="360"/>
        <w:rPr>
          <w:rFonts w:eastAsia="MS Mincho"/>
        </w:rPr>
      </w:pPr>
      <w:r w:rsidRPr="00320FCD">
        <w:rPr>
          <w:rFonts w:eastAsia="MS Mincho"/>
          <w:b/>
          <w:u w:val="single"/>
        </w:rPr>
        <w:t>GENERAL</w:t>
      </w:r>
      <w:r>
        <w:rPr>
          <w:rFonts w:eastAsia="MS Mincho"/>
        </w:rPr>
        <w:t xml:space="preserve"> </w:t>
      </w:r>
      <w:r w:rsidRPr="00320FCD">
        <w:rPr>
          <w:rFonts w:eastAsia="MS Mincho"/>
        </w:rPr>
        <w:t xml:space="preserve">The Asphalt Cement Price Adjustment Provision provides for a price adjustment in the form of </w:t>
      </w:r>
      <w:r>
        <w:rPr>
          <w:rFonts w:eastAsia="MS Mincho"/>
        </w:rPr>
        <w:t xml:space="preserve">a </w:t>
      </w:r>
      <w:r w:rsidRPr="00320FCD">
        <w:rPr>
          <w:rFonts w:eastAsia="MS Mincho"/>
        </w:rPr>
        <w:t xml:space="preserve">payment to the Contractor or a rebate to the Government for fluctuations in the cost of asphalt cement </w:t>
      </w:r>
      <w:r>
        <w:rPr>
          <w:rFonts w:eastAsia="MS Mincho"/>
        </w:rPr>
        <w:t>used</w:t>
      </w:r>
      <w:r w:rsidRPr="00320FCD">
        <w:rPr>
          <w:rFonts w:eastAsia="MS Mincho"/>
        </w:rPr>
        <w:t xml:space="preserve"> in the performance of applicable construction work.  The price adjustment provisions are applicable only to the asphalt cement, as defined in S</w:t>
      </w:r>
      <w:r>
        <w:rPr>
          <w:rFonts w:eastAsia="MS Mincho"/>
        </w:rPr>
        <w:t>ubs</w:t>
      </w:r>
      <w:r w:rsidRPr="00320FCD">
        <w:rPr>
          <w:rFonts w:eastAsia="MS Mincho"/>
        </w:rPr>
        <w:t>ection 702.01, and incorporated in the following eligible contract pay items:</w:t>
      </w:r>
    </w:p>
    <w:p w:rsidR="00344374" w:rsidRPr="00320FCD" w:rsidRDefault="00344374" w:rsidP="00344374">
      <w:pPr>
        <w:pStyle w:val="Bullets"/>
      </w:pPr>
      <w:r w:rsidRPr="00320FCD">
        <w:t>40101 Superpave pavement</w:t>
      </w:r>
    </w:p>
    <w:p w:rsidR="00344374" w:rsidRPr="00320FCD" w:rsidRDefault="00344374" w:rsidP="00344374">
      <w:pPr>
        <w:pStyle w:val="Bullets"/>
      </w:pPr>
      <w:r w:rsidRPr="00320FCD">
        <w:t>40102 Superpave pavement, wedge and leveling course</w:t>
      </w:r>
    </w:p>
    <w:p w:rsidR="00344374" w:rsidRPr="00320FCD" w:rsidRDefault="00344374" w:rsidP="00344374">
      <w:pPr>
        <w:pStyle w:val="Bullets"/>
      </w:pPr>
      <w:r w:rsidRPr="00320FCD">
        <w:t>40201 Hot asphalt concrete pavement, Marshall or Hveem test</w:t>
      </w:r>
    </w:p>
    <w:p w:rsidR="00344374" w:rsidRPr="00320FCD" w:rsidRDefault="00344374" w:rsidP="00344374">
      <w:pPr>
        <w:pStyle w:val="Bullets"/>
      </w:pPr>
      <w:r w:rsidRPr="00320FCD">
        <w:t>40202 Hot asphalt concrete pavement, Marshall or Hveem test, wedge and leveling course</w:t>
      </w:r>
    </w:p>
    <w:p w:rsidR="00344374" w:rsidRPr="00320FCD" w:rsidRDefault="00344374" w:rsidP="00344374">
      <w:pPr>
        <w:pStyle w:val="Bullets"/>
      </w:pPr>
      <w:r w:rsidRPr="00320FCD">
        <w:t>40301 Hot asphalt concrete pavement</w:t>
      </w:r>
    </w:p>
    <w:p w:rsidR="00344374" w:rsidRPr="00320FCD" w:rsidRDefault="00344374" w:rsidP="00344374">
      <w:pPr>
        <w:pStyle w:val="Bullets"/>
      </w:pPr>
      <w:r w:rsidRPr="00320FCD">
        <w:t>40302 Hot asphalt concrete pavement, wedge and leveling course</w:t>
      </w:r>
    </w:p>
    <w:p w:rsidR="00344374" w:rsidRDefault="00344374" w:rsidP="00344374">
      <w:pPr>
        <w:pStyle w:val="Bullets"/>
      </w:pPr>
      <w:r w:rsidRPr="00320FCD">
        <w:t>40501 Open-graded asphalt friction course</w:t>
      </w:r>
    </w:p>
    <w:p w:rsidR="00344374" w:rsidRDefault="00344374" w:rsidP="00344374">
      <w:pPr>
        <w:tabs>
          <w:tab w:val="left" w:pos="9000"/>
        </w:tabs>
        <w:spacing w:after="0" w:line="240" w:lineRule="auto"/>
        <w:ind w:left="360" w:right="360"/>
        <w:rPr>
          <w:rFonts w:eastAsia="MS Mincho"/>
        </w:rPr>
      </w:pPr>
    </w:p>
    <w:tbl>
      <w:tblPr>
        <w:tblW w:w="8640" w:type="dxa"/>
        <w:tblInd w:w="360" w:type="dxa"/>
        <w:tblLook w:val="0000" w:firstRow="0" w:lastRow="0" w:firstColumn="0" w:lastColumn="0" w:noHBand="0" w:noVBand="0"/>
      </w:tblPr>
      <w:tblGrid>
        <w:gridCol w:w="8640"/>
      </w:tblGrid>
      <w:tr w:rsidR="00344374" w:rsidTr="009536E0">
        <w:tc>
          <w:tcPr>
            <w:tcW w:w="8820" w:type="dxa"/>
            <w:tcBorders>
              <w:top w:val="double" w:sz="4" w:space="0" w:color="auto"/>
              <w:left w:val="double" w:sz="4" w:space="0" w:color="auto"/>
              <w:bottom w:val="double" w:sz="4" w:space="0" w:color="auto"/>
              <w:right w:val="double" w:sz="4" w:space="0" w:color="auto"/>
            </w:tcBorders>
          </w:tcPr>
          <w:p w:rsidR="00344374" w:rsidRDefault="00344374" w:rsidP="009536E0">
            <w:pPr>
              <w:spacing w:before="120" w:after="120"/>
              <w:ind w:left="360" w:right="360"/>
            </w:pPr>
            <w:r>
              <w:t>Select appropriate eligible pay items and delete those that do not apply.  For each of the eligible contract pay items chosen above, a corresponding statement should be added to the applicable SCR payment sub</w:t>
            </w:r>
            <w:r w:rsidRPr="001357BC">
              <w:t>section</w:t>
            </w:r>
            <w:r>
              <w:t>, which indicates that “A price adjustment will be made for fluctuations in the cost of asphalt cement used in the performance of any eligible pay items according to Subsection 109.06 Pricing of Adjustments Asphalt Cement Price Adjustment Provision.”  See end of provision for additional direction.</w:t>
            </w:r>
          </w:p>
        </w:tc>
      </w:tr>
    </w:tbl>
    <w:p w:rsidR="00344374" w:rsidRDefault="00344374" w:rsidP="00344374">
      <w:pPr>
        <w:tabs>
          <w:tab w:val="left" w:pos="9000"/>
        </w:tabs>
        <w:spacing w:after="120"/>
        <w:ind w:left="360" w:right="360"/>
        <w:rPr>
          <w:rFonts w:eastAsia="MS Mincho"/>
        </w:rPr>
      </w:pPr>
    </w:p>
    <w:p w:rsidR="00344374" w:rsidRPr="00852D37" w:rsidRDefault="00344374" w:rsidP="00344374">
      <w:pPr>
        <w:tabs>
          <w:tab w:val="left" w:pos="9000"/>
        </w:tabs>
        <w:ind w:left="360" w:right="360"/>
        <w:rPr>
          <w:rFonts w:eastAsia="MS Mincho"/>
        </w:rPr>
      </w:pPr>
      <w:r>
        <w:rPr>
          <w:rFonts w:eastAsia="MS Mincho"/>
        </w:rPr>
        <w:t>The price adjustment provisions are also applicable when the Government adds extra work to the eligible pay items already existing under the Contract</w:t>
      </w:r>
      <w:r w:rsidRPr="00852D37">
        <w:rPr>
          <w:rFonts w:eastAsia="MS Mincho"/>
        </w:rPr>
        <w:t>.</w:t>
      </w:r>
    </w:p>
    <w:p w:rsidR="00344374" w:rsidRPr="00852D37" w:rsidRDefault="00344374" w:rsidP="00344374">
      <w:pPr>
        <w:tabs>
          <w:tab w:val="left" w:pos="9000"/>
        </w:tabs>
        <w:ind w:left="360" w:right="360"/>
        <w:rPr>
          <w:rFonts w:eastAsia="MS Mincho"/>
        </w:rPr>
      </w:pPr>
      <w:r w:rsidRPr="00852D37">
        <w:rPr>
          <w:rFonts w:eastAsia="MS Mincho"/>
        </w:rPr>
        <w:t xml:space="preserve">The provision will remain in effect throughout the duration of the contract.  Enactment of the Asphalt Cement Price Adjustment Provision will only be considered when the </w:t>
      </w:r>
      <w:r w:rsidRPr="00852D37">
        <w:rPr>
          <w:rFonts w:eastAsia="MS Mincho"/>
          <w:b/>
        </w:rPr>
        <w:t>increase or decrease</w:t>
      </w:r>
      <w:r w:rsidRPr="00852D37">
        <w:rPr>
          <w:rFonts w:eastAsia="MS Mincho"/>
        </w:rPr>
        <w:t xml:space="preserve"> in the price of asphalt cement as defined herein exceeds 10 percent.</w:t>
      </w:r>
    </w:p>
    <w:p w:rsidR="00344374" w:rsidRDefault="00344374" w:rsidP="00344374">
      <w:pPr>
        <w:tabs>
          <w:tab w:val="left" w:pos="9000"/>
        </w:tabs>
        <w:ind w:left="360" w:right="360"/>
        <w:rPr>
          <w:rFonts w:eastAsia="MS Mincho"/>
        </w:rPr>
      </w:pPr>
      <w:r>
        <w:rPr>
          <w:rFonts w:eastAsia="MS Mincho"/>
          <w:noProof/>
        </w:rPr>
        <w:lastRenderedPageBreak/>
        <mc:AlternateContent>
          <mc:Choice Requires="wps">
            <w:drawing>
              <wp:anchor distT="0" distB="0" distL="114300" distR="114300" simplePos="0" relativeHeight="251660288" behindDoc="0" locked="0" layoutInCell="1" allowOverlap="1" wp14:anchorId="5CAB6CA6" wp14:editId="3773FED6">
                <wp:simplePos x="0" y="0"/>
                <wp:positionH relativeFrom="margin">
                  <wp:align>center</wp:align>
                </wp:positionH>
                <wp:positionV relativeFrom="margin">
                  <wp:align>bottom</wp:align>
                </wp:positionV>
                <wp:extent cx="5943600" cy="82296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4C5B" id="Rectangle 61"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" filled="f" strokecolor="black [3213]" strokeweight="1pt">
                <w10:wrap anchorx="margin" anchory="margin"/>
              </v:rect>
            </w:pict>
          </mc:Fallback>
        </mc:AlternateContent>
      </w:r>
      <w:r w:rsidRPr="00852D37">
        <w:rPr>
          <w:rFonts w:eastAsia="MS Mincho"/>
        </w:rPr>
        <w:t>The Asphalt Cement Price Adjustment Provision is intended to reduce but not eliminate the cost effects of price uncertainty to the Contractor and the Government for asphalt cement used in the construction of 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asp</w:t>
      </w:r>
      <w:r>
        <w:rPr>
          <w:rFonts w:eastAsia="MS Mincho"/>
        </w:rPr>
        <w:t>halt cement price fluctuations.</w:t>
      </w:r>
    </w:p>
    <w:tbl>
      <w:tblPr>
        <w:tblW w:w="8640" w:type="dxa"/>
        <w:tblInd w:w="360" w:type="dxa"/>
        <w:tblLook w:val="0000" w:firstRow="0" w:lastRow="0" w:firstColumn="0" w:lastColumn="0" w:noHBand="0" w:noVBand="0"/>
      </w:tblPr>
      <w:tblGrid>
        <w:gridCol w:w="8640"/>
      </w:tblGrid>
      <w:tr w:rsidR="00344374" w:rsidTr="009536E0">
        <w:tc>
          <w:tcPr>
            <w:tcW w:w="9576" w:type="dxa"/>
            <w:tcBorders>
              <w:top w:val="double" w:sz="4" w:space="0" w:color="auto"/>
              <w:left w:val="double" w:sz="4" w:space="0" w:color="auto"/>
              <w:bottom w:val="double" w:sz="4" w:space="0" w:color="auto"/>
              <w:right w:val="double" w:sz="4" w:space="0" w:color="auto"/>
            </w:tcBorders>
          </w:tcPr>
          <w:p w:rsidR="00344374" w:rsidRPr="001860FC" w:rsidRDefault="00344374" w:rsidP="009536E0">
            <w:pPr>
              <w:spacing w:before="120" w:after="120"/>
              <w:ind w:left="360" w:right="360"/>
              <w:rPr>
                <w:u w:val="single"/>
              </w:rPr>
            </w:pPr>
            <w:r w:rsidRPr="001860FC">
              <w:rPr>
                <w:u w:val="single"/>
              </w:rPr>
              <w:t>EFLHD will revise the following policy/procedures.</w:t>
            </w:r>
          </w:p>
          <w:p w:rsidR="00344374" w:rsidRPr="001860FC" w:rsidRDefault="00344374" w:rsidP="009536E0">
            <w:pPr>
              <w:spacing w:before="120" w:after="120"/>
              <w:ind w:left="360" w:right="360"/>
            </w:pPr>
            <w:r>
              <w:t>The Construction Branch is responsible for (1) purchasing the Asphalt Weekly Monitor (AWM) newsletter; (2) selecting the applicable region and states; (3) calculating and posting price indexes on an accessible web page and; (4) calculating and paying price adjustment compensations.  In order to establish a reference for the base and monthly performance price indexes, the Poten and Partners, Inc newsletter (i.e. Asphalt Weekly Monitor) should be surveyed and an applicable region and state inserted below.  A website address must also be inserted below where the Contractor and other interested parties can check Government postings of monthly price indexes.  There could potentially be one web page for each project unless projects are in the same state.  The Base and Monthly Performance Price Indexes for Asphalt Cement must also be calculated using weekly high and low selling price data obtained from the Asphalt Weekly Monitor for the applicable state.  Weekly high and low selling price data from four consecutive reports will be averaged to obtain a Base Price Index as well as a Monthly Performance Price Index.  The Base Price Index (BPI) must be inserted below by Acquisitions in the conformed set.  The Monthly Performance Price Index must be posted monthly by Construction on the website.</w:t>
            </w:r>
          </w:p>
        </w:tc>
      </w:tr>
    </w:tbl>
    <w:p w:rsidR="00344374" w:rsidRDefault="00344374" w:rsidP="00344374">
      <w:pPr>
        <w:spacing w:after="0"/>
        <w:rPr>
          <w:rFonts w:eastAsia="MS Mincho"/>
          <w:b/>
          <w:u w:val="single"/>
        </w:rPr>
      </w:pPr>
    </w:p>
    <w:p w:rsidR="00344374" w:rsidRPr="00852D37" w:rsidRDefault="00344374" w:rsidP="00344374">
      <w:pPr>
        <w:ind w:left="360" w:right="360"/>
        <w:rPr>
          <w:rFonts w:eastAsia="MS Mincho"/>
        </w:rPr>
      </w:pPr>
      <w:r w:rsidRPr="00852D37">
        <w:rPr>
          <w:rFonts w:eastAsia="MS Mincho"/>
          <w:b/>
          <w:u w:val="single"/>
        </w:rPr>
        <w:t>PRICE INDEXES</w:t>
      </w:r>
      <w:r w:rsidRPr="00852D37">
        <w:rPr>
          <w:rFonts w:eastAsia="MS Mincho"/>
        </w:rPr>
        <w:t xml:space="preserve"> The Government will </w:t>
      </w:r>
      <w:r>
        <w:rPr>
          <w:rFonts w:eastAsia="MS Mincho"/>
        </w:rPr>
        <w:t>generate</w:t>
      </w:r>
      <w:r w:rsidRPr="00852D37">
        <w:rPr>
          <w:rFonts w:eastAsia="MS Mincho"/>
        </w:rPr>
        <w:t xml:space="preserve"> a monthly performance price index for asphalt cement using price data obtained from Poten and Partners, Inc. (PPI), which publishes a weekly report (Asphalt Weekly Monitor) on high and low selling prices for states in five regions throughout the United States including the East Coast/Northeast, the Mid-Continent/Midwest, the Gulf Coast/Mid-South, the </w:t>
      </w:r>
      <w:r w:rsidRPr="000C6509">
        <w:rPr>
          <w:rFonts w:eastAsia="MS Mincho"/>
        </w:rPr>
        <w:t>Rocky Mountains and the West Coast/Northwest.  Weekly high and low selling price data reported for (insert the applicable region and states) will be averaged</w:t>
      </w:r>
      <w:r w:rsidRPr="00852D37">
        <w:rPr>
          <w:rFonts w:eastAsia="MS Mincho"/>
        </w:rPr>
        <w:t xml:space="preserve"> and used to establish a base price index, BPI, for this project and a monthly performance price index, MPPI, for the duration of the contract.  These indexes are defined as follows:</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Pr>
          <w:noProof/>
        </w:rPr>
        <w:lastRenderedPageBreak/>
        <mc:AlternateContent>
          <mc:Choice Requires="wps">
            <w:drawing>
              <wp:anchor distT="0" distB="0" distL="114300" distR="114300" simplePos="0" relativeHeight="251661312" behindDoc="0" locked="0" layoutInCell="1" allowOverlap="1" wp14:anchorId="78042C1C" wp14:editId="531D1C3E">
                <wp:simplePos x="0" y="0"/>
                <wp:positionH relativeFrom="margin">
                  <wp:align>center</wp:align>
                </wp:positionH>
                <wp:positionV relativeFrom="margin">
                  <wp:align>bottom</wp:align>
                </wp:positionV>
                <wp:extent cx="5943600" cy="82296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6E7E4" id="Rectangle 62" o:spid="_x0000_s1026" style="position:absolute;margin-left:0;margin-top:0;width:468pt;height:9in;z-index:251661312;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AuoXSO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90497D">
        <w:rPr>
          <w:rFonts w:eastAsia="MS Mincho"/>
          <w:b/>
          <w:u w:val="single"/>
        </w:rPr>
        <w:t>BASE PRICE INDEX</w:t>
      </w:r>
      <w:r>
        <w:rPr>
          <w:rFonts w:eastAsia="MS Mincho"/>
        </w:rPr>
        <w:t xml:space="preserve"> </w:t>
      </w:r>
      <w:r w:rsidRPr="0090497D">
        <w:rPr>
          <w:rFonts w:eastAsia="MS Mincho"/>
        </w:rPr>
        <w:t xml:space="preserve">The base price index, BPI, is the price index determined by </w:t>
      </w:r>
      <w:r>
        <w:rPr>
          <w:rFonts w:eastAsia="MS Mincho"/>
        </w:rPr>
        <w:t xml:space="preserve">the </w:t>
      </w:r>
      <w:r w:rsidRPr="0090497D">
        <w:rPr>
          <w:rFonts w:eastAsia="MS Mincho"/>
        </w:rPr>
        <w:t>arithmetic average, as specified above, shown in the four weekly publications immediately preceding the bid opening.  The BPI will be provided by the Government after contract award.  It is as follows</w:t>
      </w:r>
      <w:r w:rsidRPr="006D6948">
        <w:rPr>
          <w:rFonts w:eastAsia="MS Mincho"/>
        </w:rPr>
        <w:t>:</w:t>
      </w:r>
    </w:p>
    <w:p w:rsidR="00344374" w:rsidRPr="006D6948" w:rsidRDefault="00344374" w:rsidP="00344374">
      <w:pPr>
        <w:spacing w:after="0" w:line="240" w:lineRule="auto"/>
        <w:ind w:left="720" w:right="360"/>
        <w:rPr>
          <w:rFonts w:eastAsia="MS Mincho"/>
        </w:rPr>
      </w:pPr>
    </w:p>
    <w:p w:rsidR="00344374" w:rsidRPr="0090497D" w:rsidRDefault="00344374" w:rsidP="00344374">
      <w:pPr>
        <w:ind w:right="360"/>
        <w:jc w:val="center"/>
        <w:rPr>
          <w:rFonts w:eastAsia="MS Mincho"/>
        </w:rPr>
      </w:pPr>
      <w:r w:rsidRPr="0090497D">
        <w:rPr>
          <w:rFonts w:eastAsia="MS Mincho"/>
        </w:rPr>
        <w:t>BASE PRICE INDEX (BPI) FOR ASPHALT CEMENT</w:t>
      </w:r>
    </w:p>
    <w:p w:rsidR="00344374" w:rsidRPr="0090497D" w:rsidRDefault="00344374" w:rsidP="00344374">
      <w:pPr>
        <w:ind w:right="360"/>
        <w:jc w:val="center"/>
        <w:rPr>
          <w:rFonts w:eastAsia="MS Mincho"/>
          <w:u w:val="single"/>
        </w:rPr>
      </w:pPr>
      <w:r w:rsidRPr="0090497D">
        <w:rPr>
          <w:rFonts w:eastAsia="MS Mincho"/>
        </w:rPr>
        <w:t xml:space="preserve">PER SHORT TON (TON) </w:t>
      </w:r>
      <w:r>
        <w:rPr>
          <w:rFonts w:eastAsia="MS Mincho"/>
        </w:rPr>
        <w:t>(or</w:t>
      </w:r>
      <w:r w:rsidRPr="0090497D">
        <w:rPr>
          <w:rFonts w:eastAsia="MS Mincho"/>
        </w:rPr>
        <w:t xml:space="preserve"> PER METRIC TON</w:t>
      </w:r>
      <w:r>
        <w:rPr>
          <w:rFonts w:eastAsia="MS Mincho"/>
        </w:rPr>
        <w:t>)</w:t>
      </w:r>
      <w:r w:rsidRPr="0090497D">
        <w:rPr>
          <w:rFonts w:eastAsia="MS Mincho"/>
        </w:rPr>
        <w:t xml:space="preserve"> = </w:t>
      </w:r>
      <w:r>
        <w:rPr>
          <w:rFonts w:eastAsia="MS Mincho"/>
        </w:rPr>
        <w:t>$</w:t>
      </w:r>
      <w:r>
        <w:rPr>
          <w:rFonts w:eastAsia="MS Mincho"/>
          <w:u w:val="single"/>
        </w:rPr>
        <w:tab/>
      </w:r>
      <w:r>
        <w:rPr>
          <w:rFonts w:eastAsia="MS Mincho"/>
          <w:u w:val="single"/>
        </w:rPr>
        <w:tab/>
      </w:r>
      <w:r>
        <w:rPr>
          <w:rFonts w:eastAsia="MS Mincho"/>
          <w:u w:val="single"/>
        </w:rPr>
        <w:tab/>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90497D">
        <w:rPr>
          <w:rFonts w:eastAsia="MS Mincho"/>
          <w:b/>
          <w:u w:val="single"/>
        </w:rPr>
        <w:t>MONTHLY PERFORMANCE PRICE INDEX</w:t>
      </w:r>
      <w:r w:rsidRPr="0090497D">
        <w:rPr>
          <w:rFonts w:eastAsia="MS Mincho"/>
        </w:rPr>
        <w:t xml:space="preserve"> The monthly performance price index, MPPI, is the monthly price index at the time of performance of applicable work as determined by </w:t>
      </w:r>
      <w:r>
        <w:rPr>
          <w:rFonts w:eastAsia="MS Mincho"/>
        </w:rPr>
        <w:t xml:space="preserve">the </w:t>
      </w:r>
      <w:r w:rsidRPr="0090497D">
        <w:rPr>
          <w:rFonts w:eastAsia="MS Mincho"/>
        </w:rPr>
        <w:t>arithmetic average, as specified above, shown in the four weekly publications issued prior to the last Wednesday of the month (i.e. the monthly performance price index during which asphalt cement is used in the performance of applicable construction work).</w:t>
      </w:r>
    </w:p>
    <w:p w:rsidR="00344374" w:rsidRDefault="00344374" w:rsidP="00344374">
      <w:pPr>
        <w:rPr>
          <w:rFonts w:eastAsia="MS Mincho"/>
          <w:b/>
          <w:u w:val="single"/>
        </w:rPr>
      </w:pPr>
    </w:p>
    <w:p w:rsidR="00344374" w:rsidRPr="00011B27" w:rsidRDefault="00344374" w:rsidP="00344374">
      <w:pPr>
        <w:ind w:left="360" w:right="360"/>
        <w:rPr>
          <w:rFonts w:eastAsia="MS Mincho"/>
        </w:rPr>
      </w:pPr>
      <w:r w:rsidRPr="00011B27">
        <w:rPr>
          <w:rFonts w:eastAsia="MS Mincho"/>
          <w:b/>
          <w:u w:val="single"/>
        </w:rPr>
        <w:t>PRICE ADJUSTMENTS</w:t>
      </w:r>
      <w:r w:rsidRPr="00011B27">
        <w:rPr>
          <w:rFonts w:eastAsia="MS Mincho"/>
        </w:rPr>
        <w:t xml:space="preserve"> Price adjustments are calculated by the Government for average conditions and are not intended to reflect the Contractor’s actual purchase price.  The ratio of the monthly performance price index and the base price index (MPPI/BPI) is calculated and used to determine price adjustments </w:t>
      </w:r>
      <w:r>
        <w:rPr>
          <w:rFonts w:eastAsia="MS Mincho"/>
        </w:rPr>
        <w:t xml:space="preserve">for eligible pay items </w:t>
      </w:r>
      <w:r w:rsidRPr="00011B27">
        <w:rPr>
          <w:rFonts w:eastAsia="MS Mincho"/>
        </w:rPr>
        <w:t>as follows:</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011B27">
        <w:rPr>
          <w:rFonts w:eastAsia="MS Mincho"/>
          <w:b/>
        </w:rPr>
        <w:t>No Price Adjustment</w:t>
      </w:r>
      <w:r w:rsidRPr="00011B27">
        <w:rPr>
          <w:rFonts w:eastAsia="MS Mincho"/>
        </w:rPr>
        <w:t xml:space="preserve"> – When the ratio MPPI/BPI falls within the range of 0.90 to 1.10, no price adjustment will be made for any asphalt cement used in construction work performed during the relevant month</w:t>
      </w:r>
      <w:r>
        <w:rPr>
          <w:rFonts w:eastAsia="MS Mincho"/>
        </w:rPr>
        <w:t>.</w:t>
      </w:r>
    </w:p>
    <w:p w:rsidR="00344374" w:rsidRDefault="00344374" w:rsidP="00344374">
      <w:pPr>
        <w:spacing w:after="0" w:line="240" w:lineRule="auto"/>
        <w:ind w:left="720" w:right="360"/>
        <w:rPr>
          <w:rFonts w:eastAsia="MS Mincho"/>
        </w:rPr>
      </w:pP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011B27">
        <w:rPr>
          <w:rFonts w:eastAsia="MS Mincho"/>
          <w:b/>
        </w:rPr>
        <w:t>Government Rebate</w:t>
      </w:r>
      <w:r w:rsidRPr="00011B27">
        <w:rPr>
          <w:rFonts w:eastAsia="MS Mincho"/>
        </w:rPr>
        <w:t xml:space="preserve"> – When the ratio MPPI/BPI is calculated to be less than 0.90, the Government is due a rebate determined in accordance with the following formula:</w:t>
      </w:r>
    </w:p>
    <w:p w:rsidR="00344374" w:rsidRDefault="00344374" w:rsidP="00344374">
      <w:pPr>
        <w:ind w:left="288" w:right="360"/>
        <w:jc w:val="center"/>
        <w:rPr>
          <w:rFonts w:eastAsia="MS Mincho"/>
        </w:rPr>
      </w:pPr>
      <w:r w:rsidRPr="00011B27">
        <w:rPr>
          <w:rFonts w:eastAsia="MS Mincho"/>
        </w:rPr>
        <w:t>Government Rebate = [0.90 – (MPPI/BPI)] (BPI) (Q)</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Pr>
          <w:rFonts w:eastAsia="MS Mincho"/>
          <w:b/>
          <w:bCs/>
        </w:rPr>
        <w:t>Contractor Payment</w:t>
      </w:r>
      <w:r w:rsidRPr="00011B27">
        <w:rPr>
          <w:rFonts w:eastAsia="MS Mincho"/>
        </w:rPr>
        <w:t xml:space="preserve"> – </w:t>
      </w:r>
      <w:r>
        <w:rPr>
          <w:rFonts w:eastAsia="MS Mincho"/>
          <w:caps/>
        </w:rPr>
        <w:t>W</w:t>
      </w:r>
      <w:r>
        <w:rPr>
          <w:rFonts w:eastAsia="MS Mincho"/>
        </w:rPr>
        <w:t>hen the ratio MPPI/BPI is calculated to be greater than 1.10, the Contractor is due additional payment determined in accordance with the following formula:</w:t>
      </w:r>
    </w:p>
    <w:p w:rsidR="00344374" w:rsidRDefault="00344374" w:rsidP="00344374">
      <w:pPr>
        <w:ind w:left="288" w:right="360"/>
        <w:jc w:val="center"/>
        <w:rPr>
          <w:rFonts w:eastAsia="MS Mincho"/>
        </w:rPr>
      </w:pPr>
      <w:r>
        <w:rPr>
          <w:rFonts w:eastAsia="MS Mincho"/>
        </w:rPr>
        <w:t>Contractor Payment = [(MPPI/BPI) – 1.10] (BPI) (Q)</w:t>
      </w:r>
    </w:p>
    <w:p w:rsidR="00344374" w:rsidRPr="00011B27" w:rsidRDefault="00344374" w:rsidP="00344374">
      <w:pPr>
        <w:ind w:left="360" w:right="360"/>
        <w:rPr>
          <w:rFonts w:eastAsia="MS Mincho"/>
        </w:rPr>
      </w:pPr>
      <w:r w:rsidRPr="00011B27">
        <w:rPr>
          <w:rFonts w:eastAsia="MS Mincho"/>
        </w:rPr>
        <w:t>The following definitions are applicable to both the Government Rebate and the Contractor Payment formulas:</w:t>
      </w:r>
    </w:p>
    <w:p w:rsidR="00344374" w:rsidRPr="002E3B8C" w:rsidRDefault="00344374" w:rsidP="00344374">
      <w:pPr>
        <w:tabs>
          <w:tab w:val="left" w:pos="1425"/>
        </w:tabs>
        <w:ind w:left="1800" w:right="360" w:hanging="1080"/>
        <w:rPr>
          <w:rFonts w:eastAsia="MS Mincho"/>
        </w:rPr>
      </w:pPr>
      <w:r w:rsidRPr="002E3B8C">
        <w:rPr>
          <w:rFonts w:eastAsia="MS Mincho"/>
        </w:rPr>
        <w:t>MPPI</w:t>
      </w:r>
      <w:r w:rsidRPr="002E3B8C">
        <w:rPr>
          <w:rFonts w:eastAsia="MS Mincho"/>
        </w:rPr>
        <w:tab/>
        <w:t>=</w:t>
      </w:r>
      <w:r w:rsidRPr="002E3B8C">
        <w:rPr>
          <w:rFonts w:eastAsia="MS Mincho"/>
        </w:rPr>
        <w:tab/>
        <w:t>Monthly Performance Price Index for the month during which asphalt cement is used in the performance of applicable construction work.</w:t>
      </w:r>
    </w:p>
    <w:p w:rsidR="00344374" w:rsidRPr="002E3B8C" w:rsidRDefault="00344374" w:rsidP="00344374">
      <w:pPr>
        <w:tabs>
          <w:tab w:val="left" w:pos="1425"/>
        </w:tabs>
        <w:ind w:left="1800" w:right="360" w:hanging="1080"/>
        <w:rPr>
          <w:rFonts w:eastAsia="MS Mincho"/>
        </w:rPr>
      </w:pPr>
      <w:r w:rsidRPr="002E3B8C">
        <w:rPr>
          <w:rFonts w:eastAsia="MS Mincho"/>
        </w:rPr>
        <w:t>BPI</w:t>
      </w:r>
      <w:r w:rsidRPr="002E3B8C">
        <w:rPr>
          <w:rFonts w:eastAsia="MS Mincho"/>
        </w:rPr>
        <w:tab/>
        <w:t>=</w:t>
      </w:r>
      <w:r w:rsidRPr="002E3B8C">
        <w:rPr>
          <w:rFonts w:eastAsia="MS Mincho"/>
        </w:rPr>
        <w:tab/>
        <w:t>Base Price Index that is established immediately preceding the bid opening.</w:t>
      </w:r>
    </w:p>
    <w:p w:rsidR="00344374" w:rsidRPr="00E61177" w:rsidRDefault="00344374" w:rsidP="00344374">
      <w:pPr>
        <w:tabs>
          <w:tab w:val="left" w:pos="1425"/>
        </w:tabs>
        <w:ind w:left="1800" w:right="360" w:hanging="1080"/>
        <w:rPr>
          <w:rFonts w:eastAsia="MS Mincho"/>
        </w:rPr>
      </w:pPr>
      <w:r w:rsidRPr="002E3B8C">
        <w:rPr>
          <w:rFonts w:eastAsia="MS Mincho"/>
        </w:rPr>
        <w:t>Q</w:t>
      </w:r>
      <w:r w:rsidRPr="002E3B8C">
        <w:rPr>
          <w:rFonts w:eastAsia="MS Mincho"/>
        </w:rPr>
        <w:tab/>
        <w:t>=</w:t>
      </w:r>
      <w:r w:rsidRPr="002E3B8C">
        <w:rPr>
          <w:rFonts w:eastAsia="MS Mincho"/>
        </w:rPr>
        <w:tab/>
        <w:t>Quantit</w:t>
      </w:r>
      <w:r w:rsidRPr="00160D35">
        <w:rPr>
          <w:rFonts w:eastAsia="MS Mincho"/>
        </w:rPr>
        <w:t>y in tons of asphalt</w:t>
      </w:r>
      <w:r w:rsidRPr="002E3B8C">
        <w:rPr>
          <w:rFonts w:eastAsia="MS Mincho"/>
        </w:rPr>
        <w:t xml:space="preserve"> cement for eligible pay items that were used on the project during the progress payment period.  The quantity will be calculated using the asphalt content of the approved mix design and the following </w:t>
      </w:r>
      <w:r w:rsidRPr="00E61177">
        <w:rPr>
          <w:rFonts w:eastAsia="MS Mincho"/>
        </w:rPr>
        <w:t>formula:</w:t>
      </w:r>
    </w:p>
    <w:p w:rsidR="00344374" w:rsidRPr="00E61177" w:rsidRDefault="00344374" w:rsidP="00344374">
      <w:pPr>
        <w:tabs>
          <w:tab w:val="left" w:pos="2166"/>
        </w:tabs>
        <w:ind w:left="2520" w:hanging="720"/>
        <w:rPr>
          <w:rFonts w:eastAsia="MS Mincho"/>
        </w:rPr>
      </w:pPr>
      <w:r>
        <w:rPr>
          <w:noProof/>
        </w:rPr>
        <w:lastRenderedPageBreak/>
        <mc:AlternateContent>
          <mc:Choice Requires="wps">
            <w:drawing>
              <wp:anchor distT="0" distB="0" distL="114300" distR="114300" simplePos="0" relativeHeight="251662336" behindDoc="0" locked="0" layoutInCell="1" allowOverlap="1" wp14:anchorId="1ED149EC" wp14:editId="5E0D9C94">
                <wp:simplePos x="0" y="0"/>
                <wp:positionH relativeFrom="margin">
                  <wp:posOffset>0</wp:posOffset>
                </wp:positionH>
                <wp:positionV relativeFrom="margin">
                  <wp:align>bottom</wp:align>
                </wp:positionV>
                <wp:extent cx="5943600" cy="82296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73498" id="Rectangle 63" o:spid="_x0000_s1026" style="position:absolute;margin-left:0;margin-top:0;width:468pt;height:9in;z-index:251662336;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M+kgeO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E61177">
        <w:rPr>
          <w:rFonts w:eastAsia="MS Mincho"/>
        </w:rPr>
        <w:t>Q</w:t>
      </w:r>
      <w:r w:rsidRPr="00E61177">
        <w:rPr>
          <w:rFonts w:eastAsia="MS Mincho"/>
        </w:rPr>
        <w:tab/>
        <w:t>=</w:t>
      </w:r>
      <w:r w:rsidRPr="00E61177">
        <w:rPr>
          <w:rFonts w:eastAsia="MS Mincho"/>
        </w:rPr>
        <w:tab/>
        <w:t>Asphalt Concrete Pavement tons placed x (% Asphalt/100)</w:t>
      </w:r>
    </w:p>
    <w:p w:rsidR="00344374" w:rsidRPr="00160D35" w:rsidRDefault="00344374" w:rsidP="00344374">
      <w:pPr>
        <w:ind w:left="360" w:right="360"/>
      </w:pPr>
      <w:r w:rsidRPr="00E61177">
        <w:rPr>
          <w:rFonts w:eastAsia="MS Mincho"/>
          <w:b/>
          <w:u w:val="single"/>
        </w:rPr>
        <w:t>PRICE ADJUSTMENT COMPENSATION</w:t>
      </w:r>
      <w:r w:rsidRPr="00E61177">
        <w:rPr>
          <w:rFonts w:eastAsia="MS Mincho"/>
        </w:rPr>
        <w:t xml:space="preserve"> Monthly adjustments will be accrued.  The final price adjustment will be paid, or rebated, after completion of all work for eligible pay items.  </w:t>
      </w:r>
      <w:r w:rsidRPr="00E61177">
        <w:t>The Contractor may request in writing a partial price adjustment payment once every 12 months, or when the unpaid accr</w:t>
      </w:r>
      <w:r w:rsidRPr="00160D35">
        <w:t>ued increase exceeds $10,000.  The Government will take a rebate when the deductive accrual exceeds $10,000.</w:t>
      </w:r>
    </w:p>
    <w:p w:rsidR="00344374" w:rsidRPr="00160D35" w:rsidRDefault="00344374" w:rsidP="00344374">
      <w:pPr>
        <w:ind w:left="360" w:right="360"/>
        <w:rPr>
          <w:rFonts w:eastAsia="MS Mincho"/>
        </w:rPr>
      </w:pPr>
      <w:r w:rsidRPr="00160D35">
        <w:rPr>
          <w:rFonts w:eastAsia="MS Mincho"/>
        </w:rPr>
        <w:t>No price adjustments will be made for work performed beyond the Government-approved Contract completion date.</w:t>
      </w:r>
    </w:p>
    <w:p w:rsidR="00344374" w:rsidRPr="00FF31F7" w:rsidRDefault="00344374" w:rsidP="00344374">
      <w:pPr>
        <w:ind w:left="360" w:right="360"/>
        <w:rPr>
          <w:rFonts w:eastAsia="MS Mincho"/>
        </w:rPr>
      </w:pPr>
      <w:r w:rsidRPr="00160D35">
        <w:rPr>
          <w:rFonts w:eastAsia="MS Mincho"/>
        </w:rPr>
        <w:t>The maximum allowable monthly and final price adjustment to the Contractor or rebate to the Government is limited to a (MPPI/BPI) rati</w:t>
      </w:r>
      <w:r>
        <w:rPr>
          <w:rFonts w:eastAsia="MS Mincho"/>
        </w:rPr>
        <w:t>o of 1.6 and 0.4, respectively.</w:t>
      </w:r>
      <w:r w:rsidRPr="0031446D">
        <w:rPr>
          <w:rFonts w:eastAsia="MS Mincho"/>
          <w:vanish/>
        </w:rPr>
        <w:t>Cut and insert the following into the appropriate Section (delete the non-applicable Subsections):</w:t>
      </w:r>
    </w:p>
    <w:p w:rsidR="00344374" w:rsidRDefault="00344374" w:rsidP="00344374">
      <w:pPr>
        <w:ind w:left="360" w:right="360"/>
        <w:rPr>
          <w:rFonts w:eastAsia="MS Mincho"/>
        </w:rPr>
      </w:pPr>
      <w:r>
        <w:rPr>
          <w:rFonts w:eastAsia="MS Mincho"/>
        </w:rPr>
        <w:t>4</w:t>
      </w:r>
      <w:r w:rsidRPr="00E61177">
        <w:rPr>
          <w:rFonts w:eastAsia="MS Mincho"/>
        </w:rPr>
        <w:t>01.19</w:t>
      </w:r>
      <w:r>
        <w:rPr>
          <w:rFonts w:eastAsia="MS Mincho"/>
        </w:rPr>
        <w:t xml:space="preserve">. </w:t>
      </w:r>
      <w:r w:rsidRPr="00E61177">
        <w:rPr>
          <w:rFonts w:eastAsia="MS Mincho"/>
        </w:rPr>
        <w:t xml:space="preserve"> 402.19</w:t>
      </w:r>
      <w:r>
        <w:rPr>
          <w:rFonts w:eastAsia="MS Mincho"/>
        </w:rPr>
        <w:t xml:space="preserve">. </w:t>
      </w:r>
      <w:r w:rsidRPr="00E61177">
        <w:rPr>
          <w:rFonts w:eastAsia="MS Mincho"/>
        </w:rPr>
        <w:t xml:space="preserve"> 403.19</w:t>
      </w:r>
      <w:r>
        <w:rPr>
          <w:rFonts w:eastAsia="MS Mincho"/>
        </w:rPr>
        <w:t>.</w:t>
      </w:r>
      <w:r w:rsidRPr="00E61177">
        <w:rPr>
          <w:rFonts w:eastAsia="MS Mincho"/>
        </w:rPr>
        <w:t xml:space="preserve">  405.13</w:t>
      </w:r>
      <w:r>
        <w:rPr>
          <w:rFonts w:eastAsia="MS Mincho"/>
        </w:rPr>
        <w:t xml:space="preserve">. </w:t>
      </w:r>
      <w:r w:rsidRPr="00E61177">
        <w:rPr>
          <w:rFonts w:eastAsia="MS Mincho"/>
        </w:rPr>
        <w:t xml:space="preserve"> </w:t>
      </w:r>
      <w:r>
        <w:rPr>
          <w:rFonts w:eastAsia="MS Mincho"/>
        </w:rPr>
        <w:t>Add the following:</w:t>
      </w:r>
    </w:p>
    <w:p w:rsidR="00344374" w:rsidRPr="00E61177" w:rsidRDefault="00344374" w:rsidP="00344374">
      <w:pPr>
        <w:ind w:left="360" w:right="360"/>
        <w:rPr>
          <w:rFonts w:eastAsia="MS Mincho"/>
        </w:rPr>
      </w:pPr>
      <w:r w:rsidRPr="00E61177">
        <w:rPr>
          <w:rFonts w:eastAsia="MS Mincho"/>
        </w:rPr>
        <w:t xml:space="preserve">A price adjustment will be made for fluctuations in the cost of asphalt cement </w:t>
      </w:r>
      <w:r>
        <w:rPr>
          <w:rFonts w:eastAsia="MS Mincho"/>
        </w:rPr>
        <w:t>used</w:t>
      </w:r>
      <w:r w:rsidRPr="00E61177">
        <w:rPr>
          <w:rFonts w:eastAsia="MS Mincho"/>
        </w:rPr>
        <w:t xml:space="preserve"> in the performance of any eligible pay items according to Subsection 109.06 Pricing of Adjustments Asphalt Cem</w:t>
      </w:r>
      <w:r>
        <w:rPr>
          <w:rFonts w:eastAsia="MS Mincho"/>
        </w:rPr>
        <w:t>ent Price Adjustment Provision.</w:t>
      </w:r>
    </w:p>
    <w:p w:rsidR="00344374" w:rsidRPr="00320FCD" w:rsidRDefault="00344374" w:rsidP="00344374">
      <w:pPr>
        <w:jc w:val="center"/>
        <w:rPr>
          <w:rFonts w:eastAsia="MS Mincho"/>
          <w:b/>
        </w:rPr>
      </w:pPr>
      <w:r w:rsidRPr="00441160">
        <w:rPr>
          <w:rFonts w:eastAsia="MS Mincho"/>
          <w:b/>
        </w:rPr>
        <w:t>FUEL</w:t>
      </w:r>
      <w:r w:rsidRPr="00320FCD">
        <w:rPr>
          <w:rFonts w:eastAsia="MS Mincho"/>
          <w:b/>
        </w:rPr>
        <w:t xml:space="preserve"> PRICE ADJUSTMENT PROVISION</w:t>
      </w:r>
    </w:p>
    <w:p w:rsidR="00344374" w:rsidRDefault="00344374" w:rsidP="00344374">
      <w:pPr>
        <w:ind w:left="360" w:right="360"/>
        <w:rPr>
          <w:rFonts w:eastAsia="MS Mincho"/>
        </w:rPr>
      </w:pPr>
      <w:r w:rsidRPr="00441160">
        <w:rPr>
          <w:rFonts w:eastAsia="MS Mincho"/>
          <w:b/>
          <w:u w:val="single"/>
        </w:rPr>
        <w:t>GENERAL</w:t>
      </w:r>
      <w:r w:rsidRPr="00441160">
        <w:rPr>
          <w:rFonts w:eastAsia="MS Mincho"/>
        </w:rPr>
        <w:t xml:space="preserve"> The Fuel Price Adjustment Provision provides for a price adjustment in the form of </w:t>
      </w:r>
      <w:r>
        <w:rPr>
          <w:rFonts w:eastAsia="MS Mincho"/>
        </w:rPr>
        <w:t xml:space="preserve">a </w:t>
      </w:r>
      <w:r w:rsidRPr="00441160">
        <w:rPr>
          <w:rFonts w:eastAsia="MS Mincho"/>
        </w:rPr>
        <w:t xml:space="preserve">payment to the Contractor or a rebate to the Government for fluctuations in the cost of diesel fuel consumed in the performance of applicable construction work.  The price adjustment provisions are applicable only to </w:t>
      </w:r>
      <w:r>
        <w:rPr>
          <w:rFonts w:eastAsia="MS Mincho"/>
        </w:rPr>
        <w:t xml:space="preserve">those </w:t>
      </w:r>
      <w:r w:rsidRPr="00441160">
        <w:rPr>
          <w:rFonts w:eastAsia="MS Mincho"/>
        </w:rPr>
        <w:t>contract items listed as eligible pay items in Table 1 below, if diesel</w:t>
      </w:r>
      <w:r>
        <w:rPr>
          <w:rFonts w:eastAsia="MS Mincho"/>
        </w:rPr>
        <w:t xml:space="preserve"> is</w:t>
      </w:r>
      <w:r w:rsidRPr="00441160">
        <w:rPr>
          <w:rFonts w:eastAsia="MS Mincho"/>
        </w:rPr>
        <w:t xml:space="preserve"> used as the primary fuel in the production of the affected items</w:t>
      </w:r>
      <w:r>
        <w:rPr>
          <w:rFonts w:eastAsia="MS Mincho"/>
        </w:rPr>
        <w:t>.</w:t>
      </w:r>
    </w:p>
    <w:p w:rsidR="00344374" w:rsidRPr="00441160" w:rsidRDefault="00344374" w:rsidP="00344374">
      <w:pPr>
        <w:ind w:left="360" w:right="360"/>
        <w:rPr>
          <w:rFonts w:eastAsia="MS Mincho"/>
        </w:rPr>
      </w:pPr>
      <w:r>
        <w:rPr>
          <w:rFonts w:eastAsia="MS Mincho"/>
        </w:rPr>
        <w:t>The price adjustment provisions are also applicable when the Government adds extra work to the eligible pay items already existing under the Contract.</w:t>
      </w:r>
    </w:p>
    <w:p w:rsidR="00344374" w:rsidRPr="00441160" w:rsidRDefault="00344374" w:rsidP="00344374">
      <w:pPr>
        <w:ind w:left="360" w:right="360"/>
        <w:rPr>
          <w:rFonts w:eastAsia="MS Mincho"/>
        </w:rPr>
      </w:pPr>
      <w:r w:rsidRPr="00441160">
        <w:rPr>
          <w:rFonts w:eastAsia="MS Mincho"/>
        </w:rPr>
        <w:t xml:space="preserve">The provision will remain in effect throughout the duration of the contract.  Enactment of the Fuel Price Adjustment Provision will only be considered when the </w:t>
      </w:r>
      <w:r w:rsidRPr="00511B9C">
        <w:rPr>
          <w:rFonts w:eastAsia="MS Mincho"/>
          <w:b/>
        </w:rPr>
        <w:t>increase or decrease</w:t>
      </w:r>
      <w:r w:rsidRPr="00511B9C">
        <w:rPr>
          <w:rFonts w:eastAsia="MS Mincho"/>
        </w:rPr>
        <w:t xml:space="preserve"> </w:t>
      </w:r>
      <w:r w:rsidRPr="00441160">
        <w:rPr>
          <w:rFonts w:eastAsia="MS Mincho"/>
        </w:rPr>
        <w:t xml:space="preserve">in the price of </w:t>
      </w:r>
      <w:r>
        <w:rPr>
          <w:rFonts w:eastAsia="MS Mincho"/>
        </w:rPr>
        <w:t>diesel</w:t>
      </w:r>
      <w:r w:rsidRPr="00441160">
        <w:rPr>
          <w:rFonts w:eastAsia="MS Mincho"/>
        </w:rPr>
        <w:t xml:space="preserve"> fuel as defined herein exceeds 10 percent.</w:t>
      </w:r>
    </w:p>
    <w:p w:rsidR="00344374" w:rsidRDefault="00344374" w:rsidP="00344374">
      <w:pPr>
        <w:ind w:left="360" w:right="360"/>
        <w:rPr>
          <w:rFonts w:eastAsia="MS Mincho"/>
        </w:rPr>
      </w:pPr>
      <w:r w:rsidRPr="00441160">
        <w:rPr>
          <w:rFonts w:eastAsia="MS Mincho"/>
        </w:rPr>
        <w:t xml:space="preserve">The Fuel Price Adjustment Provision is intended to reduce but not eliminate the cost effects of price uncertainty to the Contractor and the Government for </w:t>
      </w:r>
      <w:r>
        <w:rPr>
          <w:rFonts w:eastAsia="MS Mincho"/>
        </w:rPr>
        <w:t>diesel</w:t>
      </w:r>
      <w:r w:rsidRPr="00441160">
        <w:rPr>
          <w:rFonts w:eastAsia="MS Mincho"/>
        </w:rPr>
        <w:t xml:space="preserve"> fuel </w:t>
      </w:r>
      <w:r>
        <w:rPr>
          <w:rFonts w:eastAsia="MS Mincho"/>
        </w:rPr>
        <w:t>cons</w:t>
      </w:r>
      <w:r w:rsidRPr="00441160">
        <w:rPr>
          <w:rFonts w:eastAsia="MS Mincho"/>
        </w:rPr>
        <w:t>u</w:t>
      </w:r>
      <w:r>
        <w:rPr>
          <w:rFonts w:eastAsia="MS Mincho"/>
        </w:rPr>
        <w:t>m</w:t>
      </w:r>
      <w:r w:rsidRPr="00441160">
        <w:rPr>
          <w:rFonts w:eastAsia="MS Mincho"/>
        </w:rPr>
        <w:t xml:space="preserve">ed in the construction of this contract.  It provides for sharing by the Government in a portion of the Contractor’s risk, which could result from unusual price fluctuations.  The provision is not </w:t>
      </w:r>
      <w:r>
        <w:rPr>
          <w:noProof/>
        </w:rPr>
        <w:lastRenderedPageBreak/>
        <mc:AlternateContent>
          <mc:Choice Requires="wps">
            <w:drawing>
              <wp:anchor distT="0" distB="0" distL="114300" distR="114300" simplePos="0" relativeHeight="251663360" behindDoc="0" locked="0" layoutInCell="1" allowOverlap="1" wp14:anchorId="4B3CBC4C" wp14:editId="741083FA">
                <wp:simplePos x="0" y="0"/>
                <wp:positionH relativeFrom="margin">
                  <wp:posOffset>0</wp:posOffset>
                </wp:positionH>
                <wp:positionV relativeFrom="margin">
                  <wp:align>bottom</wp:align>
                </wp:positionV>
                <wp:extent cx="5943600" cy="82296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B76AD" id="Rectangle 65" o:spid="_x0000_s1026" style="position:absolute;margin-left:0;margin-top:0;width:468pt;height:9in;z-index:251663360;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JSE2gy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441160">
        <w:rPr>
          <w:rFonts w:eastAsia="MS Mincho"/>
        </w:rPr>
        <w:t xml:space="preserve">intended to compensate the Contractor for normal day-to-day fluctuations and seasonal changes or to serve as a guarantee of full compensation for </w:t>
      </w:r>
      <w:r>
        <w:rPr>
          <w:rFonts w:eastAsia="MS Mincho"/>
        </w:rPr>
        <w:t>diesel</w:t>
      </w:r>
      <w:r w:rsidRPr="00441160">
        <w:rPr>
          <w:rFonts w:eastAsia="MS Mincho"/>
        </w:rPr>
        <w:t xml:space="preserve"> fuel price fluctuations</w:t>
      </w:r>
      <w:r>
        <w:rPr>
          <w:rFonts w:eastAsia="MS Mincho"/>
        </w:rPr>
        <w:t>.</w:t>
      </w:r>
    </w:p>
    <w:tbl>
      <w:tblPr>
        <w:tblW w:w="8640" w:type="dxa"/>
        <w:tblInd w:w="36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640"/>
      </w:tblGrid>
      <w:tr w:rsidR="00344374" w:rsidTr="009536E0">
        <w:tc>
          <w:tcPr>
            <w:tcW w:w="9576" w:type="dxa"/>
          </w:tcPr>
          <w:p w:rsidR="00344374" w:rsidRPr="006D6948" w:rsidRDefault="00344374" w:rsidP="009536E0">
            <w:pPr>
              <w:spacing w:before="120" w:after="120"/>
              <w:ind w:left="360" w:right="360"/>
              <w:rPr>
                <w:u w:val="single"/>
              </w:rPr>
            </w:pPr>
            <w:r w:rsidRPr="006D6948">
              <w:rPr>
                <w:u w:val="single"/>
              </w:rPr>
              <w:t>EFLHD will revise the following policy/procedures.</w:t>
            </w:r>
          </w:p>
          <w:p w:rsidR="00344374" w:rsidRDefault="00344374" w:rsidP="009536E0">
            <w:pPr>
              <w:spacing w:before="120" w:after="120"/>
              <w:ind w:left="360" w:right="360"/>
              <w:rPr>
                <w:sz w:val="24"/>
              </w:rPr>
            </w:pPr>
            <w:r>
              <w:t>The Construction Branch is responsible for (1) purchasing the Oil Price Information Service (OPIS) newsletter; (2) selecting the applicable region and city; (3) calculating and posting price indexes on an accessible web page and; (4) calculating and paying price adjustment compensations.  In order to establish a reference for the base and monthly performance price indexes, the Oil Price Information Service (OPIS) newsletter should be surveyed and an applicable region and city inserted below.  If possible, the city should be a large metropolitan area (i.e. a state capital) near the project site.  A website address must also be inserted below where the Contractor and other interested parties can check Government postings of monthly price indexes.  There could potentially be one web page for each project unless reference cities can be strategically selected to serve more than one project site.  The Base and Monthly Performance Price Indexes for Low Sulfur No. 2 Diesel Fuel must also be calculated using weekly average rack price data obtained from OPIS for the applicable city.  Weekly average rack price data from four consecutive reports will be averaged to obtain a Base Price Index as well as a Monthly Performance Price Index.  The Base Price Index (BPI) must be inserted below by Acquisitions in the conformed set.  The Monthly Performance Price Index must be posted monthly by Construction on the website.</w:t>
            </w:r>
          </w:p>
        </w:tc>
      </w:tr>
    </w:tbl>
    <w:p w:rsidR="00344374" w:rsidRDefault="00344374" w:rsidP="00344374">
      <w:pPr>
        <w:spacing w:after="0"/>
        <w:rPr>
          <w:rFonts w:eastAsia="MS Mincho"/>
          <w:b/>
          <w:u w:val="single"/>
        </w:rPr>
      </w:pPr>
    </w:p>
    <w:p w:rsidR="00344374" w:rsidRPr="0024781D" w:rsidRDefault="00344374" w:rsidP="00344374">
      <w:pPr>
        <w:ind w:left="360" w:right="360"/>
        <w:rPr>
          <w:rFonts w:eastAsia="MS Mincho"/>
        </w:rPr>
      </w:pPr>
      <w:r w:rsidRPr="0024781D">
        <w:rPr>
          <w:rFonts w:eastAsia="MS Mincho"/>
          <w:b/>
          <w:u w:val="single"/>
        </w:rPr>
        <w:t>PRICE INDEXES</w:t>
      </w:r>
      <w:r w:rsidRPr="0024781D">
        <w:rPr>
          <w:rFonts w:eastAsia="MS Mincho"/>
        </w:rPr>
        <w:t xml:space="preserve"> The Government will generate </w:t>
      </w:r>
      <w:r w:rsidRPr="00852D37">
        <w:rPr>
          <w:rFonts w:eastAsia="MS Mincho"/>
        </w:rPr>
        <w:t xml:space="preserve">a monthly performance price index </w:t>
      </w:r>
      <w:r w:rsidRPr="0024781D">
        <w:rPr>
          <w:rFonts w:eastAsia="MS Mincho"/>
        </w:rPr>
        <w:t xml:space="preserve">for </w:t>
      </w:r>
      <w:r>
        <w:rPr>
          <w:rFonts w:eastAsia="MS Mincho"/>
        </w:rPr>
        <w:t xml:space="preserve">Ultra </w:t>
      </w:r>
      <w:r w:rsidRPr="0024781D">
        <w:rPr>
          <w:rFonts w:eastAsia="MS Mincho"/>
        </w:rPr>
        <w:t xml:space="preserve">Low Sulfur, No. 2 Diesel Fuel using price data obtained from the Oil Price Information Service (OPIS), which publishes a weekly report on gasoline and distillate reseller prices for major cities in five regions throughout the United States including the East Coast (PADD 1), the Midwest (PADD 2), the Gulf Coast (PADD 3), the Rockies (PADD 4) and the West Coast (PADD 5).  Weekly average rack price data reported </w:t>
      </w:r>
      <w:r w:rsidRPr="00EC6DEF">
        <w:rPr>
          <w:rFonts w:eastAsia="MS Mincho"/>
        </w:rPr>
        <w:t>for (insert the applicable region and city)</w:t>
      </w:r>
      <w:r w:rsidRPr="0024781D">
        <w:rPr>
          <w:rFonts w:eastAsia="MS Mincho"/>
        </w:rPr>
        <w:t xml:space="preserve"> will be averaged and used to establish a base price index, BPI, for this project and a monthly performance price index, MPPI, for the duration of the contract.  These indexes are defined as follows:</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Pr>
          <w:noProof/>
        </w:rPr>
        <w:lastRenderedPageBreak/>
        <mc:AlternateContent>
          <mc:Choice Requires="wps">
            <w:drawing>
              <wp:anchor distT="0" distB="0" distL="114300" distR="114300" simplePos="0" relativeHeight="251664384" behindDoc="0" locked="0" layoutInCell="1" allowOverlap="1" wp14:anchorId="38A3FBE4" wp14:editId="06032D3A">
                <wp:simplePos x="0" y="0"/>
                <wp:positionH relativeFrom="margin">
                  <wp:posOffset>0</wp:posOffset>
                </wp:positionH>
                <wp:positionV relativeFrom="margin">
                  <wp:align>bottom</wp:align>
                </wp:positionV>
                <wp:extent cx="5943600" cy="82296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0B0EC" id="Rectangle 66" o:spid="_x0000_s1026" style="position:absolute;margin-left:0;margin-top:0;width:468pt;height:9in;z-index:251664384;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JmXz5a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90497D">
        <w:rPr>
          <w:rFonts w:eastAsia="MS Mincho"/>
          <w:b/>
          <w:u w:val="single"/>
        </w:rPr>
        <w:t>BASE PRICE INDEX</w:t>
      </w:r>
      <w:r w:rsidRPr="0090497D">
        <w:rPr>
          <w:rFonts w:eastAsia="MS Mincho"/>
        </w:rPr>
        <w:t xml:space="preserve"> The base price index, BPI, is the price index determined by </w:t>
      </w:r>
      <w:r>
        <w:rPr>
          <w:rFonts w:eastAsia="MS Mincho"/>
        </w:rPr>
        <w:t xml:space="preserve">the </w:t>
      </w:r>
      <w:r w:rsidRPr="0090497D">
        <w:rPr>
          <w:rFonts w:eastAsia="MS Mincho"/>
        </w:rPr>
        <w:t>arithmetic average, as specified above, shown in the four weekly publications immediately preceding the bid opening.  The BPI will be provided by the Government after contract award.  It is as follows:</w:t>
      </w:r>
    </w:p>
    <w:p w:rsidR="00344374" w:rsidRDefault="00344374" w:rsidP="00344374">
      <w:pPr>
        <w:spacing w:after="0"/>
        <w:ind w:right="360"/>
        <w:jc w:val="center"/>
        <w:rPr>
          <w:rFonts w:eastAsia="MS Mincho"/>
        </w:rPr>
      </w:pPr>
    </w:p>
    <w:p w:rsidR="00344374" w:rsidRPr="0024781D" w:rsidRDefault="00344374" w:rsidP="00344374">
      <w:pPr>
        <w:ind w:right="360"/>
        <w:jc w:val="center"/>
        <w:rPr>
          <w:rFonts w:eastAsia="MS Mincho"/>
        </w:rPr>
      </w:pPr>
      <w:r w:rsidRPr="0090497D">
        <w:rPr>
          <w:rFonts w:eastAsia="MS Mincho"/>
        </w:rPr>
        <w:t xml:space="preserve">BASE PRICE INDEX (BPI) FOR </w:t>
      </w:r>
      <w:r>
        <w:rPr>
          <w:rFonts w:eastAsia="MS Mincho"/>
        </w:rPr>
        <w:t xml:space="preserve">ULTRA </w:t>
      </w:r>
      <w:r w:rsidRPr="0024781D">
        <w:rPr>
          <w:rFonts w:eastAsia="MS Mincho"/>
        </w:rPr>
        <w:t>LOW SULFUR, NO. 2 DIESEL FUEL</w:t>
      </w:r>
    </w:p>
    <w:p w:rsidR="00344374" w:rsidRPr="0090497D" w:rsidRDefault="00344374" w:rsidP="00344374">
      <w:pPr>
        <w:ind w:right="360"/>
        <w:jc w:val="center"/>
        <w:rPr>
          <w:rFonts w:eastAsia="MS Mincho"/>
          <w:u w:val="single"/>
        </w:rPr>
      </w:pPr>
      <w:r w:rsidRPr="0090497D">
        <w:rPr>
          <w:rFonts w:eastAsia="MS Mincho"/>
        </w:rPr>
        <w:t xml:space="preserve">PER </w:t>
      </w:r>
      <w:r w:rsidRPr="0024781D">
        <w:rPr>
          <w:rFonts w:eastAsia="MS Mincho"/>
        </w:rPr>
        <w:t>GALLON</w:t>
      </w:r>
      <w:r w:rsidRPr="0090497D">
        <w:rPr>
          <w:rFonts w:eastAsia="MS Mincho"/>
        </w:rPr>
        <w:t xml:space="preserve"> = </w:t>
      </w:r>
      <w:r>
        <w:rPr>
          <w:rFonts w:eastAsia="MS Mincho"/>
        </w:rPr>
        <w:t>$</w:t>
      </w:r>
      <w:r>
        <w:rPr>
          <w:rFonts w:eastAsia="MS Mincho"/>
          <w:u w:val="single"/>
        </w:rPr>
        <w:tab/>
      </w:r>
      <w:r>
        <w:rPr>
          <w:rFonts w:eastAsia="MS Mincho"/>
          <w:u w:val="single"/>
        </w:rPr>
        <w:tab/>
      </w:r>
      <w:r>
        <w:rPr>
          <w:rFonts w:eastAsia="MS Mincho"/>
          <w:u w:val="single"/>
        </w:rPr>
        <w:tab/>
      </w:r>
      <w:r>
        <w:rPr>
          <w:rFonts w:eastAsia="MS Mincho"/>
          <w:u w:val="single"/>
        </w:rPr>
        <w:tab/>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90497D">
        <w:rPr>
          <w:rFonts w:eastAsia="MS Mincho"/>
          <w:b/>
          <w:u w:val="single"/>
        </w:rPr>
        <w:t>MONTHLY PERFORMANCE PRICE INDEX</w:t>
      </w:r>
      <w:r w:rsidRPr="0090497D">
        <w:rPr>
          <w:rFonts w:eastAsia="MS Mincho"/>
        </w:rPr>
        <w:t xml:space="preserve"> The monthly performance price index, MPPI, is the monthly price index at the time of performance of applicable work as determined by </w:t>
      </w:r>
      <w:r>
        <w:rPr>
          <w:rFonts w:eastAsia="MS Mincho"/>
        </w:rPr>
        <w:t xml:space="preserve">the </w:t>
      </w:r>
      <w:r w:rsidRPr="0090497D">
        <w:rPr>
          <w:rFonts w:eastAsia="MS Mincho"/>
        </w:rPr>
        <w:t xml:space="preserve">arithmetic average, as specified above, shown in the four weekly publications issued prior to the last Wednesday of the month (i.e. the monthly performance price index during which </w:t>
      </w:r>
      <w:r>
        <w:rPr>
          <w:rFonts w:eastAsia="MS Mincho"/>
        </w:rPr>
        <w:t>diesel</w:t>
      </w:r>
      <w:r w:rsidRPr="0024781D">
        <w:rPr>
          <w:rFonts w:eastAsia="MS Mincho"/>
        </w:rPr>
        <w:t xml:space="preserve"> fuel</w:t>
      </w:r>
      <w:r w:rsidRPr="0090497D">
        <w:rPr>
          <w:rFonts w:eastAsia="MS Mincho"/>
        </w:rPr>
        <w:t xml:space="preserve"> is </w:t>
      </w:r>
      <w:r>
        <w:rPr>
          <w:rFonts w:eastAsia="MS Mincho"/>
        </w:rPr>
        <w:t>consumed</w:t>
      </w:r>
      <w:r w:rsidRPr="0090497D">
        <w:rPr>
          <w:rFonts w:eastAsia="MS Mincho"/>
        </w:rPr>
        <w:t xml:space="preserve"> in the performance of applicable construction work).</w:t>
      </w:r>
    </w:p>
    <w:p w:rsidR="00344374" w:rsidRDefault="00344374" w:rsidP="00344374">
      <w:pPr>
        <w:spacing w:after="0" w:line="240" w:lineRule="auto"/>
        <w:ind w:left="720"/>
        <w:rPr>
          <w:rFonts w:eastAsia="MS Mincho"/>
        </w:rPr>
      </w:pPr>
    </w:p>
    <w:p w:rsidR="00344374" w:rsidRPr="00011B27" w:rsidRDefault="00344374" w:rsidP="00344374">
      <w:pPr>
        <w:ind w:left="360" w:right="360"/>
        <w:rPr>
          <w:rFonts w:eastAsia="MS Mincho"/>
        </w:rPr>
      </w:pPr>
      <w:r w:rsidRPr="00011B27">
        <w:rPr>
          <w:rFonts w:eastAsia="MS Mincho"/>
          <w:b/>
          <w:u w:val="single"/>
        </w:rPr>
        <w:t>PRICE ADJUSTMENTS</w:t>
      </w:r>
      <w:r w:rsidRPr="00011B27">
        <w:rPr>
          <w:rFonts w:eastAsia="MS Mincho"/>
        </w:rPr>
        <w:t xml:space="preserve"> Price adjustments are calculated by the Government for average conditions and are not intended to reflect the Contractor’s actual purchase price.  The ratio of the monthly performance price index and the base price index (MPPI/BPI) is calculated and used to determine price adjustments </w:t>
      </w:r>
      <w:r>
        <w:rPr>
          <w:rFonts w:eastAsia="MS Mincho"/>
        </w:rPr>
        <w:t xml:space="preserve">for eligible pay items </w:t>
      </w:r>
      <w:r w:rsidRPr="00011B27">
        <w:rPr>
          <w:rFonts w:eastAsia="MS Mincho"/>
        </w:rPr>
        <w:t>as follows:</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011B27">
        <w:rPr>
          <w:rFonts w:eastAsia="MS Mincho"/>
          <w:b/>
        </w:rPr>
        <w:t>No Price Adjustment</w:t>
      </w:r>
      <w:r w:rsidRPr="00011B27">
        <w:rPr>
          <w:rFonts w:eastAsia="MS Mincho"/>
        </w:rPr>
        <w:t xml:space="preserve"> – When the ratio MPPI/BPI falls within the range of 0.90 to 1.10, no price adjustment will be made for any </w:t>
      </w:r>
      <w:r>
        <w:rPr>
          <w:rFonts w:eastAsia="MS Mincho"/>
        </w:rPr>
        <w:t>diesel fuel consumed</w:t>
      </w:r>
      <w:r w:rsidRPr="00011B27">
        <w:rPr>
          <w:rFonts w:eastAsia="MS Mincho"/>
        </w:rPr>
        <w:t xml:space="preserve"> in construction work performed during the relevant month</w:t>
      </w:r>
      <w:r>
        <w:rPr>
          <w:rFonts w:eastAsia="MS Mincho"/>
        </w:rPr>
        <w:t>.</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sidRPr="00011B27">
        <w:rPr>
          <w:rFonts w:eastAsia="MS Mincho"/>
          <w:b/>
        </w:rPr>
        <w:t>Government Rebate</w:t>
      </w:r>
      <w:r w:rsidRPr="00011B27">
        <w:rPr>
          <w:rFonts w:eastAsia="MS Mincho"/>
        </w:rPr>
        <w:t xml:space="preserve"> – When the ratio MPPI/BPI is calculated to be less than 0.90, the Government is due a rebate determined in accordance with the following formula:</w:t>
      </w:r>
    </w:p>
    <w:p w:rsidR="00344374" w:rsidRDefault="00344374" w:rsidP="00344374">
      <w:pPr>
        <w:ind w:left="288" w:right="360"/>
        <w:jc w:val="center"/>
        <w:rPr>
          <w:rFonts w:eastAsia="MS Mincho"/>
        </w:rPr>
      </w:pPr>
      <w:r w:rsidRPr="00011B27">
        <w:rPr>
          <w:rFonts w:eastAsia="MS Mincho"/>
        </w:rPr>
        <w:t>Government Rebate = [0.90 – (MPPI/BPI)] (BPI) (Q)</w:t>
      </w:r>
      <w:r>
        <w:rPr>
          <w:rFonts w:eastAsia="MS Mincho"/>
        </w:rPr>
        <w:t xml:space="preserve"> (FUF)</w:t>
      </w:r>
    </w:p>
    <w:p w:rsidR="00344374" w:rsidRDefault="00344374" w:rsidP="00344374">
      <w:pPr>
        <w:numPr>
          <w:ilvl w:val="0"/>
          <w:numId w:val="5"/>
        </w:numPr>
        <w:tabs>
          <w:tab w:val="clear" w:pos="144"/>
          <w:tab w:val="num" w:pos="720"/>
        </w:tabs>
        <w:spacing w:after="0" w:line="240" w:lineRule="auto"/>
        <w:ind w:left="720" w:right="360" w:hanging="360"/>
        <w:rPr>
          <w:rFonts w:eastAsia="MS Mincho"/>
        </w:rPr>
      </w:pPr>
      <w:r>
        <w:rPr>
          <w:rFonts w:eastAsia="MS Mincho"/>
          <w:b/>
          <w:bCs/>
        </w:rPr>
        <w:t>Contractor Payment</w:t>
      </w:r>
      <w:r w:rsidRPr="00011B27">
        <w:rPr>
          <w:rFonts w:eastAsia="MS Mincho"/>
        </w:rPr>
        <w:t xml:space="preserve"> – </w:t>
      </w:r>
      <w:r>
        <w:rPr>
          <w:rFonts w:eastAsia="MS Mincho"/>
          <w:caps/>
        </w:rPr>
        <w:t>W</w:t>
      </w:r>
      <w:r>
        <w:rPr>
          <w:rFonts w:eastAsia="MS Mincho"/>
        </w:rPr>
        <w:t>hen the ratio MPPI/BPI is calculated to be greater than 1.10, the Contractor is due additional payment determined in accordance with the following formula:</w:t>
      </w:r>
    </w:p>
    <w:p w:rsidR="00344374" w:rsidRDefault="00344374" w:rsidP="00344374">
      <w:pPr>
        <w:ind w:left="288" w:right="360"/>
        <w:jc w:val="center"/>
        <w:rPr>
          <w:rFonts w:eastAsia="MS Mincho"/>
        </w:rPr>
      </w:pPr>
      <w:r>
        <w:rPr>
          <w:rFonts w:eastAsia="MS Mincho"/>
        </w:rPr>
        <w:t xml:space="preserve">Contractor Payment = [(MPPI/BPI) – 1.10] (BPI) </w:t>
      </w:r>
      <w:r w:rsidRPr="00011B27">
        <w:rPr>
          <w:rFonts w:eastAsia="MS Mincho"/>
        </w:rPr>
        <w:t>(Q)</w:t>
      </w:r>
      <w:r>
        <w:rPr>
          <w:rFonts w:eastAsia="MS Mincho"/>
        </w:rPr>
        <w:t xml:space="preserve"> (FUF)</w:t>
      </w:r>
    </w:p>
    <w:p w:rsidR="00344374" w:rsidRPr="002E3B8C" w:rsidRDefault="00344374" w:rsidP="00344374">
      <w:pPr>
        <w:ind w:left="360" w:right="360"/>
        <w:rPr>
          <w:rFonts w:eastAsia="MS Mincho"/>
        </w:rPr>
      </w:pPr>
      <w:r w:rsidRPr="00011B27">
        <w:rPr>
          <w:rFonts w:eastAsia="MS Mincho"/>
        </w:rPr>
        <w:t>The following definitions are applicable to both the Government Rebate and the Contractor Payment formulas:</w:t>
      </w:r>
    </w:p>
    <w:p w:rsidR="00344374" w:rsidRPr="002E3B8C" w:rsidRDefault="00344374" w:rsidP="00344374">
      <w:pPr>
        <w:tabs>
          <w:tab w:val="left" w:pos="1425"/>
        </w:tabs>
        <w:ind w:left="1800" w:right="360" w:hanging="1080"/>
        <w:rPr>
          <w:rFonts w:eastAsia="MS Mincho"/>
        </w:rPr>
      </w:pPr>
      <w:r w:rsidRPr="002E3B8C">
        <w:rPr>
          <w:rFonts w:eastAsia="MS Mincho"/>
        </w:rPr>
        <w:t>MPPI</w:t>
      </w:r>
      <w:r w:rsidRPr="002E3B8C">
        <w:rPr>
          <w:rFonts w:eastAsia="MS Mincho"/>
        </w:rPr>
        <w:tab/>
        <w:t>=</w:t>
      </w:r>
      <w:r w:rsidRPr="002E3B8C">
        <w:rPr>
          <w:rFonts w:eastAsia="MS Mincho"/>
        </w:rPr>
        <w:tab/>
        <w:t xml:space="preserve">Monthly Performance Price Index for the month during which </w:t>
      </w:r>
      <w:r>
        <w:rPr>
          <w:rFonts w:eastAsia="MS Mincho"/>
        </w:rPr>
        <w:t>diesel fuel is consumed</w:t>
      </w:r>
      <w:r w:rsidRPr="002E3B8C">
        <w:rPr>
          <w:rFonts w:eastAsia="MS Mincho"/>
        </w:rPr>
        <w:t xml:space="preserve"> in the performance of applicable construction work.</w:t>
      </w:r>
    </w:p>
    <w:p w:rsidR="00344374" w:rsidRPr="002E3B8C" w:rsidRDefault="00344374" w:rsidP="00344374">
      <w:pPr>
        <w:tabs>
          <w:tab w:val="left" w:pos="1425"/>
        </w:tabs>
        <w:ind w:left="1800" w:right="360" w:hanging="1080"/>
        <w:rPr>
          <w:rFonts w:eastAsia="MS Mincho"/>
        </w:rPr>
      </w:pPr>
      <w:r w:rsidRPr="002E3B8C">
        <w:rPr>
          <w:rFonts w:eastAsia="MS Mincho"/>
        </w:rPr>
        <w:t>BPI</w:t>
      </w:r>
      <w:r w:rsidRPr="002E3B8C">
        <w:rPr>
          <w:rFonts w:eastAsia="MS Mincho"/>
        </w:rPr>
        <w:tab/>
        <w:t>=</w:t>
      </w:r>
      <w:r w:rsidRPr="002E3B8C">
        <w:rPr>
          <w:rFonts w:eastAsia="MS Mincho"/>
        </w:rPr>
        <w:tab/>
        <w:t>Base Price Index that is established immediately preceding the bid opening.</w:t>
      </w:r>
    </w:p>
    <w:p w:rsidR="00344374" w:rsidRDefault="00344374" w:rsidP="00344374">
      <w:pPr>
        <w:tabs>
          <w:tab w:val="left" w:pos="1425"/>
        </w:tabs>
        <w:ind w:left="1800" w:right="360" w:hanging="1080"/>
        <w:rPr>
          <w:rFonts w:eastAsia="MS Mincho"/>
        </w:rPr>
      </w:pPr>
      <w:r w:rsidRPr="002E3B8C">
        <w:rPr>
          <w:rFonts w:eastAsia="MS Mincho"/>
        </w:rPr>
        <w:t>Q</w:t>
      </w:r>
      <w:r w:rsidRPr="002E3B8C">
        <w:rPr>
          <w:rFonts w:eastAsia="MS Mincho"/>
        </w:rPr>
        <w:tab/>
        <w:t>=</w:t>
      </w:r>
      <w:r w:rsidRPr="002E3B8C">
        <w:rPr>
          <w:rFonts w:eastAsia="MS Mincho"/>
        </w:rPr>
        <w:tab/>
      </w:r>
      <w:r w:rsidRPr="0084242C">
        <w:rPr>
          <w:rFonts w:eastAsia="MS Mincho"/>
        </w:rPr>
        <w:t>Quantity of work on the project during the progress payment period for eligible pay items shown in Table 1 below.  The Government will convert work quantities, as necessary, to agree with the units associated with the applicable Fuel Usage Factor</w:t>
      </w:r>
      <w:r>
        <w:rPr>
          <w:rFonts w:eastAsia="MS Mincho"/>
        </w:rPr>
        <w:t>.</w:t>
      </w:r>
    </w:p>
    <w:p w:rsidR="00344374" w:rsidRPr="0084242C" w:rsidRDefault="00344374" w:rsidP="00344374">
      <w:pPr>
        <w:tabs>
          <w:tab w:val="left" w:pos="1425"/>
        </w:tabs>
        <w:ind w:left="1800" w:right="360" w:hanging="1080"/>
        <w:rPr>
          <w:rFonts w:eastAsia="MS Mincho"/>
        </w:rPr>
      </w:pPr>
      <w:r>
        <w:rPr>
          <w:noProof/>
        </w:rPr>
        <w:lastRenderedPageBreak/>
        <mc:AlternateContent>
          <mc:Choice Requires="wps">
            <w:drawing>
              <wp:anchor distT="0" distB="0" distL="114300" distR="114300" simplePos="0" relativeHeight="251665408" behindDoc="0" locked="0" layoutInCell="1" allowOverlap="1" wp14:anchorId="42EAC3EA" wp14:editId="436ACA8A">
                <wp:simplePos x="0" y="0"/>
                <wp:positionH relativeFrom="margin">
                  <wp:posOffset>0</wp:posOffset>
                </wp:positionH>
                <wp:positionV relativeFrom="margin">
                  <wp:align>bottom</wp:align>
                </wp:positionV>
                <wp:extent cx="5943600" cy="82296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3F499" id="Rectangle 68" o:spid="_x0000_s1026" style="position:absolute;margin-left:0;margin-top:0;width:468pt;height:9in;z-index:251665408;visibility:visible;mso-wrap-style:square;mso-height-percent:0;mso-wrap-distance-left:9pt;mso-wrap-distance-top:0;mso-wrap-distance-right:9pt;mso-wrap-distance-bottom:0;mso-position-horizontal:absolute;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KfOwcm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Pr>
          <w:rFonts w:eastAsia="MS Mincho"/>
        </w:rPr>
        <w:t>FUF</w:t>
      </w:r>
      <w:r>
        <w:rPr>
          <w:rFonts w:eastAsia="MS Mincho"/>
        </w:rPr>
        <w:tab/>
        <w:t>=</w:t>
      </w:r>
      <w:r>
        <w:rPr>
          <w:rFonts w:eastAsia="MS Mincho"/>
        </w:rPr>
        <w:tab/>
      </w:r>
      <w:r w:rsidRPr="0084242C">
        <w:rPr>
          <w:rFonts w:eastAsia="MS Mincho"/>
        </w:rPr>
        <w:t>Fuel Usage Factor shown in Table 1 below applicable to both diesel and gasoline.</w:t>
      </w:r>
    </w:p>
    <w:tbl>
      <w:tblPr>
        <w:tblW w:w="8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1927"/>
        <w:gridCol w:w="1823"/>
      </w:tblGrid>
      <w:tr w:rsidR="00344374" w:rsidRPr="00502192" w:rsidTr="009536E0">
        <w:trPr>
          <w:tblHeader/>
        </w:trPr>
        <w:tc>
          <w:tcPr>
            <w:tcW w:w="0" w:type="auto"/>
            <w:gridSpan w:val="3"/>
            <w:tcBorders>
              <w:top w:val="double" w:sz="4" w:space="0" w:color="auto"/>
              <w:left w:val="double" w:sz="4" w:space="0" w:color="auto"/>
              <w:right w:val="double" w:sz="4" w:space="0" w:color="auto"/>
            </w:tcBorders>
            <w:shd w:val="clear" w:color="auto" w:fill="F3F3F3"/>
          </w:tcPr>
          <w:p w:rsidR="00344374" w:rsidRPr="00502192" w:rsidRDefault="00344374" w:rsidP="009536E0">
            <w:pPr>
              <w:pStyle w:val="NoSpacing"/>
            </w:pPr>
            <w:r w:rsidRPr="00502192">
              <w:t>Table 1 – Eligible Pay Items For Price Adjustments and Associated Fuel Usage Factors</w:t>
            </w:r>
          </w:p>
        </w:tc>
      </w:tr>
      <w:tr w:rsidR="00344374" w:rsidRPr="00502192" w:rsidTr="009536E0">
        <w:trPr>
          <w:tblHeader/>
        </w:trPr>
        <w:tc>
          <w:tcPr>
            <w:tcW w:w="0" w:type="auto"/>
            <w:tcBorders>
              <w:left w:val="double" w:sz="4" w:space="0" w:color="auto"/>
              <w:bottom w:val="double" w:sz="4" w:space="0" w:color="auto"/>
            </w:tcBorders>
            <w:shd w:val="clear" w:color="auto" w:fill="F3F3F3"/>
          </w:tcPr>
          <w:p w:rsidR="00344374" w:rsidRPr="00502192" w:rsidRDefault="00344374" w:rsidP="009536E0">
            <w:pPr>
              <w:pStyle w:val="NoSpacing"/>
            </w:pPr>
            <w:r w:rsidRPr="00502192">
              <w:t>Eligible Pay Items</w:t>
            </w:r>
          </w:p>
        </w:tc>
        <w:tc>
          <w:tcPr>
            <w:tcW w:w="0" w:type="auto"/>
            <w:tcBorders>
              <w:bottom w:val="double" w:sz="4" w:space="0" w:color="auto"/>
            </w:tcBorders>
            <w:shd w:val="clear" w:color="auto" w:fill="F3F3F3"/>
          </w:tcPr>
          <w:p w:rsidR="00344374" w:rsidRPr="00502192" w:rsidRDefault="00344374" w:rsidP="009536E0">
            <w:pPr>
              <w:pStyle w:val="NoSpacing"/>
            </w:pPr>
            <w:r w:rsidRPr="00502192">
              <w:t>Fuel Usage Factor</w:t>
            </w:r>
          </w:p>
          <w:p w:rsidR="00344374" w:rsidRPr="00502192" w:rsidRDefault="00344374" w:rsidP="009536E0">
            <w:pPr>
              <w:pStyle w:val="NoSpacing"/>
            </w:pPr>
            <w:r w:rsidRPr="00502192">
              <w:t>U.S. Customary Units</w:t>
            </w:r>
          </w:p>
        </w:tc>
        <w:tc>
          <w:tcPr>
            <w:tcW w:w="0" w:type="auto"/>
            <w:tcBorders>
              <w:bottom w:val="double" w:sz="4" w:space="0" w:color="auto"/>
              <w:right w:val="double" w:sz="4" w:space="0" w:color="auto"/>
            </w:tcBorders>
            <w:shd w:val="clear" w:color="auto" w:fill="F3F3F3"/>
          </w:tcPr>
          <w:p w:rsidR="00344374" w:rsidRPr="00502192" w:rsidRDefault="00344374" w:rsidP="009536E0">
            <w:pPr>
              <w:pStyle w:val="NoSpacing"/>
            </w:pPr>
            <w:r w:rsidRPr="00502192">
              <w:t>Fuel Usage Factor</w:t>
            </w:r>
          </w:p>
          <w:p w:rsidR="00344374" w:rsidRPr="00502192" w:rsidRDefault="00344374" w:rsidP="009536E0">
            <w:pPr>
              <w:pStyle w:val="NoSpacing"/>
            </w:pPr>
            <w:r w:rsidRPr="00502192">
              <w:t>Metric Units</w:t>
            </w:r>
          </w:p>
        </w:tc>
      </w:tr>
      <w:tr w:rsidR="00344374" w:rsidRPr="00502192" w:rsidTr="009536E0">
        <w:trPr>
          <w:cantSplit/>
        </w:trPr>
        <w:tc>
          <w:tcPr>
            <w:tcW w:w="0" w:type="auto"/>
            <w:gridSpan w:val="3"/>
            <w:tcBorders>
              <w:top w:val="double" w:sz="4" w:space="0" w:color="auto"/>
              <w:left w:val="double" w:sz="4" w:space="0" w:color="auto"/>
              <w:right w:val="double" w:sz="4" w:space="0" w:color="auto"/>
            </w:tcBorders>
            <w:shd w:val="clear" w:color="auto" w:fill="F3F3F3"/>
          </w:tcPr>
          <w:p w:rsidR="00344374" w:rsidRPr="00502192" w:rsidRDefault="00344374" w:rsidP="009536E0">
            <w:pPr>
              <w:pStyle w:val="NoSpacing"/>
            </w:pPr>
            <w:r w:rsidRPr="00502192">
              <w:t>Earthwork:</w:t>
            </w:r>
          </w:p>
        </w:tc>
      </w:tr>
      <w:tr w:rsidR="00344374" w:rsidRPr="00502192" w:rsidTr="009536E0">
        <w:tc>
          <w:tcPr>
            <w:tcW w:w="0" w:type="auto"/>
            <w:tcBorders>
              <w:left w:val="double" w:sz="4" w:space="0" w:color="auto"/>
            </w:tcBorders>
          </w:tcPr>
          <w:p w:rsidR="00344374" w:rsidRPr="00502192" w:rsidRDefault="00344374" w:rsidP="009536E0">
            <w:pPr>
              <w:pStyle w:val="NoSpacing"/>
              <w:rPr>
                <w:sz w:val="20"/>
                <w:szCs w:val="20"/>
              </w:rPr>
            </w:pPr>
            <w:r w:rsidRPr="00502192">
              <w:rPr>
                <w:sz w:val="20"/>
                <w:szCs w:val="20"/>
              </w:rPr>
              <w:t>Section 204 – Excavation and Embankment</w:t>
            </w:r>
          </w:p>
          <w:p w:rsidR="00344374" w:rsidRPr="00502192" w:rsidRDefault="00344374" w:rsidP="009536E0">
            <w:pPr>
              <w:pStyle w:val="NoSpacing"/>
              <w:rPr>
                <w:sz w:val="20"/>
                <w:szCs w:val="20"/>
              </w:rPr>
            </w:pPr>
            <w:r w:rsidRPr="00502192">
              <w:rPr>
                <w:sz w:val="20"/>
                <w:szCs w:val="20"/>
              </w:rPr>
              <w:t xml:space="preserve">  20401 Roadway excavation</w:t>
            </w:r>
          </w:p>
          <w:p w:rsidR="00344374" w:rsidRPr="00502192" w:rsidRDefault="00344374" w:rsidP="009536E0">
            <w:pPr>
              <w:pStyle w:val="NoSpacing"/>
              <w:rPr>
                <w:sz w:val="20"/>
                <w:szCs w:val="20"/>
              </w:rPr>
            </w:pPr>
            <w:r w:rsidRPr="00502192">
              <w:rPr>
                <w:sz w:val="20"/>
                <w:szCs w:val="20"/>
              </w:rPr>
              <w:t xml:space="preserve">  20402 Sub</w:t>
            </w:r>
            <w:r>
              <w:rPr>
                <w:sz w:val="20"/>
                <w:szCs w:val="20"/>
              </w:rPr>
              <w:t>-</w:t>
            </w:r>
            <w:r w:rsidRPr="00502192">
              <w:rPr>
                <w:sz w:val="20"/>
                <w:szCs w:val="20"/>
              </w:rPr>
              <w:t>excavation</w:t>
            </w:r>
          </w:p>
          <w:p w:rsidR="00344374" w:rsidRPr="00502192" w:rsidRDefault="00344374" w:rsidP="009536E0">
            <w:pPr>
              <w:pStyle w:val="NoSpacing"/>
              <w:rPr>
                <w:sz w:val="20"/>
                <w:szCs w:val="20"/>
              </w:rPr>
            </w:pPr>
            <w:r w:rsidRPr="00502192">
              <w:rPr>
                <w:sz w:val="20"/>
                <w:szCs w:val="20"/>
              </w:rPr>
              <w:t xml:space="preserve">  20403 Unclassified borrow</w:t>
            </w:r>
          </w:p>
          <w:p w:rsidR="00344374" w:rsidRPr="00502192" w:rsidRDefault="00344374" w:rsidP="009536E0">
            <w:pPr>
              <w:pStyle w:val="NoSpacing"/>
              <w:rPr>
                <w:sz w:val="20"/>
                <w:szCs w:val="20"/>
              </w:rPr>
            </w:pPr>
            <w:r w:rsidRPr="00502192">
              <w:rPr>
                <w:sz w:val="20"/>
                <w:szCs w:val="20"/>
              </w:rPr>
              <w:t xml:space="preserve">  20410 Select borrow</w:t>
            </w:r>
          </w:p>
          <w:p w:rsidR="00344374" w:rsidRPr="00502192" w:rsidRDefault="00344374" w:rsidP="009536E0">
            <w:pPr>
              <w:pStyle w:val="NoSpacing"/>
              <w:rPr>
                <w:sz w:val="20"/>
                <w:szCs w:val="20"/>
              </w:rPr>
            </w:pPr>
            <w:r w:rsidRPr="00502192">
              <w:rPr>
                <w:sz w:val="20"/>
                <w:szCs w:val="20"/>
              </w:rPr>
              <w:t xml:space="preserve">  20411 Select borrow</w:t>
            </w:r>
          </w:p>
          <w:p w:rsidR="00344374" w:rsidRPr="00502192" w:rsidRDefault="00344374" w:rsidP="009536E0">
            <w:pPr>
              <w:pStyle w:val="NoSpacing"/>
              <w:rPr>
                <w:sz w:val="20"/>
                <w:szCs w:val="20"/>
              </w:rPr>
            </w:pPr>
            <w:r w:rsidRPr="00502192">
              <w:rPr>
                <w:sz w:val="20"/>
                <w:szCs w:val="20"/>
              </w:rPr>
              <w:t xml:space="preserve">  20415 Select topping</w:t>
            </w:r>
          </w:p>
          <w:p w:rsidR="00344374" w:rsidRPr="00502192" w:rsidRDefault="00344374" w:rsidP="009536E0">
            <w:pPr>
              <w:pStyle w:val="NoSpacing"/>
              <w:rPr>
                <w:sz w:val="20"/>
                <w:szCs w:val="20"/>
              </w:rPr>
            </w:pPr>
            <w:r w:rsidRPr="00502192">
              <w:rPr>
                <w:sz w:val="20"/>
                <w:szCs w:val="20"/>
              </w:rPr>
              <w:t xml:space="preserve">  20416 Select topping</w:t>
            </w:r>
          </w:p>
          <w:p w:rsidR="00344374" w:rsidRPr="00502192" w:rsidRDefault="00344374" w:rsidP="009536E0">
            <w:pPr>
              <w:pStyle w:val="NoSpacing"/>
              <w:rPr>
                <w:sz w:val="20"/>
                <w:szCs w:val="20"/>
              </w:rPr>
            </w:pPr>
            <w:r w:rsidRPr="00502192">
              <w:rPr>
                <w:sz w:val="20"/>
                <w:szCs w:val="20"/>
              </w:rPr>
              <w:t xml:space="preserve">  20420 Embankment construction</w:t>
            </w:r>
          </w:p>
          <w:p w:rsidR="00344374" w:rsidRPr="00502192" w:rsidRDefault="00344374" w:rsidP="009536E0">
            <w:pPr>
              <w:pStyle w:val="NoSpacing"/>
              <w:rPr>
                <w:sz w:val="20"/>
                <w:szCs w:val="20"/>
              </w:rPr>
            </w:pPr>
            <w:r w:rsidRPr="00502192">
              <w:rPr>
                <w:sz w:val="20"/>
                <w:szCs w:val="20"/>
              </w:rPr>
              <w:t xml:space="preserve">  20421 Rock excavation</w:t>
            </w:r>
          </w:p>
        </w:tc>
        <w:tc>
          <w:tcPr>
            <w:tcW w:w="0" w:type="auto"/>
          </w:tcPr>
          <w:p w:rsidR="00344374" w:rsidRPr="00502192" w:rsidRDefault="00344374" w:rsidP="009536E0">
            <w:pPr>
              <w:pStyle w:val="NoSpacing"/>
              <w:rPr>
                <w:sz w:val="20"/>
                <w:szCs w:val="20"/>
              </w:rPr>
            </w:pPr>
            <w:r w:rsidRPr="00502192">
              <w:rPr>
                <w:sz w:val="20"/>
                <w:szCs w:val="20"/>
              </w:rPr>
              <w:t>0.30 gallons per cubic yard</w:t>
            </w:r>
          </w:p>
        </w:tc>
        <w:tc>
          <w:tcPr>
            <w:tcW w:w="0" w:type="auto"/>
            <w:tcBorders>
              <w:right w:val="double" w:sz="4" w:space="0" w:color="auto"/>
            </w:tcBorders>
          </w:tcPr>
          <w:p w:rsidR="00344374" w:rsidRPr="00502192" w:rsidRDefault="00344374" w:rsidP="009536E0">
            <w:pPr>
              <w:pStyle w:val="NoSpacing"/>
              <w:rPr>
                <w:sz w:val="20"/>
                <w:szCs w:val="20"/>
              </w:rPr>
            </w:pPr>
            <w:r w:rsidRPr="00502192">
              <w:rPr>
                <w:sz w:val="20"/>
                <w:szCs w:val="20"/>
              </w:rPr>
              <w:t>0.39 gallons per cubic meter</w:t>
            </w:r>
          </w:p>
        </w:tc>
      </w:tr>
      <w:tr w:rsidR="00344374" w:rsidRPr="00502192" w:rsidTr="009536E0">
        <w:trPr>
          <w:cantSplit/>
        </w:trPr>
        <w:tc>
          <w:tcPr>
            <w:tcW w:w="0" w:type="auto"/>
            <w:gridSpan w:val="3"/>
            <w:tcBorders>
              <w:left w:val="double" w:sz="4" w:space="0" w:color="auto"/>
              <w:right w:val="double" w:sz="4" w:space="0" w:color="auto"/>
            </w:tcBorders>
            <w:shd w:val="clear" w:color="auto" w:fill="F3F3F3"/>
          </w:tcPr>
          <w:p w:rsidR="00344374" w:rsidRPr="00502192" w:rsidRDefault="00344374" w:rsidP="009536E0">
            <w:pPr>
              <w:pStyle w:val="NoSpacing"/>
            </w:pPr>
            <w:r w:rsidRPr="00502192">
              <w:t>Aggregate Courses:</w:t>
            </w:r>
          </w:p>
        </w:tc>
      </w:tr>
      <w:tr w:rsidR="00344374" w:rsidRPr="00502192" w:rsidTr="009536E0">
        <w:tc>
          <w:tcPr>
            <w:tcW w:w="0" w:type="auto"/>
            <w:tcBorders>
              <w:left w:val="double" w:sz="4" w:space="0" w:color="auto"/>
            </w:tcBorders>
          </w:tcPr>
          <w:p w:rsidR="00344374" w:rsidRPr="00502192" w:rsidRDefault="00344374" w:rsidP="009536E0">
            <w:pPr>
              <w:pStyle w:val="NoSpacing"/>
              <w:rPr>
                <w:sz w:val="20"/>
                <w:szCs w:val="20"/>
              </w:rPr>
            </w:pPr>
            <w:r w:rsidRPr="00502192">
              <w:rPr>
                <w:sz w:val="20"/>
                <w:szCs w:val="20"/>
              </w:rPr>
              <w:t>Section 301 – Untreated Aggregate Courses</w:t>
            </w:r>
          </w:p>
          <w:p w:rsidR="00344374" w:rsidRPr="00502192" w:rsidRDefault="00344374" w:rsidP="009536E0">
            <w:pPr>
              <w:pStyle w:val="NoSpacing"/>
              <w:rPr>
                <w:sz w:val="20"/>
                <w:szCs w:val="20"/>
              </w:rPr>
            </w:pPr>
            <w:r w:rsidRPr="00502192">
              <w:rPr>
                <w:sz w:val="20"/>
                <w:szCs w:val="20"/>
              </w:rPr>
              <w:t xml:space="preserve">  30101 Aggregate base</w:t>
            </w:r>
          </w:p>
          <w:p w:rsidR="00344374" w:rsidRPr="00502192" w:rsidRDefault="00344374" w:rsidP="009536E0">
            <w:pPr>
              <w:pStyle w:val="NoSpacing"/>
              <w:rPr>
                <w:sz w:val="20"/>
                <w:szCs w:val="20"/>
              </w:rPr>
            </w:pPr>
            <w:r w:rsidRPr="00502192">
              <w:rPr>
                <w:sz w:val="20"/>
                <w:szCs w:val="20"/>
              </w:rPr>
              <w:t xml:space="preserve">  30102 Aggregate base*</w:t>
            </w:r>
          </w:p>
          <w:p w:rsidR="00344374" w:rsidRPr="00502192" w:rsidRDefault="00344374" w:rsidP="009536E0">
            <w:pPr>
              <w:pStyle w:val="NoSpacing"/>
              <w:rPr>
                <w:sz w:val="20"/>
                <w:szCs w:val="20"/>
              </w:rPr>
            </w:pPr>
            <w:r w:rsidRPr="00502192">
              <w:rPr>
                <w:sz w:val="20"/>
                <w:szCs w:val="20"/>
              </w:rPr>
              <w:t xml:space="preserve">  30103 Aggregate base*</w:t>
            </w:r>
          </w:p>
          <w:p w:rsidR="00344374" w:rsidRPr="00502192" w:rsidRDefault="00344374" w:rsidP="009536E0">
            <w:pPr>
              <w:pStyle w:val="NoSpacing"/>
              <w:rPr>
                <w:sz w:val="20"/>
                <w:szCs w:val="20"/>
              </w:rPr>
            </w:pPr>
            <w:r w:rsidRPr="00502192">
              <w:rPr>
                <w:sz w:val="20"/>
                <w:szCs w:val="20"/>
              </w:rPr>
              <w:t xml:space="preserve">  30105 Subbase</w:t>
            </w:r>
          </w:p>
          <w:p w:rsidR="00344374" w:rsidRPr="00502192" w:rsidRDefault="00344374" w:rsidP="009536E0">
            <w:pPr>
              <w:pStyle w:val="NoSpacing"/>
              <w:rPr>
                <w:sz w:val="20"/>
                <w:szCs w:val="20"/>
              </w:rPr>
            </w:pPr>
            <w:r w:rsidRPr="00502192">
              <w:rPr>
                <w:sz w:val="20"/>
                <w:szCs w:val="20"/>
              </w:rPr>
              <w:t xml:space="preserve">  30106 Subbase*</w:t>
            </w:r>
          </w:p>
          <w:p w:rsidR="00344374" w:rsidRPr="00502192" w:rsidRDefault="00344374" w:rsidP="009536E0">
            <w:pPr>
              <w:pStyle w:val="NoSpacing"/>
              <w:rPr>
                <w:sz w:val="20"/>
                <w:szCs w:val="20"/>
              </w:rPr>
            </w:pPr>
            <w:r w:rsidRPr="00502192">
              <w:rPr>
                <w:sz w:val="20"/>
                <w:szCs w:val="20"/>
              </w:rPr>
              <w:t xml:space="preserve">  30107 Subbase*</w:t>
            </w:r>
          </w:p>
          <w:p w:rsidR="00344374" w:rsidRPr="00502192" w:rsidRDefault="00344374" w:rsidP="009536E0">
            <w:pPr>
              <w:pStyle w:val="NoSpacing"/>
              <w:rPr>
                <w:sz w:val="20"/>
                <w:szCs w:val="20"/>
              </w:rPr>
            </w:pPr>
            <w:r w:rsidRPr="00502192">
              <w:rPr>
                <w:sz w:val="20"/>
                <w:szCs w:val="20"/>
              </w:rPr>
              <w:t xml:space="preserve">  30110 Aggregate Surface Course</w:t>
            </w:r>
          </w:p>
          <w:p w:rsidR="00344374" w:rsidRPr="00502192" w:rsidRDefault="00344374" w:rsidP="009536E0">
            <w:pPr>
              <w:pStyle w:val="NoSpacing"/>
              <w:rPr>
                <w:sz w:val="20"/>
                <w:szCs w:val="20"/>
              </w:rPr>
            </w:pPr>
            <w:r w:rsidRPr="00502192">
              <w:rPr>
                <w:sz w:val="20"/>
                <w:szCs w:val="20"/>
              </w:rPr>
              <w:t xml:space="preserve">  30111 Aggregate Surface Course*</w:t>
            </w:r>
          </w:p>
        </w:tc>
        <w:tc>
          <w:tcPr>
            <w:tcW w:w="0" w:type="auto"/>
          </w:tcPr>
          <w:p w:rsidR="00344374" w:rsidRPr="00502192" w:rsidRDefault="00344374" w:rsidP="009536E0">
            <w:pPr>
              <w:pStyle w:val="NoSpacing"/>
              <w:rPr>
                <w:sz w:val="20"/>
                <w:szCs w:val="20"/>
              </w:rPr>
            </w:pPr>
            <w:r w:rsidRPr="00502192">
              <w:rPr>
                <w:sz w:val="20"/>
                <w:szCs w:val="20"/>
              </w:rPr>
              <w:t>0.70 gallons per ton</w:t>
            </w:r>
          </w:p>
        </w:tc>
        <w:tc>
          <w:tcPr>
            <w:tcW w:w="0" w:type="auto"/>
            <w:tcBorders>
              <w:right w:val="double" w:sz="4" w:space="0" w:color="auto"/>
            </w:tcBorders>
          </w:tcPr>
          <w:p w:rsidR="00344374" w:rsidRPr="00502192" w:rsidRDefault="00344374" w:rsidP="009536E0">
            <w:pPr>
              <w:pStyle w:val="NoSpacing"/>
              <w:rPr>
                <w:sz w:val="20"/>
                <w:szCs w:val="20"/>
              </w:rPr>
            </w:pPr>
            <w:r w:rsidRPr="00502192">
              <w:rPr>
                <w:sz w:val="20"/>
                <w:szCs w:val="20"/>
              </w:rPr>
              <w:t>0.77 gallons per metric ton</w:t>
            </w:r>
          </w:p>
        </w:tc>
      </w:tr>
      <w:tr w:rsidR="00344374" w:rsidRPr="00502192" w:rsidTr="009536E0">
        <w:tc>
          <w:tcPr>
            <w:tcW w:w="0" w:type="auto"/>
            <w:tcBorders>
              <w:left w:val="double" w:sz="4" w:space="0" w:color="auto"/>
            </w:tcBorders>
          </w:tcPr>
          <w:p w:rsidR="00344374" w:rsidRPr="00502192" w:rsidRDefault="00344374" w:rsidP="009536E0">
            <w:pPr>
              <w:pStyle w:val="NoSpacing"/>
              <w:rPr>
                <w:sz w:val="20"/>
                <w:szCs w:val="20"/>
              </w:rPr>
            </w:pPr>
            <w:r w:rsidRPr="00502192">
              <w:rPr>
                <w:sz w:val="20"/>
                <w:szCs w:val="20"/>
              </w:rPr>
              <w:t>Section 302 – Treated Aggregate Courses</w:t>
            </w:r>
          </w:p>
          <w:p w:rsidR="00344374" w:rsidRPr="00502192" w:rsidRDefault="00344374" w:rsidP="009536E0">
            <w:pPr>
              <w:pStyle w:val="NoSpacing"/>
              <w:rPr>
                <w:sz w:val="20"/>
                <w:szCs w:val="20"/>
              </w:rPr>
            </w:pPr>
            <w:r w:rsidRPr="00502192">
              <w:rPr>
                <w:sz w:val="20"/>
                <w:szCs w:val="20"/>
              </w:rPr>
              <w:t xml:space="preserve">  30201 Treated aggregate course</w:t>
            </w:r>
          </w:p>
          <w:p w:rsidR="00344374" w:rsidRPr="00502192" w:rsidRDefault="00344374" w:rsidP="009536E0">
            <w:pPr>
              <w:pStyle w:val="NoSpacing"/>
              <w:rPr>
                <w:sz w:val="20"/>
                <w:szCs w:val="20"/>
              </w:rPr>
            </w:pPr>
            <w:r w:rsidRPr="00502192">
              <w:rPr>
                <w:sz w:val="20"/>
                <w:szCs w:val="20"/>
              </w:rPr>
              <w:t xml:space="preserve">  30202 Treated aggregate course*</w:t>
            </w:r>
          </w:p>
        </w:tc>
        <w:tc>
          <w:tcPr>
            <w:tcW w:w="0" w:type="auto"/>
          </w:tcPr>
          <w:p w:rsidR="00344374" w:rsidRPr="00502192" w:rsidRDefault="00344374" w:rsidP="009536E0">
            <w:pPr>
              <w:pStyle w:val="NoSpacing"/>
              <w:rPr>
                <w:sz w:val="20"/>
                <w:szCs w:val="20"/>
              </w:rPr>
            </w:pPr>
            <w:r w:rsidRPr="00502192">
              <w:rPr>
                <w:sz w:val="20"/>
                <w:szCs w:val="20"/>
              </w:rPr>
              <w:t>0.70 gallons per ton</w:t>
            </w:r>
          </w:p>
        </w:tc>
        <w:tc>
          <w:tcPr>
            <w:tcW w:w="0" w:type="auto"/>
            <w:tcBorders>
              <w:right w:val="double" w:sz="4" w:space="0" w:color="auto"/>
            </w:tcBorders>
          </w:tcPr>
          <w:p w:rsidR="00344374" w:rsidRPr="00502192" w:rsidRDefault="00344374" w:rsidP="009536E0">
            <w:pPr>
              <w:pStyle w:val="NoSpacing"/>
              <w:rPr>
                <w:sz w:val="20"/>
                <w:szCs w:val="20"/>
              </w:rPr>
            </w:pPr>
            <w:r w:rsidRPr="00502192">
              <w:rPr>
                <w:sz w:val="20"/>
                <w:szCs w:val="20"/>
              </w:rPr>
              <w:t>0.77 gallons per metric ton</w:t>
            </w:r>
          </w:p>
        </w:tc>
      </w:tr>
      <w:tr w:rsidR="00344374" w:rsidRPr="00502192" w:rsidTr="009536E0">
        <w:tc>
          <w:tcPr>
            <w:tcW w:w="0" w:type="auto"/>
            <w:tcBorders>
              <w:left w:val="double" w:sz="4" w:space="0" w:color="auto"/>
            </w:tcBorders>
          </w:tcPr>
          <w:p w:rsidR="00344374" w:rsidRPr="00502192" w:rsidRDefault="00344374" w:rsidP="009536E0">
            <w:pPr>
              <w:pStyle w:val="NoSpacing"/>
              <w:rPr>
                <w:sz w:val="20"/>
                <w:szCs w:val="20"/>
              </w:rPr>
            </w:pPr>
            <w:r w:rsidRPr="00502192">
              <w:rPr>
                <w:sz w:val="20"/>
                <w:szCs w:val="20"/>
              </w:rPr>
              <w:t>Section 304 – Aggregate Stabilization</w:t>
            </w:r>
          </w:p>
          <w:p w:rsidR="00344374" w:rsidRPr="00502192" w:rsidRDefault="00344374" w:rsidP="009536E0">
            <w:pPr>
              <w:pStyle w:val="NoSpacing"/>
              <w:rPr>
                <w:sz w:val="20"/>
                <w:szCs w:val="20"/>
              </w:rPr>
            </w:pPr>
            <w:r w:rsidRPr="00502192">
              <w:rPr>
                <w:sz w:val="20"/>
                <w:szCs w:val="20"/>
              </w:rPr>
              <w:t xml:space="preserve">  30401 Aggregate stabilization imported aggregate</w:t>
            </w:r>
          </w:p>
          <w:p w:rsidR="00344374" w:rsidRPr="00502192" w:rsidRDefault="00344374" w:rsidP="009536E0">
            <w:pPr>
              <w:pStyle w:val="NoSpacing"/>
              <w:rPr>
                <w:sz w:val="20"/>
                <w:szCs w:val="20"/>
              </w:rPr>
            </w:pPr>
            <w:r w:rsidRPr="00502192">
              <w:rPr>
                <w:sz w:val="20"/>
                <w:szCs w:val="20"/>
              </w:rPr>
              <w:t xml:space="preserve">  30402 Aggregate stabilization imported aggregate*</w:t>
            </w:r>
          </w:p>
          <w:p w:rsidR="00344374" w:rsidRPr="00502192" w:rsidRDefault="00344374" w:rsidP="009536E0">
            <w:pPr>
              <w:pStyle w:val="NoSpacing"/>
              <w:rPr>
                <w:sz w:val="20"/>
                <w:szCs w:val="20"/>
              </w:rPr>
            </w:pPr>
            <w:r w:rsidRPr="00502192">
              <w:rPr>
                <w:sz w:val="20"/>
                <w:szCs w:val="20"/>
              </w:rPr>
              <w:t xml:space="preserve">  30405 Aggregate stabilization in-place aggregate*</w:t>
            </w:r>
          </w:p>
          <w:p w:rsidR="00344374" w:rsidRPr="00502192" w:rsidRDefault="00344374" w:rsidP="009536E0">
            <w:pPr>
              <w:pStyle w:val="NoSpacing"/>
              <w:rPr>
                <w:sz w:val="20"/>
                <w:szCs w:val="20"/>
              </w:rPr>
            </w:pPr>
            <w:r w:rsidRPr="00502192">
              <w:rPr>
                <w:sz w:val="20"/>
                <w:szCs w:val="20"/>
              </w:rPr>
              <w:t xml:space="preserve">  30410 Aggregate stabilization imported surface</w:t>
            </w:r>
          </w:p>
          <w:p w:rsidR="00344374" w:rsidRPr="00502192" w:rsidRDefault="00344374" w:rsidP="009536E0">
            <w:pPr>
              <w:pStyle w:val="NoSpacing"/>
              <w:rPr>
                <w:sz w:val="20"/>
                <w:szCs w:val="20"/>
              </w:rPr>
            </w:pPr>
            <w:r>
              <w:rPr>
                <w:sz w:val="20"/>
                <w:szCs w:val="20"/>
              </w:rPr>
              <w:t xml:space="preserve">   </w:t>
            </w:r>
            <w:r w:rsidRPr="00502192">
              <w:rPr>
                <w:sz w:val="20"/>
                <w:szCs w:val="20"/>
              </w:rPr>
              <w:t xml:space="preserve">  course aggregate*</w:t>
            </w:r>
          </w:p>
          <w:p w:rsidR="00344374" w:rsidRPr="00502192" w:rsidRDefault="00344374" w:rsidP="009536E0">
            <w:pPr>
              <w:pStyle w:val="NoSpacing"/>
              <w:rPr>
                <w:sz w:val="20"/>
                <w:szCs w:val="20"/>
              </w:rPr>
            </w:pPr>
            <w:r w:rsidRPr="00502192">
              <w:rPr>
                <w:sz w:val="20"/>
                <w:szCs w:val="20"/>
              </w:rPr>
              <w:t xml:space="preserve">  30411 Aggregate stabilization imported surface</w:t>
            </w:r>
          </w:p>
          <w:p w:rsidR="00344374" w:rsidRPr="00502192" w:rsidRDefault="00344374" w:rsidP="009536E0">
            <w:pPr>
              <w:pStyle w:val="NoSpacing"/>
              <w:rPr>
                <w:sz w:val="20"/>
                <w:szCs w:val="20"/>
              </w:rPr>
            </w:pPr>
            <w:r>
              <w:rPr>
                <w:sz w:val="20"/>
                <w:szCs w:val="20"/>
              </w:rPr>
              <w:t xml:space="preserve">   </w:t>
            </w:r>
            <w:r w:rsidRPr="00502192">
              <w:rPr>
                <w:sz w:val="20"/>
                <w:szCs w:val="20"/>
              </w:rPr>
              <w:t xml:space="preserve">  course aggregate*</w:t>
            </w:r>
          </w:p>
        </w:tc>
        <w:tc>
          <w:tcPr>
            <w:tcW w:w="0" w:type="auto"/>
          </w:tcPr>
          <w:p w:rsidR="00344374" w:rsidRPr="00502192" w:rsidRDefault="00344374" w:rsidP="009536E0">
            <w:pPr>
              <w:pStyle w:val="NoSpacing"/>
              <w:rPr>
                <w:sz w:val="20"/>
                <w:szCs w:val="20"/>
              </w:rPr>
            </w:pPr>
            <w:r w:rsidRPr="00502192">
              <w:rPr>
                <w:sz w:val="20"/>
                <w:szCs w:val="20"/>
              </w:rPr>
              <w:t>0.70 gallons per ton</w:t>
            </w:r>
          </w:p>
        </w:tc>
        <w:tc>
          <w:tcPr>
            <w:tcW w:w="0" w:type="auto"/>
            <w:tcBorders>
              <w:right w:val="double" w:sz="4" w:space="0" w:color="auto"/>
            </w:tcBorders>
          </w:tcPr>
          <w:p w:rsidR="00344374" w:rsidRPr="00502192" w:rsidRDefault="00344374" w:rsidP="009536E0">
            <w:pPr>
              <w:pStyle w:val="NoSpacing"/>
              <w:rPr>
                <w:sz w:val="20"/>
                <w:szCs w:val="20"/>
              </w:rPr>
            </w:pPr>
            <w:r w:rsidRPr="00502192">
              <w:rPr>
                <w:sz w:val="20"/>
                <w:szCs w:val="20"/>
              </w:rPr>
              <w:t>0.77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309 – Emulsified Asphalt Treated Base Course</w:t>
            </w:r>
          </w:p>
          <w:p w:rsidR="00344374" w:rsidRPr="00502192" w:rsidRDefault="00344374" w:rsidP="009536E0">
            <w:pPr>
              <w:pStyle w:val="NoSpacing"/>
              <w:rPr>
                <w:sz w:val="20"/>
                <w:szCs w:val="20"/>
              </w:rPr>
            </w:pPr>
            <w:r w:rsidRPr="00502192">
              <w:rPr>
                <w:sz w:val="20"/>
                <w:szCs w:val="20"/>
              </w:rPr>
              <w:t xml:space="preserve">  30901 Emulsified asphalt treated aggregate base</w:t>
            </w:r>
          </w:p>
          <w:p w:rsidR="00344374" w:rsidRPr="00502192" w:rsidRDefault="00344374" w:rsidP="009536E0">
            <w:pPr>
              <w:pStyle w:val="NoSpacing"/>
              <w:rPr>
                <w:sz w:val="20"/>
                <w:szCs w:val="20"/>
              </w:rPr>
            </w:pPr>
            <w:r w:rsidRPr="00502192">
              <w:rPr>
                <w:sz w:val="20"/>
                <w:szCs w:val="20"/>
              </w:rPr>
              <w:t xml:space="preserve">  30902 Emulsified asphalt treated aggregate base*</w:t>
            </w:r>
          </w:p>
          <w:p w:rsidR="00344374" w:rsidRPr="00502192" w:rsidRDefault="00344374" w:rsidP="009536E0">
            <w:pPr>
              <w:pStyle w:val="NoSpacing"/>
              <w:rPr>
                <w:sz w:val="20"/>
                <w:szCs w:val="20"/>
              </w:rPr>
            </w:pPr>
            <w:r>
              <w:rPr>
                <w:sz w:val="20"/>
                <w:szCs w:val="20"/>
              </w:rPr>
              <w:t xml:space="preserve"> </w:t>
            </w:r>
            <w:r w:rsidRPr="00502192">
              <w:rPr>
                <w:sz w:val="20"/>
                <w:szCs w:val="20"/>
              </w:rPr>
              <w:t xml:space="preserve"> 30903 Emulsified asphalt treated aggregate base*</w:t>
            </w:r>
          </w:p>
        </w:tc>
        <w:tc>
          <w:tcPr>
            <w:tcW w:w="0" w:type="auto"/>
          </w:tcPr>
          <w:p w:rsidR="00344374" w:rsidRPr="00502192" w:rsidRDefault="00344374" w:rsidP="009536E0">
            <w:pPr>
              <w:pStyle w:val="NoSpacing"/>
              <w:rPr>
                <w:sz w:val="20"/>
                <w:szCs w:val="20"/>
              </w:rPr>
            </w:pPr>
            <w:r w:rsidRPr="00502192">
              <w:rPr>
                <w:sz w:val="20"/>
                <w:szCs w:val="20"/>
              </w:rPr>
              <w:t>0.70 gallons per ton</w:t>
            </w:r>
          </w:p>
        </w:tc>
        <w:tc>
          <w:tcPr>
            <w:tcW w:w="0" w:type="auto"/>
            <w:tcBorders>
              <w:right w:val="double" w:sz="4" w:space="0" w:color="auto"/>
            </w:tcBorders>
          </w:tcPr>
          <w:p w:rsidR="00344374" w:rsidRPr="00502192" w:rsidRDefault="00344374" w:rsidP="009536E0">
            <w:pPr>
              <w:pStyle w:val="NoSpacing"/>
              <w:rPr>
                <w:sz w:val="20"/>
                <w:szCs w:val="20"/>
              </w:rPr>
            </w:pPr>
            <w:r w:rsidRPr="00502192">
              <w:rPr>
                <w:sz w:val="20"/>
                <w:szCs w:val="20"/>
              </w:rPr>
              <w:t>0.77 gallons per metric ton</w:t>
            </w:r>
          </w:p>
        </w:tc>
      </w:tr>
      <w:tr w:rsidR="00344374" w:rsidRPr="00502192" w:rsidTr="009536E0">
        <w:trPr>
          <w:cantSplit/>
        </w:trPr>
        <w:tc>
          <w:tcPr>
            <w:tcW w:w="0" w:type="auto"/>
            <w:gridSpan w:val="3"/>
            <w:tcBorders>
              <w:left w:val="double" w:sz="4" w:space="0" w:color="auto"/>
              <w:right w:val="double" w:sz="4" w:space="0" w:color="auto"/>
            </w:tcBorders>
            <w:shd w:val="clear" w:color="auto" w:fill="F3F3F3"/>
          </w:tcPr>
          <w:p w:rsidR="00344374" w:rsidRPr="001357BC" w:rsidRDefault="00344374" w:rsidP="009536E0">
            <w:pPr>
              <w:pStyle w:val="NoSpacing"/>
            </w:pPr>
            <w:r w:rsidRPr="001357BC">
              <w:t>Asphalt Pavements:</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401 – Superpave Hot Asphalt Concrete Pavement</w:t>
            </w:r>
          </w:p>
          <w:p w:rsidR="00344374" w:rsidRPr="001357BC" w:rsidRDefault="00344374" w:rsidP="009536E0">
            <w:pPr>
              <w:pStyle w:val="NoSpacing"/>
              <w:rPr>
                <w:sz w:val="20"/>
                <w:szCs w:val="20"/>
              </w:rPr>
            </w:pPr>
            <w:r w:rsidRPr="001357BC">
              <w:rPr>
                <w:sz w:val="20"/>
                <w:szCs w:val="20"/>
              </w:rPr>
              <w:t xml:space="preserve">  40101 Superpave pavement</w:t>
            </w:r>
          </w:p>
          <w:p w:rsidR="00344374" w:rsidRPr="001357BC" w:rsidRDefault="00344374" w:rsidP="009536E0">
            <w:pPr>
              <w:pStyle w:val="NoSpacing"/>
              <w:rPr>
                <w:sz w:val="20"/>
                <w:szCs w:val="20"/>
              </w:rPr>
            </w:pPr>
            <w:r w:rsidRPr="001357BC">
              <w:rPr>
                <w:sz w:val="20"/>
                <w:szCs w:val="20"/>
              </w:rPr>
              <w:t xml:space="preserve">  40102 Superpave pavement wedge and leveling</w:t>
            </w:r>
          </w:p>
          <w:p w:rsidR="00344374" w:rsidRPr="001357BC" w:rsidRDefault="00344374" w:rsidP="009536E0">
            <w:pPr>
              <w:pStyle w:val="NoSpacing"/>
              <w:rPr>
                <w:sz w:val="20"/>
                <w:szCs w:val="20"/>
              </w:rPr>
            </w:pPr>
            <w:r>
              <w:rPr>
                <w:sz w:val="20"/>
                <w:szCs w:val="20"/>
              </w:rPr>
              <w:t xml:space="preserve">   </w:t>
            </w:r>
            <w:r w:rsidRPr="001357BC">
              <w:rPr>
                <w:sz w:val="20"/>
                <w:szCs w:val="20"/>
              </w:rPr>
              <w:t xml:space="preserve">  Course</w:t>
            </w:r>
          </w:p>
        </w:tc>
        <w:tc>
          <w:tcPr>
            <w:tcW w:w="0" w:type="auto"/>
          </w:tcPr>
          <w:p w:rsidR="00344374" w:rsidRPr="001357BC" w:rsidRDefault="00344374" w:rsidP="009536E0">
            <w:pPr>
              <w:pStyle w:val="NoSpacing"/>
              <w:rPr>
                <w:sz w:val="20"/>
                <w:szCs w:val="20"/>
              </w:rPr>
            </w:pPr>
            <w:r w:rsidRPr="001357BC">
              <w:rPr>
                <w:sz w:val="20"/>
                <w:szCs w:val="20"/>
              </w:rPr>
              <w:t>2.40 gallons per ton</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2.65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 xml:space="preserve">Section 402 – Hot Asphalt Concrete Pavement by Hveem or </w:t>
            </w:r>
            <w:smartTag w:uri="urn:schemas-microsoft-com:office:smarttags" w:element="PersonName">
              <w:r w:rsidRPr="001357BC">
                <w:rPr>
                  <w:sz w:val="20"/>
                  <w:szCs w:val="20"/>
                </w:rPr>
                <w:t>Marshal</w:t>
              </w:r>
            </w:smartTag>
            <w:r w:rsidRPr="001357BC">
              <w:rPr>
                <w:sz w:val="20"/>
                <w:szCs w:val="20"/>
              </w:rPr>
              <w:t>l Mix Design Method</w:t>
            </w:r>
          </w:p>
          <w:p w:rsidR="00344374" w:rsidRPr="001357BC" w:rsidRDefault="00344374" w:rsidP="009536E0">
            <w:pPr>
              <w:pStyle w:val="NoSpacing"/>
              <w:rPr>
                <w:sz w:val="20"/>
                <w:szCs w:val="20"/>
              </w:rPr>
            </w:pPr>
            <w:r w:rsidRPr="001357BC">
              <w:rPr>
                <w:sz w:val="20"/>
                <w:szCs w:val="20"/>
              </w:rPr>
              <w:t xml:space="preserve">  40201 Hot asphalt concrete pavement, </w:t>
            </w:r>
            <w:smartTag w:uri="urn:schemas-microsoft-com:office:smarttags" w:element="PersonName">
              <w:r w:rsidRPr="001357BC">
                <w:rPr>
                  <w:sz w:val="20"/>
                  <w:szCs w:val="20"/>
                </w:rPr>
                <w:t>Marshal</w:t>
              </w:r>
            </w:smartTag>
            <w:r w:rsidRPr="001357BC">
              <w:rPr>
                <w:sz w:val="20"/>
                <w:szCs w:val="20"/>
              </w:rPr>
              <w:t>l or</w:t>
            </w:r>
          </w:p>
          <w:p w:rsidR="00344374" w:rsidRPr="001357BC" w:rsidRDefault="00344374" w:rsidP="009536E0">
            <w:pPr>
              <w:pStyle w:val="NoSpacing"/>
              <w:rPr>
                <w:sz w:val="20"/>
                <w:szCs w:val="20"/>
              </w:rPr>
            </w:pPr>
            <w:r w:rsidRPr="001357BC">
              <w:rPr>
                <w:sz w:val="20"/>
                <w:szCs w:val="20"/>
              </w:rPr>
              <w:t xml:space="preserve"> </w:t>
            </w:r>
            <w:r>
              <w:rPr>
                <w:sz w:val="20"/>
                <w:szCs w:val="20"/>
              </w:rPr>
              <w:t xml:space="preserve">   </w:t>
            </w:r>
            <w:r w:rsidRPr="001357BC">
              <w:rPr>
                <w:sz w:val="20"/>
                <w:szCs w:val="20"/>
              </w:rPr>
              <w:t xml:space="preserve"> Hveem test</w:t>
            </w:r>
          </w:p>
          <w:p w:rsidR="00344374" w:rsidRPr="001357BC" w:rsidRDefault="00344374" w:rsidP="009536E0">
            <w:pPr>
              <w:pStyle w:val="NoSpacing"/>
              <w:rPr>
                <w:sz w:val="20"/>
                <w:szCs w:val="20"/>
              </w:rPr>
            </w:pPr>
            <w:r w:rsidRPr="001357BC">
              <w:rPr>
                <w:sz w:val="20"/>
                <w:szCs w:val="20"/>
              </w:rPr>
              <w:t xml:space="preserve"> </w:t>
            </w:r>
            <w:r>
              <w:rPr>
                <w:sz w:val="20"/>
                <w:szCs w:val="20"/>
              </w:rPr>
              <w:t xml:space="preserve"> </w:t>
            </w:r>
            <w:r w:rsidRPr="001357BC">
              <w:rPr>
                <w:sz w:val="20"/>
                <w:szCs w:val="20"/>
              </w:rPr>
              <w:t xml:space="preserve">40202 Hot asphalt concrete pavement, </w:t>
            </w:r>
            <w:smartTag w:uri="urn:schemas-microsoft-com:office:smarttags" w:element="PersonName">
              <w:r w:rsidRPr="001357BC">
                <w:rPr>
                  <w:sz w:val="20"/>
                  <w:szCs w:val="20"/>
                </w:rPr>
                <w:t>Marshal</w:t>
              </w:r>
            </w:smartTag>
            <w:r w:rsidRPr="001357BC">
              <w:rPr>
                <w:sz w:val="20"/>
                <w:szCs w:val="20"/>
              </w:rPr>
              <w:t>l or</w:t>
            </w:r>
          </w:p>
          <w:p w:rsidR="00344374" w:rsidRPr="001357BC" w:rsidRDefault="00344374" w:rsidP="009536E0">
            <w:pPr>
              <w:pStyle w:val="NoSpacing"/>
              <w:rPr>
                <w:sz w:val="20"/>
                <w:szCs w:val="20"/>
              </w:rPr>
            </w:pPr>
            <w:r>
              <w:rPr>
                <w:sz w:val="20"/>
                <w:szCs w:val="20"/>
              </w:rPr>
              <w:t xml:space="preserve">    </w:t>
            </w:r>
            <w:r w:rsidRPr="001357BC">
              <w:rPr>
                <w:sz w:val="20"/>
                <w:szCs w:val="20"/>
              </w:rPr>
              <w:t xml:space="preserve"> Hveem test, wedge and leveling course </w:t>
            </w:r>
          </w:p>
        </w:tc>
        <w:tc>
          <w:tcPr>
            <w:tcW w:w="0" w:type="auto"/>
          </w:tcPr>
          <w:p w:rsidR="00344374" w:rsidRPr="001357BC" w:rsidRDefault="00344374" w:rsidP="009536E0">
            <w:pPr>
              <w:pStyle w:val="NoSpacing"/>
              <w:rPr>
                <w:sz w:val="20"/>
                <w:szCs w:val="20"/>
              </w:rPr>
            </w:pPr>
            <w:r w:rsidRPr="001357BC">
              <w:rPr>
                <w:sz w:val="20"/>
                <w:szCs w:val="20"/>
              </w:rPr>
              <w:t>2.40 gallons per ton</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2.65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lastRenderedPageBreak/>
              <w:t>Section 403 – Hot Asphalt Concrete Pavement</w:t>
            </w:r>
          </w:p>
          <w:p w:rsidR="00344374" w:rsidRPr="001357BC" w:rsidRDefault="00344374" w:rsidP="009536E0">
            <w:pPr>
              <w:pStyle w:val="NoSpacing"/>
              <w:rPr>
                <w:sz w:val="20"/>
                <w:szCs w:val="20"/>
              </w:rPr>
            </w:pPr>
            <w:r w:rsidRPr="001357BC">
              <w:rPr>
                <w:sz w:val="20"/>
                <w:szCs w:val="20"/>
              </w:rPr>
              <w:t xml:space="preserve">  40301 Hot asphalt concrete pavement</w:t>
            </w:r>
          </w:p>
          <w:p w:rsidR="00344374" w:rsidRPr="001357BC" w:rsidRDefault="00344374" w:rsidP="009536E0">
            <w:pPr>
              <w:pStyle w:val="NoSpacing"/>
              <w:rPr>
                <w:sz w:val="20"/>
                <w:szCs w:val="20"/>
              </w:rPr>
            </w:pPr>
            <w:r w:rsidRPr="001357BC">
              <w:rPr>
                <w:sz w:val="20"/>
                <w:szCs w:val="20"/>
              </w:rPr>
              <w:t xml:space="preserve">  40302 Hot asphalt concrete pavement, wedge and</w:t>
            </w:r>
          </w:p>
          <w:p w:rsidR="00344374" w:rsidRPr="001357BC" w:rsidRDefault="00344374" w:rsidP="009536E0">
            <w:pPr>
              <w:pStyle w:val="NoSpacing"/>
              <w:rPr>
                <w:sz w:val="20"/>
                <w:szCs w:val="20"/>
              </w:rPr>
            </w:pPr>
            <w:r>
              <w:rPr>
                <w:sz w:val="20"/>
                <w:szCs w:val="20"/>
              </w:rPr>
              <w:t xml:space="preserve">   </w:t>
            </w:r>
            <w:r w:rsidRPr="001357BC">
              <w:rPr>
                <w:sz w:val="20"/>
                <w:szCs w:val="20"/>
              </w:rPr>
              <w:t xml:space="preserve">  leveling course</w:t>
            </w:r>
          </w:p>
        </w:tc>
        <w:tc>
          <w:tcPr>
            <w:tcW w:w="0" w:type="auto"/>
          </w:tcPr>
          <w:p w:rsidR="00344374" w:rsidRPr="001357BC" w:rsidRDefault="00344374" w:rsidP="009536E0">
            <w:pPr>
              <w:pStyle w:val="NoSpacing"/>
              <w:rPr>
                <w:sz w:val="20"/>
                <w:szCs w:val="20"/>
              </w:rPr>
            </w:pPr>
            <w:r w:rsidRPr="001357BC">
              <w:rPr>
                <w:sz w:val="20"/>
                <w:szCs w:val="20"/>
              </w:rPr>
              <w:t>2.40 gallons per ton</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2.65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405 – Open-Graded Asphalt Friction Course</w:t>
            </w:r>
          </w:p>
          <w:p w:rsidR="00344374" w:rsidRPr="001357BC" w:rsidRDefault="00344374" w:rsidP="009536E0">
            <w:pPr>
              <w:pStyle w:val="NoSpacing"/>
              <w:rPr>
                <w:sz w:val="20"/>
                <w:szCs w:val="20"/>
              </w:rPr>
            </w:pPr>
            <w:r w:rsidRPr="001357BC">
              <w:rPr>
                <w:sz w:val="20"/>
                <w:szCs w:val="20"/>
              </w:rPr>
              <w:t xml:space="preserve">  40501 Open-graded asphalt friction course</w:t>
            </w:r>
          </w:p>
        </w:tc>
        <w:tc>
          <w:tcPr>
            <w:tcW w:w="0" w:type="auto"/>
          </w:tcPr>
          <w:p w:rsidR="00344374" w:rsidRPr="001357BC" w:rsidRDefault="00344374" w:rsidP="009536E0">
            <w:pPr>
              <w:pStyle w:val="NoSpacing"/>
              <w:rPr>
                <w:sz w:val="20"/>
                <w:szCs w:val="20"/>
              </w:rPr>
            </w:pPr>
            <w:r w:rsidRPr="001357BC">
              <w:rPr>
                <w:sz w:val="20"/>
                <w:szCs w:val="20"/>
              </w:rPr>
              <w:t>2.40 gallons per ton</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2.65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408 – Cold Recycled Asphalt Base Course</w:t>
            </w:r>
          </w:p>
          <w:p w:rsidR="00344374" w:rsidRPr="001357BC" w:rsidRDefault="00344374" w:rsidP="009536E0">
            <w:pPr>
              <w:pStyle w:val="NoSpacing"/>
              <w:rPr>
                <w:sz w:val="20"/>
                <w:szCs w:val="20"/>
              </w:rPr>
            </w:pPr>
            <w:r w:rsidRPr="001357BC">
              <w:rPr>
                <w:sz w:val="20"/>
                <w:szCs w:val="20"/>
              </w:rPr>
              <w:t xml:space="preserve">  40801 Cold recycled asphalt base course</w:t>
            </w:r>
          </w:p>
          <w:p w:rsidR="00344374" w:rsidRPr="001357BC" w:rsidRDefault="00344374" w:rsidP="009536E0">
            <w:pPr>
              <w:pStyle w:val="NoSpacing"/>
              <w:rPr>
                <w:sz w:val="20"/>
                <w:szCs w:val="20"/>
              </w:rPr>
            </w:pPr>
            <w:r w:rsidRPr="001357BC">
              <w:rPr>
                <w:sz w:val="20"/>
                <w:szCs w:val="20"/>
              </w:rPr>
              <w:t xml:space="preserve">  40802 Cold recycled asphalt base course*</w:t>
            </w:r>
          </w:p>
        </w:tc>
        <w:tc>
          <w:tcPr>
            <w:tcW w:w="0" w:type="auto"/>
          </w:tcPr>
          <w:p w:rsidR="00344374" w:rsidRPr="001357BC" w:rsidRDefault="00344374" w:rsidP="009536E0">
            <w:pPr>
              <w:pStyle w:val="NoSpacing"/>
              <w:rPr>
                <w:sz w:val="20"/>
                <w:szCs w:val="20"/>
              </w:rPr>
            </w:pPr>
            <w:r w:rsidRPr="001357BC">
              <w:rPr>
                <w:sz w:val="20"/>
                <w:szCs w:val="20"/>
              </w:rPr>
              <w:t>0.70 gallons per ton</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0.77 gallons per metric ton</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416 – Continuous Cold Recycled Asphalt Base Course</w:t>
            </w:r>
          </w:p>
          <w:p w:rsidR="00344374" w:rsidRPr="001357BC" w:rsidRDefault="00344374" w:rsidP="009536E0">
            <w:pPr>
              <w:pStyle w:val="NoSpacing"/>
              <w:rPr>
                <w:sz w:val="20"/>
                <w:szCs w:val="20"/>
              </w:rPr>
            </w:pPr>
            <w:r w:rsidRPr="001357BC">
              <w:rPr>
                <w:sz w:val="20"/>
                <w:szCs w:val="20"/>
              </w:rPr>
              <w:t xml:space="preserve">  41602 Continuous cold recycled asphalt base</w:t>
            </w:r>
          </w:p>
          <w:p w:rsidR="00344374" w:rsidRPr="001357BC" w:rsidRDefault="00344374" w:rsidP="009536E0">
            <w:pPr>
              <w:pStyle w:val="NoSpacing"/>
              <w:rPr>
                <w:sz w:val="20"/>
                <w:szCs w:val="20"/>
              </w:rPr>
            </w:pPr>
            <w:r>
              <w:rPr>
                <w:sz w:val="20"/>
                <w:szCs w:val="20"/>
              </w:rPr>
              <w:t xml:space="preserve">   </w:t>
            </w:r>
            <w:r w:rsidRPr="001357BC">
              <w:rPr>
                <w:sz w:val="20"/>
                <w:szCs w:val="20"/>
              </w:rPr>
              <w:t xml:space="preserve">  Course</w:t>
            </w:r>
          </w:p>
        </w:tc>
        <w:tc>
          <w:tcPr>
            <w:tcW w:w="0" w:type="auto"/>
          </w:tcPr>
          <w:p w:rsidR="00344374" w:rsidRPr="001357BC" w:rsidRDefault="00344374" w:rsidP="009536E0">
            <w:pPr>
              <w:pStyle w:val="NoSpacing"/>
              <w:rPr>
                <w:sz w:val="20"/>
                <w:szCs w:val="20"/>
              </w:rPr>
            </w:pPr>
            <w:r w:rsidRPr="001357BC">
              <w:rPr>
                <w:sz w:val="20"/>
                <w:szCs w:val="20"/>
              </w:rPr>
              <w:t>0.15 gallons per square yard</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0.18 gallons per square meter</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418 – Foamed Asphalt Stabilized Base</w:t>
            </w:r>
          </w:p>
          <w:p w:rsidR="00344374" w:rsidRPr="001357BC" w:rsidRDefault="00344374" w:rsidP="009536E0">
            <w:pPr>
              <w:pStyle w:val="NoSpacing"/>
              <w:rPr>
                <w:sz w:val="20"/>
                <w:szCs w:val="20"/>
              </w:rPr>
            </w:pPr>
            <w:r w:rsidRPr="001357BC">
              <w:rPr>
                <w:sz w:val="20"/>
                <w:szCs w:val="20"/>
              </w:rPr>
              <w:t xml:space="preserve">Course </w:t>
            </w:r>
            <w:r>
              <w:rPr>
                <w:sz w:val="20"/>
                <w:szCs w:val="20"/>
              </w:rPr>
              <w:t>[</w:t>
            </w:r>
            <w:r w:rsidRPr="001357BC">
              <w:rPr>
                <w:sz w:val="20"/>
                <w:szCs w:val="20"/>
              </w:rPr>
              <w:t xml:space="preserve">not in FP </w:t>
            </w:r>
            <w:r>
              <w:rPr>
                <w:sz w:val="20"/>
                <w:szCs w:val="20"/>
              </w:rPr>
              <w:t xml:space="preserve">- </w:t>
            </w:r>
            <w:r w:rsidRPr="001357BC">
              <w:rPr>
                <w:sz w:val="20"/>
                <w:szCs w:val="20"/>
              </w:rPr>
              <w:t>called out b</w:t>
            </w:r>
            <w:r>
              <w:rPr>
                <w:sz w:val="20"/>
                <w:szCs w:val="20"/>
              </w:rPr>
              <w:t>y Special Contract Requirements]</w:t>
            </w:r>
          </w:p>
          <w:p w:rsidR="00344374" w:rsidRPr="001357BC" w:rsidRDefault="00344374" w:rsidP="009536E0">
            <w:pPr>
              <w:pStyle w:val="NoSpacing"/>
              <w:rPr>
                <w:sz w:val="20"/>
                <w:szCs w:val="20"/>
              </w:rPr>
            </w:pPr>
            <w:r w:rsidRPr="001357BC">
              <w:rPr>
                <w:sz w:val="20"/>
                <w:szCs w:val="20"/>
              </w:rPr>
              <w:t xml:space="preserve">  41801 Foamed asphalt stabilized base course</w:t>
            </w:r>
          </w:p>
        </w:tc>
        <w:tc>
          <w:tcPr>
            <w:tcW w:w="0" w:type="auto"/>
          </w:tcPr>
          <w:p w:rsidR="00344374" w:rsidRPr="001357BC" w:rsidRDefault="00344374" w:rsidP="009536E0">
            <w:pPr>
              <w:pStyle w:val="NoSpacing"/>
              <w:rPr>
                <w:sz w:val="20"/>
                <w:szCs w:val="20"/>
              </w:rPr>
            </w:pPr>
            <w:r w:rsidRPr="001357BC">
              <w:rPr>
                <w:sz w:val="20"/>
                <w:szCs w:val="20"/>
              </w:rPr>
              <w:t>0.30 gallons per square yard</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0.36 gallons per square meter</w:t>
            </w:r>
          </w:p>
        </w:tc>
      </w:tr>
      <w:tr w:rsidR="00344374" w:rsidRPr="00502192" w:rsidTr="009536E0">
        <w:trPr>
          <w:cantSplit/>
        </w:trPr>
        <w:tc>
          <w:tcPr>
            <w:tcW w:w="0" w:type="auto"/>
            <w:gridSpan w:val="3"/>
            <w:tcBorders>
              <w:left w:val="double" w:sz="4" w:space="0" w:color="auto"/>
              <w:right w:val="double" w:sz="4" w:space="0" w:color="auto"/>
            </w:tcBorders>
            <w:shd w:val="clear" w:color="auto" w:fill="F3F3F3"/>
          </w:tcPr>
          <w:p w:rsidR="00344374" w:rsidRPr="001357BC" w:rsidRDefault="00344374" w:rsidP="009536E0">
            <w:pPr>
              <w:pStyle w:val="NoSpacing"/>
            </w:pPr>
            <w:r w:rsidRPr="001357BC">
              <w:t>Concrete Pavements:</w:t>
            </w:r>
          </w:p>
        </w:tc>
      </w:tr>
      <w:tr w:rsidR="00344374" w:rsidRPr="00502192" w:rsidTr="009536E0">
        <w:tc>
          <w:tcPr>
            <w:tcW w:w="0" w:type="auto"/>
            <w:tcBorders>
              <w:left w:val="double" w:sz="4" w:space="0" w:color="auto"/>
            </w:tcBorders>
          </w:tcPr>
          <w:p w:rsidR="00344374" w:rsidRPr="001357BC" w:rsidRDefault="00344374" w:rsidP="009536E0">
            <w:pPr>
              <w:pStyle w:val="NoSpacing"/>
              <w:rPr>
                <w:sz w:val="20"/>
                <w:szCs w:val="20"/>
              </w:rPr>
            </w:pPr>
            <w:r w:rsidRPr="001357BC">
              <w:rPr>
                <w:sz w:val="20"/>
                <w:szCs w:val="20"/>
              </w:rPr>
              <w:t>Section 501 – Rigid Pavement</w:t>
            </w:r>
          </w:p>
          <w:p w:rsidR="00344374" w:rsidRPr="001357BC" w:rsidRDefault="00344374" w:rsidP="009536E0">
            <w:pPr>
              <w:pStyle w:val="NoSpacing"/>
              <w:rPr>
                <w:sz w:val="20"/>
                <w:szCs w:val="20"/>
              </w:rPr>
            </w:pPr>
            <w:r w:rsidRPr="001357BC">
              <w:rPr>
                <w:sz w:val="20"/>
                <w:szCs w:val="20"/>
              </w:rPr>
              <w:t xml:space="preserve">  50101 Reinforced rigid pavement</w:t>
            </w:r>
          </w:p>
          <w:p w:rsidR="00344374" w:rsidRPr="001357BC" w:rsidRDefault="00344374" w:rsidP="009536E0">
            <w:pPr>
              <w:pStyle w:val="NoSpacing"/>
              <w:rPr>
                <w:sz w:val="20"/>
                <w:szCs w:val="20"/>
              </w:rPr>
            </w:pPr>
            <w:r w:rsidRPr="001357BC">
              <w:rPr>
                <w:sz w:val="20"/>
                <w:szCs w:val="20"/>
              </w:rPr>
              <w:t xml:space="preserve">  50102 Plain rigid pavement </w:t>
            </w:r>
          </w:p>
        </w:tc>
        <w:tc>
          <w:tcPr>
            <w:tcW w:w="0" w:type="auto"/>
          </w:tcPr>
          <w:p w:rsidR="00344374" w:rsidRPr="001357BC" w:rsidRDefault="00344374" w:rsidP="009536E0">
            <w:pPr>
              <w:pStyle w:val="NoSpacing"/>
              <w:rPr>
                <w:sz w:val="20"/>
                <w:szCs w:val="20"/>
              </w:rPr>
            </w:pPr>
            <w:r w:rsidRPr="001357BC">
              <w:rPr>
                <w:sz w:val="20"/>
                <w:szCs w:val="20"/>
              </w:rPr>
              <w:t>0.60 gallons per square yard</w:t>
            </w:r>
          </w:p>
        </w:tc>
        <w:tc>
          <w:tcPr>
            <w:tcW w:w="0" w:type="auto"/>
            <w:tcBorders>
              <w:right w:val="double" w:sz="4" w:space="0" w:color="auto"/>
            </w:tcBorders>
          </w:tcPr>
          <w:p w:rsidR="00344374" w:rsidRPr="001357BC" w:rsidRDefault="00344374" w:rsidP="009536E0">
            <w:pPr>
              <w:pStyle w:val="NoSpacing"/>
              <w:rPr>
                <w:sz w:val="20"/>
                <w:szCs w:val="20"/>
              </w:rPr>
            </w:pPr>
            <w:r w:rsidRPr="001357BC">
              <w:rPr>
                <w:sz w:val="20"/>
                <w:szCs w:val="20"/>
              </w:rPr>
              <w:t>0.72 gallons per square meter</w:t>
            </w:r>
          </w:p>
        </w:tc>
      </w:tr>
      <w:tr w:rsidR="00344374" w:rsidRPr="00502192" w:rsidTr="009536E0">
        <w:trPr>
          <w:cantSplit/>
        </w:trPr>
        <w:tc>
          <w:tcPr>
            <w:tcW w:w="0" w:type="auto"/>
            <w:gridSpan w:val="3"/>
            <w:tcBorders>
              <w:left w:val="double" w:sz="4" w:space="0" w:color="auto"/>
              <w:bottom w:val="double" w:sz="4" w:space="0" w:color="auto"/>
              <w:right w:val="double" w:sz="4" w:space="0" w:color="auto"/>
            </w:tcBorders>
          </w:tcPr>
          <w:p w:rsidR="00344374" w:rsidRPr="001357BC" w:rsidRDefault="00344374" w:rsidP="009536E0">
            <w:pPr>
              <w:pStyle w:val="NoSpacing"/>
              <w:rPr>
                <w:sz w:val="20"/>
                <w:szCs w:val="20"/>
              </w:rPr>
            </w:pPr>
            <w:r w:rsidRPr="001357BC">
              <w:rPr>
                <w:sz w:val="20"/>
                <w:szCs w:val="20"/>
              </w:rPr>
              <w:t>* The Government will convert work quantities, as necessary, to agree with the units associated with the applicable Fuel Usage Factor.</w:t>
            </w:r>
          </w:p>
        </w:tc>
      </w:tr>
    </w:tbl>
    <w:p w:rsidR="00344374" w:rsidRPr="0084242C" w:rsidRDefault="00344374" w:rsidP="00344374">
      <w:pPr>
        <w:rPr>
          <w:rFonts w:eastAsia="MS Mincho"/>
        </w:rPr>
      </w:pPr>
      <w:r>
        <w:rPr>
          <w:noProof/>
        </w:rPr>
        <mc:AlternateContent>
          <mc:Choice Requires="wps">
            <w:drawing>
              <wp:anchor distT="0" distB="0" distL="114300" distR="114300" simplePos="0" relativeHeight="251666432" behindDoc="0" locked="0" layoutInCell="1" allowOverlap="1" wp14:anchorId="72E8E480" wp14:editId="6B92F091">
                <wp:simplePos x="0" y="0"/>
                <wp:positionH relativeFrom="margin">
                  <wp:posOffset>-9525</wp:posOffset>
                </wp:positionH>
                <wp:positionV relativeFrom="margin">
                  <wp:posOffset>-57150</wp:posOffset>
                </wp:positionV>
                <wp:extent cx="5943600" cy="82296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8ACA6" id="Rectangle 69" o:spid="_x0000_s1026" style="position:absolute;margin-left:-.75pt;margin-top:-4.5pt;width:468pt;height:9in;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" filled="f" strokecolor="black [3213]" strokeweight="1pt">
                <w10:wrap anchorx="margin" anchory="margin"/>
              </v:rect>
            </w:pict>
          </mc:Fallback>
        </mc:AlternateContent>
      </w:r>
    </w:p>
    <w:tbl>
      <w:tblPr>
        <w:tblW w:w="8640" w:type="dxa"/>
        <w:tblInd w:w="36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640"/>
      </w:tblGrid>
      <w:tr w:rsidR="00344374" w:rsidTr="009536E0">
        <w:tc>
          <w:tcPr>
            <w:tcW w:w="9576" w:type="dxa"/>
          </w:tcPr>
          <w:p w:rsidR="00344374" w:rsidRDefault="00344374" w:rsidP="009536E0">
            <w:pPr>
              <w:spacing w:before="120" w:after="120"/>
              <w:ind w:left="360" w:right="360"/>
            </w:pPr>
            <w:r>
              <w:t xml:space="preserve">Select </w:t>
            </w:r>
            <w:r w:rsidRPr="001357BC">
              <w:t xml:space="preserve">appropriate eligible pay items and delete those that do not apply.  For each of the eligible contract pay items chosen above, a corresponding statement should be added to the applicable </w:t>
            </w:r>
            <w:r>
              <w:t>SCR</w:t>
            </w:r>
            <w:r w:rsidRPr="001357BC">
              <w:t xml:space="preserve"> payment </w:t>
            </w:r>
            <w:r>
              <w:t>sub</w:t>
            </w:r>
            <w:r w:rsidRPr="001357BC">
              <w:t>section, which indicates that “A price adjustment will be made for fluctuations in the cost of diesel fuel consumed in the performance of any eligible pay items according to Subsection 109.06 Pricing of Adjustments Fuel Price Adjustment Provision.”  See end of provision for additional direction</w:t>
            </w:r>
            <w:r>
              <w:t>.</w:t>
            </w:r>
          </w:p>
        </w:tc>
      </w:tr>
    </w:tbl>
    <w:p w:rsidR="00344374" w:rsidRDefault="00344374" w:rsidP="00344374">
      <w:pPr>
        <w:spacing w:after="0"/>
        <w:rPr>
          <w:rFonts w:eastAsia="MS Mincho"/>
          <w:b/>
          <w:u w:val="single"/>
        </w:rPr>
      </w:pPr>
    </w:p>
    <w:p w:rsidR="00344374" w:rsidRPr="00160D35" w:rsidRDefault="00344374" w:rsidP="00344374">
      <w:pPr>
        <w:ind w:left="360" w:right="360"/>
      </w:pPr>
      <w:r w:rsidRPr="00E61177">
        <w:rPr>
          <w:rFonts w:eastAsia="MS Mincho"/>
          <w:b/>
          <w:u w:val="single"/>
        </w:rPr>
        <w:t>PRICE ADJUSTMENT COMPENSATION</w:t>
      </w:r>
      <w:r w:rsidRPr="00E61177">
        <w:rPr>
          <w:rFonts w:eastAsia="MS Mincho"/>
        </w:rPr>
        <w:t xml:space="preserve"> Monthly adjustments will be accrued.  The final price adjustment will be paid, or rebated, after completion of all work for eligible pay items.  </w:t>
      </w:r>
      <w:r w:rsidRPr="00E61177">
        <w:t>The Contractor may request in writing a partial price adjustment payment once every 12 months, or when the unpaid accr</w:t>
      </w:r>
      <w:r w:rsidRPr="00160D35">
        <w:t>ued increase exceeds $10,000.  The Government will take a rebate when the deductive accrual exceeds $10,000.</w:t>
      </w:r>
    </w:p>
    <w:p w:rsidR="00344374" w:rsidRPr="00160D35" w:rsidRDefault="00344374" w:rsidP="00344374">
      <w:pPr>
        <w:ind w:left="360" w:right="360"/>
        <w:rPr>
          <w:rFonts w:eastAsia="MS Mincho"/>
        </w:rPr>
      </w:pPr>
      <w:r>
        <w:rPr>
          <w:noProof/>
        </w:rPr>
        <w:lastRenderedPageBreak/>
        <mc:AlternateContent>
          <mc:Choice Requires="wps">
            <w:drawing>
              <wp:anchor distT="0" distB="0" distL="114300" distR="114300" simplePos="0" relativeHeight="251667456" behindDoc="0" locked="0" layoutInCell="1" allowOverlap="1" wp14:anchorId="7F23E46E" wp14:editId="1EFF569C">
                <wp:simplePos x="0" y="0"/>
                <wp:positionH relativeFrom="margin">
                  <wp:posOffset>0</wp:posOffset>
                </wp:positionH>
                <wp:positionV relativeFrom="margin">
                  <wp:posOffset>0</wp:posOffset>
                </wp:positionV>
                <wp:extent cx="5943600" cy="2560320"/>
                <wp:effectExtent l="0" t="0" r="19050" b="11430"/>
                <wp:wrapNone/>
                <wp:docPr id="70" name="Rectangle 70"/>
                <wp:cNvGraphicFramePr/>
                <a:graphic xmlns:a="http://schemas.openxmlformats.org/drawingml/2006/main">
                  <a:graphicData uri="http://schemas.microsoft.com/office/word/2010/wordprocessingShape">
                    <wps:wsp>
                      <wps:cNvSpPr/>
                      <wps:spPr>
                        <a:xfrm>
                          <a:off x="0" y="0"/>
                          <a:ext cx="5943600" cy="2560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C3821" id="Rectangle 70" o:spid="_x0000_s1026" style="position:absolute;margin-left:0;margin-top:0;width:468pt;height:201.6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" filled="f" strokecolor="black [3213]" strokeweight="1pt">
                <w10:wrap anchorx="margin" anchory="margin"/>
              </v:rect>
            </w:pict>
          </mc:Fallback>
        </mc:AlternateContent>
      </w:r>
      <w:r w:rsidRPr="00160D35">
        <w:rPr>
          <w:rFonts w:eastAsia="MS Mincho"/>
        </w:rPr>
        <w:t>No price adjustments will be made for work performed beyond the Government-approved Contract completion date.</w:t>
      </w:r>
    </w:p>
    <w:p w:rsidR="00344374" w:rsidRPr="00160D35" w:rsidRDefault="00344374" w:rsidP="00344374">
      <w:pPr>
        <w:ind w:left="360" w:right="360"/>
        <w:rPr>
          <w:rFonts w:eastAsia="MS Mincho"/>
        </w:rPr>
      </w:pPr>
      <w:r w:rsidRPr="00160D35">
        <w:rPr>
          <w:rFonts w:eastAsia="MS Mincho"/>
        </w:rPr>
        <w:t>The maximum allowable monthly and final price adjustment to the Contractor or rebate to the Government is limited to a (MPPI/BPI) ratio of 1.6 and 0.4, respectively.</w:t>
      </w:r>
    </w:p>
    <w:p w:rsidR="00344374" w:rsidRPr="006A3F42" w:rsidRDefault="00344374" w:rsidP="00344374">
      <w:pPr>
        <w:ind w:left="360" w:right="360"/>
        <w:rPr>
          <w:rFonts w:eastAsia="MS Mincho"/>
          <w:vanish/>
        </w:rPr>
      </w:pPr>
      <w:r w:rsidRPr="006A3F42">
        <w:rPr>
          <w:rFonts w:eastAsia="MS Mincho"/>
          <w:vanish/>
          <w:highlight w:val="yellow"/>
        </w:rPr>
        <w:t>Cut and insert the following into the appropriate Section (delete the non-applicable Subsections):</w:t>
      </w:r>
    </w:p>
    <w:p w:rsidR="00344374" w:rsidRPr="006A3F42" w:rsidRDefault="00344374" w:rsidP="00344374">
      <w:pPr>
        <w:ind w:left="360" w:right="360"/>
        <w:rPr>
          <w:rFonts w:eastAsia="MS Mincho"/>
        </w:rPr>
      </w:pPr>
      <w:r w:rsidRPr="006A3F42">
        <w:rPr>
          <w:rFonts w:eastAsia="MS Mincho"/>
        </w:rPr>
        <w:t>204.17.  301.10.  302.11.  304.12.  309.10.  401.19.  402.19.  403.19.  405.13.  408.10.  416.12.  418.xx.  501.17.  Add the following:</w:t>
      </w:r>
    </w:p>
    <w:p w:rsidR="00344374" w:rsidRDefault="00344374" w:rsidP="00344374">
      <w:pPr>
        <w:ind w:left="360" w:right="360"/>
        <w:rPr>
          <w:rFonts w:eastAsia="MS Mincho"/>
        </w:rPr>
      </w:pPr>
      <w:r w:rsidRPr="006A3F42">
        <w:rPr>
          <w:rFonts w:eastAsia="MS Mincho"/>
        </w:rPr>
        <w:t>A price adjustment will be made for fluctuations in the cost of diesel fuel consumed in the performance of any eligible pay items according to Subsection 109.06 Pricing of Adjustments Fuel Price Adjustment Provision.</w:t>
      </w:r>
    </w:p>
    <w:p w:rsidR="00344374" w:rsidRPr="00E61177" w:rsidRDefault="00344374" w:rsidP="00344374">
      <w:pPr>
        <w:ind w:left="360" w:right="360"/>
        <w:rPr>
          <w:rFonts w:eastAsia="MS Mincho"/>
        </w:rPr>
      </w:pPr>
    </w:p>
    <w:p w:rsidR="00344374" w:rsidRDefault="00344374" w:rsidP="00344374">
      <w:pPr>
        <w:pStyle w:val="PDMHeading2"/>
      </w:pPr>
      <w:r w:rsidRPr="004E6957">
        <w:t>References</w:t>
      </w:r>
      <w:bookmarkEnd w:id="8"/>
    </w:p>
    <w:p w:rsidR="00344374" w:rsidRDefault="00344374" w:rsidP="00344374">
      <w:pPr>
        <w:pStyle w:val="TRBReferences"/>
        <w:numPr>
          <w:ilvl w:val="0"/>
          <w:numId w:val="3"/>
        </w:numPr>
      </w:pPr>
      <w:r>
        <w:t xml:space="preserve">Newcomb, David E., Russel Lenz, and Jon Epps, </w:t>
      </w:r>
      <w:r w:rsidRPr="00F73BC0">
        <w:rPr>
          <w:i/>
        </w:rPr>
        <w:t>Price Adjustment Clauses: Report</w:t>
      </w:r>
      <w:r>
        <w:t>, Texas A&amp;M Transportation Institute, Texas Department of Transportation, Federal Highway Administration, June 2013.</w:t>
      </w:r>
    </w:p>
    <w:p w:rsidR="00344374" w:rsidRDefault="00344374" w:rsidP="00344374">
      <w:pPr>
        <w:pStyle w:val="TRBReferences"/>
        <w:numPr>
          <w:ilvl w:val="0"/>
          <w:numId w:val="3"/>
        </w:numPr>
      </w:pPr>
      <w:r>
        <w:t xml:space="preserve">Skolnik, Jonathan, </w:t>
      </w:r>
      <w:r w:rsidRPr="00F73BC0">
        <w:rPr>
          <w:i/>
        </w:rPr>
        <w:t>Price Indexing in Transportation Construction Contracts</w:t>
      </w:r>
      <w:r>
        <w:t>, AASHTO Standing Committee on Highways, Transportation Research Board, Jan. 2011.</w:t>
      </w:r>
    </w:p>
    <w:p w:rsidR="00344374" w:rsidRDefault="00344374" w:rsidP="00344374">
      <w:pPr>
        <w:pStyle w:val="TRBReferences"/>
        <w:numPr>
          <w:ilvl w:val="0"/>
          <w:numId w:val="3"/>
        </w:numPr>
      </w:pPr>
      <w:r w:rsidRPr="00EC6DEF">
        <w:t>American Association of State Highway and Transportation Officials (AASHTO).</w:t>
      </w:r>
      <w:r>
        <w:rPr>
          <w:i/>
        </w:rPr>
        <w:t xml:space="preserve"> </w:t>
      </w:r>
      <w:r w:rsidRPr="00F73BC0">
        <w:rPr>
          <w:i/>
        </w:rPr>
        <w:t>Survey on the Use of Price Adjustment Clauses</w:t>
      </w:r>
      <w:r>
        <w:t xml:space="preserve">, Fall 2009. </w:t>
      </w:r>
      <w:hyperlink r:id="rId11" w:history="1">
        <w:r w:rsidRPr="00F0689B">
          <w:rPr>
            <w:rStyle w:val="Hyperlink"/>
          </w:rPr>
          <w:t>http://www.fhwa.dot.gov/programadmin/contracts/aashto.cfm</w:t>
        </w:r>
      </w:hyperlink>
      <w:r>
        <w:t xml:space="preserve"> [Accessed: November 4, 2013].</w:t>
      </w:r>
    </w:p>
    <w:p w:rsidR="00344374" w:rsidRDefault="00344374" w:rsidP="00344374">
      <w:pPr>
        <w:pStyle w:val="TRBReferences"/>
        <w:numPr>
          <w:ilvl w:val="0"/>
          <w:numId w:val="3"/>
        </w:numPr>
      </w:pPr>
      <w:r>
        <w:t xml:space="preserve">Tennessee Department of Transportation. Special Provision Regarding Payment Adjustment for Fuel, Mar. 2006. </w:t>
      </w:r>
      <w:hyperlink r:id="rId12" w:history="1">
        <w:r w:rsidRPr="00F0689B">
          <w:rPr>
            <w:rStyle w:val="Hyperlink"/>
          </w:rPr>
          <w:t>http://www.tdot.state.tn.us/construction/Special%20Provisions/109A.pdf</w:t>
        </w:r>
      </w:hyperlink>
      <w:r>
        <w:t xml:space="preserve"> [Accessed: November 4, 2013].</w:t>
      </w:r>
    </w:p>
    <w:p w:rsidR="00344374" w:rsidRDefault="00344374" w:rsidP="00344374">
      <w:pPr>
        <w:pStyle w:val="TRBReferences"/>
        <w:numPr>
          <w:ilvl w:val="0"/>
          <w:numId w:val="3"/>
        </w:numPr>
      </w:pPr>
      <w:r>
        <w:t xml:space="preserve">Eastern Federal Lands Highways. Library of Specifications. Federal Highway Administration. </w:t>
      </w:r>
      <w:hyperlink r:id="rId13" w:history="1">
        <w:r w:rsidRPr="00211A9F">
          <w:rPr>
            <w:rStyle w:val="Hyperlink"/>
          </w:rPr>
          <w:t>http://www.efl.fhwa.dot.gov/contracting/library-specs.aspx</w:t>
        </w:r>
      </w:hyperlink>
      <w:r>
        <w:t xml:space="preserve"> [Accessed: February 16, 2014].</w:t>
      </w:r>
    </w:p>
    <w:p w:rsidR="00344374" w:rsidRPr="004E6957" w:rsidRDefault="00344374" w:rsidP="00344374">
      <w:pPr>
        <w:pStyle w:val="TRBReferences"/>
        <w:numPr>
          <w:ilvl w:val="0"/>
          <w:numId w:val="3"/>
        </w:numPr>
      </w:pPr>
      <w:r>
        <w:t xml:space="preserve">Pierce, Charles E., Nathan N. Huynh, and Paulo Guimaraes, </w:t>
      </w:r>
      <w:r w:rsidRPr="00F73BC0">
        <w:rPr>
          <w:i/>
        </w:rPr>
        <w:t>Cost Indexing and Unit Price Adjustments for Construction Materials</w:t>
      </w:r>
      <w:r>
        <w:t>, South Carolina Department of Transportation, Federal Highways Administration, Oct. 2012.</w:t>
      </w:r>
    </w:p>
    <w:p w:rsidR="002144EB" w:rsidRDefault="002144EB" w:rsidP="00344374">
      <w:pPr>
        <w:spacing w:line="259" w:lineRule="auto"/>
      </w:pPr>
    </w:p>
    <w:sectPr w:rsidR="002144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5A" w:rsidRDefault="0049635A" w:rsidP="00344374">
      <w:pPr>
        <w:spacing w:after="0" w:line="240" w:lineRule="auto"/>
      </w:pPr>
      <w:r>
        <w:separator/>
      </w:r>
    </w:p>
  </w:endnote>
  <w:endnote w:type="continuationSeparator" w:id="0">
    <w:p w:rsidR="0049635A" w:rsidRDefault="0049635A" w:rsidP="0034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Default="00344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Default="00344374" w:rsidP="00344374">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Default="0034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5A" w:rsidRDefault="0049635A" w:rsidP="00344374">
      <w:pPr>
        <w:spacing w:after="0" w:line="240" w:lineRule="auto"/>
      </w:pPr>
      <w:r>
        <w:separator/>
      </w:r>
    </w:p>
  </w:footnote>
  <w:footnote w:type="continuationSeparator" w:id="0">
    <w:p w:rsidR="0049635A" w:rsidRDefault="0049635A" w:rsidP="0034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Default="00344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Pr="009A73FA" w:rsidRDefault="00344374" w:rsidP="00344374">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5BE1A34F" wp14:editId="7A42F2ED">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679DDB"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344374" w:rsidRPr="009A73FA" w:rsidRDefault="00344374" w:rsidP="00344374">
    <w:pPr>
      <w:pStyle w:val="Header"/>
      <w:jc w:val="right"/>
      <w:rPr>
        <w:i/>
        <w:sz w:val="20"/>
      </w:rPr>
    </w:pPr>
    <w:r w:rsidRPr="009A73FA">
      <w:rPr>
        <w:i/>
        <w:sz w:val="20"/>
      </w:rPr>
      <w:t>TPF-5(260) Project No. 1</w:t>
    </w:r>
  </w:p>
  <w:p w:rsidR="00344374" w:rsidRDefault="00344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4" w:rsidRDefault="00344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CC22E2E4"/>
    <w:lvl w:ilvl="0" w:tplc="FC2CE13A">
      <w:start w:val="6"/>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A61F0"/>
    <w:multiLevelType w:val="hybridMultilevel"/>
    <w:tmpl w:val="14822F58"/>
    <w:lvl w:ilvl="0" w:tplc="FD264124">
      <w:start w:val="1"/>
      <w:numFmt w:val="bullet"/>
      <w:lvlText w:val=""/>
      <w:lvlJc w:val="left"/>
      <w:pPr>
        <w:tabs>
          <w:tab w:val="num" w:pos="144"/>
        </w:tabs>
        <w:ind w:left="144" w:hanging="7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4"/>
    <w:rsid w:val="002144EB"/>
    <w:rsid w:val="00215426"/>
    <w:rsid w:val="00307BEA"/>
    <w:rsid w:val="00344374"/>
    <w:rsid w:val="003975A3"/>
    <w:rsid w:val="0049635A"/>
    <w:rsid w:val="005F1CCD"/>
    <w:rsid w:val="00633904"/>
    <w:rsid w:val="00651EC9"/>
    <w:rsid w:val="008413C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15:chartTrackingRefBased/>
  <w15:docId w15:val="{592698FE-8DAB-4156-8A8F-08A875BE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74"/>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344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344374"/>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344374"/>
    <w:rPr>
      <w:rFonts w:ascii="Times New Roman" w:eastAsia="Calibri" w:hAnsi="Times New Roman" w:cs="Times New Roman"/>
      <w:szCs w:val="20"/>
    </w:rPr>
  </w:style>
  <w:style w:type="paragraph" w:styleId="NoSpacing">
    <w:name w:val="No Spacing"/>
    <w:uiPriority w:val="1"/>
    <w:qFormat/>
    <w:rsid w:val="00344374"/>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344374"/>
    <w:rPr>
      <w:color w:val="0563C1" w:themeColor="hyperlink"/>
      <w:u w:val="single"/>
    </w:rPr>
  </w:style>
  <w:style w:type="paragraph" w:customStyle="1" w:styleId="TRBReferences">
    <w:name w:val="TRB References"/>
    <w:basedOn w:val="Normal"/>
    <w:link w:val="TRBReferencesChar"/>
    <w:qFormat/>
    <w:rsid w:val="00344374"/>
    <w:pPr>
      <w:numPr>
        <w:numId w:val="2"/>
      </w:numPr>
      <w:spacing w:after="240" w:line="276" w:lineRule="auto"/>
    </w:pPr>
  </w:style>
  <w:style w:type="character" w:customStyle="1" w:styleId="TRBReferencesChar">
    <w:name w:val="TRB References Char"/>
    <w:basedOn w:val="DefaultParagraphFont"/>
    <w:link w:val="TRBReferences"/>
    <w:rsid w:val="00344374"/>
    <w:rPr>
      <w:rFonts w:ascii="Times New Roman" w:hAnsi="Times New Roman" w:cs="Times New Roman"/>
    </w:rPr>
  </w:style>
  <w:style w:type="paragraph" w:customStyle="1" w:styleId="PDMHeading2">
    <w:name w:val="PDM Heading 2"/>
    <w:basedOn w:val="Normal"/>
    <w:link w:val="PDMHeading2Char"/>
    <w:qFormat/>
    <w:rsid w:val="00344374"/>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344374"/>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344374"/>
    <w:pPr>
      <w:numPr>
        <w:numId w:val="4"/>
      </w:numPr>
      <w:spacing w:before="0"/>
    </w:pPr>
    <w:rPr>
      <w:rFonts w:ascii="Times New Roman" w:hAnsi="Times New Roman" w:cs="Times New Roman"/>
      <w:b/>
      <w:color w:val="auto"/>
      <w:sz w:val="28"/>
    </w:rPr>
  </w:style>
  <w:style w:type="character" w:customStyle="1" w:styleId="PayHeading1Char">
    <w:name w:val="Pay Heading 1 Char"/>
    <w:basedOn w:val="Heading2Char"/>
    <w:link w:val="PayHeading1"/>
    <w:rsid w:val="00344374"/>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3443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34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74"/>
    <w:rPr>
      <w:rFonts w:ascii="Times New Roman" w:hAnsi="Times New Roman" w:cs="Times New Roman"/>
    </w:rPr>
  </w:style>
  <w:style w:type="paragraph" w:styleId="Footer">
    <w:name w:val="footer"/>
    <w:basedOn w:val="Normal"/>
    <w:link w:val="FooterChar"/>
    <w:uiPriority w:val="99"/>
    <w:unhideWhenUsed/>
    <w:rsid w:val="0034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fl.fhwa.dot.gov/contracting/library-spec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dot.state.tn.us/construction/Special%20Provisions/109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wa.dot.gov/programadmin/contracts/aashto.cf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2014-07-24T18:56:00Z</dcterms:created>
  <dcterms:modified xsi:type="dcterms:W3CDTF">2014-07-24T18:57:00Z</dcterms:modified>
</cp:coreProperties>
</file>