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EB" w:rsidRPr="00167D2F" w:rsidRDefault="008C26EB" w:rsidP="00F42747">
      <w:pPr>
        <w:pStyle w:val="PDMHeading1"/>
      </w:pPr>
      <w:bookmarkStart w:id="0" w:name="_Toc392598396"/>
      <w:bookmarkStart w:id="1" w:name="_GoBack"/>
      <w:bookmarkEnd w:id="1"/>
      <w:r w:rsidRPr="00167D2F">
        <w:t>Public-Private partnerships (PPP)</w:t>
      </w:r>
      <w:bookmarkEnd w:id="0"/>
    </w:p>
    <w:p w:rsidR="008C26EB" w:rsidRDefault="008C26EB" w:rsidP="008C26EB">
      <w:pPr>
        <w:pStyle w:val="PDMHeading2"/>
      </w:pPr>
      <w:r>
        <w:t>What is it?</w:t>
      </w:r>
    </w:p>
    <w:p w:rsidR="008C26EB" w:rsidRPr="00E4789E" w:rsidRDefault="008C26EB" w:rsidP="008C26EB">
      <w:r>
        <w:t xml:space="preserve">PPPs are contractual agreements between the State Transportation Agency (STA) and a private sector entity which allows grater private sector participation in the delivery and financing of transportation projects </w:t>
      </w:r>
      <w:r>
        <w:fldChar w:fldCharType="begin"/>
      </w:r>
      <w:r>
        <w:instrText xml:space="preserve"> ADDIN ZOTERO_ITEM CSL_CITATION {"citationID":"2ch9f89dh7","properties":{"formattedCitation":"{\\rtf \\i (1)\\i0{}}","plainCitation":"(1)"},"citationItems":[{"id":400,"uris":["http://zotero.org/users/1628965/items/E8SCERW3"],"uri":["http://zotero.org/users/1628965/items/E8SCERW3"],"itemData":{"id":400,"type":"webpage","title":"P3 Defined - Design Build Operate Maintain","container-title":"Innovative Program Delivery","URL":"http://www.fhwa.dot.gov/ipd/p3/defined/design_build_operate.htm","author":[{"family":"Federal Highway Administration","given":""}],"issued":{"date-parts":[["2014"]]},"accessed":{"date-parts":[["2014",4,1]]}}}],"schema":"https://github.com/citation-style-language/schema/raw/master/csl-citation.json"} </w:instrText>
      </w:r>
      <w:r>
        <w:fldChar w:fldCharType="separate"/>
      </w:r>
      <w:r w:rsidRPr="001B4D6C">
        <w:rPr>
          <w:i/>
          <w:iCs/>
          <w:szCs w:val="24"/>
        </w:rPr>
        <w:t>(1)</w:t>
      </w:r>
      <w:r>
        <w:fldChar w:fldCharType="end"/>
      </w:r>
      <w:r>
        <w:t xml:space="preserve">. There are several definitions of PPP on the industry. The Federal Highway Administration (FHWA) </w:t>
      </w:r>
      <w:r>
        <w:fldChar w:fldCharType="begin"/>
      </w:r>
      <w:r>
        <w:instrText xml:space="preserve"> ADDIN ZOTERO_ITEM CSL_CITATION {"citationID":"2p17v8rkp9","properties":{"formattedCitation":"{\\rtf \\i (1)\\i0{}}","plainCitation":"(1)"},"citationItems":[{"id":400,"uris":["http://zotero.org/users/1628965/items/E8SCERW3"],"uri":["http://zotero.org/users/1628965/items/E8SCERW3"],"itemData":{"id":400,"type":"webpage","title":"P3 Defined - Design Build Operate Maintain","container-title":"Innovative Program Delivery","URL":"http://www.fhwa.dot.gov/ipd/p3/defined/design_build_operate.htm","author":[{"family":"Federal Highway Administration","given":""}],"issued":{"date-parts":[["2014"]]},"accessed":{"date-parts":[["2014",4,1]]}}}],"schema":"https://github.com/citation-style-language/schema/raw/master/csl-citation.json"} </w:instrText>
      </w:r>
      <w:r>
        <w:fldChar w:fldCharType="separate"/>
      </w:r>
      <w:r w:rsidRPr="00E4789E">
        <w:rPr>
          <w:i/>
          <w:iCs/>
          <w:szCs w:val="24"/>
        </w:rPr>
        <w:t>(1)</w:t>
      </w:r>
      <w:r>
        <w:fldChar w:fldCharType="end"/>
      </w:r>
      <w:r>
        <w:t xml:space="preserve"> for instance includes design-build (D-B), design-build-operate-maintain (D-B-O-M), design-build-finance (D-B-F), and design-build-finance-operate-maintain (D-B-F-O-M) as PPP options, while STAs such as the Michigan Department of Transportation (MDOT) and the California Department of Transportation (Caltrans) define PPP projects solely as D-BFOM projects. On this document, the PPP definition includes the D-B-O-M and D-B-F-O-M options as these include the Operation and Maintenance of the project into the contract and therefore result in similar contract lengths.</w:t>
      </w:r>
    </w:p>
    <w:p w:rsidR="008C26EB" w:rsidRDefault="008C26EB" w:rsidP="008C26EB">
      <w:pPr>
        <w:pStyle w:val="PDMHeading2"/>
      </w:pPr>
      <w:r>
        <w:t>Why use it?</w:t>
      </w:r>
    </w:p>
    <w:p w:rsidR="008C26EB" w:rsidRPr="001B4D6C" w:rsidRDefault="008C26EB" w:rsidP="008C26EB">
      <w:r>
        <w:t>The following are some of the advantages of the D-B-O-M PPP:</w:t>
      </w:r>
    </w:p>
    <w:p w:rsidR="008C26EB" w:rsidRPr="0086724A" w:rsidRDefault="008C26EB" w:rsidP="008C26EB">
      <w:pPr>
        <w:pStyle w:val="Bullets"/>
      </w:pPr>
      <w:r w:rsidRPr="0086724A">
        <w:t xml:space="preserve">Integrates the process of design, construction, operation, and maintenance which allows considering maintenance and operation issues during design and construction </w:t>
      </w:r>
      <w:r w:rsidRPr="0086724A">
        <w:fldChar w:fldCharType="begin"/>
      </w:r>
      <w:r w:rsidRPr="0086724A">
        <w:instrText xml:space="preserve"> ADDIN ZOTERO_ITEM CSL_CITATION {"citationID":"519qek71m","properties":{"formattedCitation":"{\\rtf \\i (2)\\i0{}}","plainCitation":"(2)"},"citationItems":[{"id":406,"uris":["http://zotero.org/users/1628965/items/CMW4IGJ2"],"uri":["http://zotero.org/users/1628965/items/CMW4IGJ2"],"itemData":{"id":406,"type":"report","title":"Innovative Project Delivery Methods for Infraestructure","publisher":"Finnsih Road Enterprise","publisher-place":"Helsinki","event-place":"Helsinki","URL":"http://alk.tiehallinto.fi/julkaisut/pdf/pakkalae5.pdf","author":[{"family":"Pakkala","given":"Pekka"}],"issued":{"date-parts":[["2002"]]}}}],"schema":"https://github.com/citation-style-language/schema/raw/master/csl-citation.json"} </w:instrText>
      </w:r>
      <w:r w:rsidRPr="0086724A">
        <w:fldChar w:fldCharType="separate"/>
      </w:r>
      <w:r w:rsidRPr="0086724A">
        <w:t>(2)</w:t>
      </w:r>
      <w:r w:rsidRPr="0086724A">
        <w:fldChar w:fldCharType="end"/>
      </w:r>
      <w:r w:rsidRPr="0086724A">
        <w:t>,</w:t>
      </w:r>
    </w:p>
    <w:p w:rsidR="008C26EB" w:rsidRPr="0086724A" w:rsidRDefault="008C26EB" w:rsidP="008C26EB">
      <w:pPr>
        <w:pStyle w:val="Bullets"/>
      </w:pPr>
      <w:r w:rsidRPr="0086724A">
        <w:t xml:space="preserve">Allows having one contract for all services and products </w:t>
      </w:r>
      <w:r w:rsidRPr="0086724A">
        <w:fldChar w:fldCharType="begin"/>
      </w:r>
      <w:r w:rsidRPr="0086724A">
        <w:instrText xml:space="preserve"> ADDIN ZOTERO_ITEM CSL_CITATION {"citationID":"2ncm1b6iuk","properties":{"formattedCitation":"{\\rtf \\i (2)\\i0{}}","plainCitation":"(2)"},"citationItems":[{"id":406,"uris":["http://zotero.org/users/1628965/items/CMW4IGJ2"],"uri":["http://zotero.org/users/1628965/items/CMW4IGJ2"],"itemData":{"id":406,"type":"report","title":"Innovative Project Delivery Methods for Infraestructure","publisher":"Finnsih Road Enterprise","publisher-place":"Helsinki","event-place":"Helsinki","URL":"http://alk.tiehallinto.fi/julkaisut/pdf/pakkalae5.pdf","author":[{"family":"Pakkala","given":"Pekka"}],"issued":{"date-parts":[["2002"]]}}}],"schema":"https://github.com/citation-style-language/schema/raw/master/csl-citation.json"} </w:instrText>
      </w:r>
      <w:r w:rsidRPr="0086724A">
        <w:fldChar w:fldCharType="separate"/>
      </w:r>
      <w:r w:rsidRPr="0086724A">
        <w:t>(2)</w:t>
      </w:r>
      <w:r w:rsidRPr="0086724A">
        <w:fldChar w:fldCharType="end"/>
      </w:r>
      <w:r w:rsidRPr="0086724A">
        <w:t>,</w:t>
      </w:r>
    </w:p>
    <w:p w:rsidR="008C26EB" w:rsidRPr="0086724A" w:rsidRDefault="008C26EB" w:rsidP="008C26EB">
      <w:pPr>
        <w:pStyle w:val="Bullets"/>
      </w:pPr>
      <w:r w:rsidRPr="0086724A">
        <w:t xml:space="preserve">Allows a faster project completion as it benefits from the same advantages of a design-build delivery method </w:t>
      </w:r>
      <w:r w:rsidRPr="0086724A">
        <w:fldChar w:fldCharType="begin"/>
      </w:r>
      <w:r w:rsidRPr="0086724A">
        <w:instrText xml:space="preserve"> ADDIN ZOTERO_ITEM CSL_CITATION {"citationID":"1227nhigqa","properties":{"formattedCitation":"{\\rtf \\i (2)\\i0{}}","plainCitation":"(2)"},"citationItems":[{"id":406,"uris":["http://zotero.org/users/1628965/items/CMW4IGJ2"],"uri":["http://zotero.org/users/1628965/items/CMW4IGJ2"],"itemData":{"id":406,"type":"report","title":"Innovative Project Delivery Methods for Infraestructure","publisher":"Finnsih Road Enterprise","publisher-place":"Helsinki","event-place":"Helsinki","URL":"http://alk.tiehallinto.fi/julkaisut/pdf/pakkalae5.pdf","author":[{"family":"Pakkala","given":"Pekka"}],"issued":{"date-parts":[["2002"]]}}}],"schema":"https://github.com/citation-style-language/schema/raw/master/csl-citation.json"} </w:instrText>
      </w:r>
      <w:r w:rsidRPr="0086724A">
        <w:fldChar w:fldCharType="separate"/>
      </w:r>
      <w:r w:rsidRPr="0086724A">
        <w:t>(2)</w:t>
      </w:r>
      <w:r w:rsidRPr="0086724A">
        <w:fldChar w:fldCharType="end"/>
      </w:r>
      <w:r w:rsidRPr="0086724A">
        <w:t xml:space="preserve">, </w:t>
      </w:r>
    </w:p>
    <w:p w:rsidR="008C26EB" w:rsidRPr="0086724A" w:rsidRDefault="008C26EB" w:rsidP="008C26EB">
      <w:pPr>
        <w:pStyle w:val="Bullets"/>
      </w:pPr>
      <w:r w:rsidRPr="0086724A">
        <w:t xml:space="preserve">The STA can get a better approximation of the total life cycle costs of the project including maintenance and operations </w:t>
      </w:r>
      <w:r w:rsidRPr="0086724A">
        <w:fldChar w:fldCharType="begin"/>
      </w:r>
      <w:r w:rsidRPr="0086724A">
        <w:instrText xml:space="preserve"> ADDIN ZOTERO_ITEM CSL_CITATION {"citationID":"hmisgt338","properties":{"formattedCitation":"{\\rtf \\i (2)\\i0{}}","plainCitation":"(2)"},"citationItems":[{"id":406,"uris":["http://zotero.org/users/1628965/items/CMW4IGJ2"],"uri":["http://zotero.org/users/1628965/items/CMW4IGJ2"],"itemData":{"id":406,"type":"report","title":"Innovative Project Delivery Methods for Infraestructure","publisher":"Finnsih Road Enterprise","publisher-place":"Helsinki","event-place":"Helsinki","URL":"http://alk.tiehallinto.fi/julkaisut/pdf/pakkalae5.pdf","author":[{"family":"Pakkala","given":"Pekka"}],"issued":{"date-parts":[["2002"]]}}}],"schema":"https://github.com/citation-style-language/schema/raw/master/csl-citation.json"} </w:instrText>
      </w:r>
      <w:r w:rsidRPr="0086724A">
        <w:fldChar w:fldCharType="separate"/>
      </w:r>
      <w:r w:rsidRPr="0086724A">
        <w:t>(2)</w:t>
      </w:r>
      <w:r w:rsidRPr="0086724A">
        <w:fldChar w:fldCharType="end"/>
      </w:r>
      <w:r w:rsidRPr="0086724A">
        <w:t xml:space="preserve">, and therefore commit funds for appropriate maintenance beforehand as well as eliminate political conflicts </w:t>
      </w:r>
      <w:r w:rsidRPr="0086724A">
        <w:fldChar w:fldCharType="begin"/>
      </w:r>
      <w:r w:rsidRPr="0086724A">
        <w:instrText xml:space="preserve"> ADDIN ZOTERO_ITEM CSL_CITATION {"citationID":"21lanennj","properties":{"formattedCitation":"{\\rtf \\i (1)\\i0{}}","plainCitation":"(1)"},"citationItems":[{"id":400,"uris":["http://zotero.org/users/1628965/items/E8SCERW3"],"uri":["http://zotero.org/users/1628965/items/E8SCERW3"],"itemData":{"id":400,"type":"webpage","title":"P3 Defined - Design Build Operate Maintain","container-title":"Innovative Program Delivery","URL":"http://www.fhwa.dot.gov/ipd/p3/defined/design_build_operate.htm","author":[{"family":"Federal Highway Administration","given":""}],"issued":{"date-parts":[["2014"]]},"accessed":{"date-parts":[["2014",4,1]]}}}],"schema":"https://github.com/citation-style-language/schema/raw/master/csl-citation.json"} </w:instrText>
      </w:r>
      <w:r w:rsidRPr="0086724A">
        <w:fldChar w:fldCharType="separate"/>
      </w:r>
      <w:r w:rsidRPr="0086724A">
        <w:t>(1)</w:t>
      </w:r>
      <w:r w:rsidRPr="0086724A">
        <w:fldChar w:fldCharType="end"/>
      </w:r>
      <w:r w:rsidRPr="0086724A">
        <w:t>, and</w:t>
      </w:r>
    </w:p>
    <w:p w:rsidR="008C26EB" w:rsidRPr="0086724A" w:rsidRDefault="008C26EB" w:rsidP="008C26EB">
      <w:pPr>
        <w:pStyle w:val="Bullets"/>
      </w:pPr>
      <w:r w:rsidRPr="0086724A">
        <w:t xml:space="preserve">Motivates the contractor to increase quality of design and workmanship in order to minimize maintenance </w:t>
      </w:r>
      <w:r w:rsidRPr="0086724A">
        <w:fldChar w:fldCharType="begin"/>
      </w:r>
      <w:r w:rsidRPr="0086724A">
        <w:instrText xml:space="preserve"> ADDIN ZOTERO_ITEM CSL_CITATION {"citationID":"18t3ul67rk","properties":{"formattedCitation":"{\\rtf \\i (3)\\i0{}}","plainCitation":"(3)"},"citationItems":[{"id":405,"uris":["http://zotero.org/users/1628965/items/K8ESWGAE"],"uri":["http://zotero.org/users/1628965/items/K8ESWGAE"],"itemData":{"id":405,"type":"book","title":"A guidebook for the evaluation of project delivery methods","publisher":"Transportation Research Board","publisher-place":"Washington, D.C.","source":"Open WorldCat","event-place":"Washington, D.C.","ISBN":"9780309117791  0309117798","language":"English","author":[{"family":"Touran","given":"Ali"},{"family":"Gransberg","given":"Douglas D"},{"family":"Molenaar","given":"Keith R."},{"family":"Ghavamifar","given":"Kamran"},{"family":"Mason","given":"D.J."},{"family":"Fithian","given":"Lee A."}],"issued":{"date-parts":[["2009"]]},"accessed":{"date-parts":[["2014",4,1]]}}}],"schema":"https://github.com/citation-style-language/schema/raw/master/csl-citation.json"} </w:instrText>
      </w:r>
      <w:r w:rsidRPr="0086724A">
        <w:fldChar w:fldCharType="separate"/>
      </w:r>
      <w:r w:rsidRPr="0086724A">
        <w:t>(3)</w:t>
      </w:r>
      <w:r w:rsidRPr="0086724A">
        <w:fldChar w:fldCharType="end"/>
      </w:r>
      <w:r w:rsidRPr="0086724A">
        <w:t>.</w:t>
      </w:r>
    </w:p>
    <w:p w:rsidR="008C26EB" w:rsidRDefault="008C26EB" w:rsidP="008C26EB">
      <w:r>
        <w:t>In addition to the previous advantages, when re assigning the financing component of the project the private sector some additional advantages can be:</w:t>
      </w:r>
    </w:p>
    <w:p w:rsidR="008C26EB" w:rsidRDefault="008C26EB" w:rsidP="008C26EB">
      <w:pPr>
        <w:pStyle w:val="Bullets"/>
      </w:pPr>
      <w:r>
        <w:t xml:space="preserve">Allows for the implementation of large projects that are would be otherwise prohibitive </w:t>
      </w:r>
      <w:r>
        <w:fldChar w:fldCharType="begin"/>
      </w:r>
      <w:r>
        <w:instrText xml:space="preserve"> ADDIN ZOTERO_ITEM CSL_CITATION {"citationID":"1cr3dg7o0c","properties":{"formattedCitation":"{\\rtf \\i (4)\\i0{}}","plainCitation":"(4)"},"citationItems":[{"id":44,"uris":["http://zotero.org/users/1628965/items/J36VQNBG"],"uri":["http://zotero.org/users/1628965/items/J36VQNBG"],"itemData":{"id":44,"type":"report","title":"Innovative Construction Contracting","publisher":"Michigan Department of Transportation","URL":"https://www.michigan.gov/documents/mdot/Innovative_Construction_Contracting_340000_7.pdf","author":[{"family":"Michigan Department of Transportation","given":""}],"issued":{"date-parts":[["2013",4,9]]},"accessed":{"date-parts":[["2013",9,21]]}}}],"schema":"https://github.com/citation-style-language/schema/raw/master/csl-citation.json"} </w:instrText>
      </w:r>
      <w:r>
        <w:fldChar w:fldCharType="separate"/>
      </w:r>
      <w:r w:rsidRPr="006E5E8D">
        <w:rPr>
          <w:i/>
          <w:iCs/>
          <w:szCs w:val="24"/>
        </w:rPr>
        <w:t>(4)</w:t>
      </w:r>
      <w:r>
        <w:fldChar w:fldCharType="end"/>
      </w:r>
    </w:p>
    <w:p w:rsidR="008C26EB" w:rsidRDefault="008C26EB" w:rsidP="008C26EB">
      <w:pPr>
        <w:pStyle w:val="Bullets"/>
      </w:pPr>
      <w:r>
        <w:t xml:space="preserve">Provides an opportunity for better budgetary management </w:t>
      </w:r>
      <w:r>
        <w:fldChar w:fldCharType="begin"/>
      </w:r>
      <w:r>
        <w:instrText xml:space="preserve"> ADDIN ZOTERO_ITEM CSL_CITATION {"citationID":"16at6p5frn","properties":{"formattedCitation":"{\\rtf \\i (4)\\i0{}}","plainCitation":"(4)"},"citationItems":[{"id":44,"uris":["http://zotero.org/users/1628965/items/J36VQNBG"],"uri":["http://zotero.org/users/1628965/items/J36VQNBG"],"itemData":{"id":44,"type":"report","title":"Innovative Construction Contracting","publisher":"Michigan Department of Transportation","URL":"https://www.michigan.gov/documents/mdot/Innovative_Construction_Contracting_340000_7.pdf","author":[{"family":"Michigan Department of Transportation","given":""}],"issued":{"date-parts":[["2013",4,9]]},"accessed":{"date-parts":[["2013",9,21]]}}}],"schema":"https://github.com/citation-style-language/schema/raw/master/csl-citation.json"} </w:instrText>
      </w:r>
      <w:r>
        <w:fldChar w:fldCharType="separate"/>
      </w:r>
      <w:r w:rsidRPr="006E5E8D">
        <w:rPr>
          <w:i/>
          <w:iCs/>
          <w:szCs w:val="24"/>
        </w:rPr>
        <w:t>(4)</w:t>
      </w:r>
      <w:r>
        <w:fldChar w:fldCharType="end"/>
      </w:r>
    </w:p>
    <w:p w:rsidR="008C26EB" w:rsidRDefault="008C26EB" w:rsidP="008C26EB">
      <w:pPr>
        <w:pStyle w:val="Bullets"/>
      </w:pPr>
      <w:r>
        <w:t xml:space="preserve">Gives a potential for generation of revenue </w:t>
      </w:r>
      <w:r>
        <w:fldChar w:fldCharType="begin"/>
      </w:r>
      <w:r>
        <w:instrText xml:space="preserve"> ADDIN ZOTERO_ITEM CSL_CITATION {"citationID":"1joqs99n84","properties":{"formattedCitation":"{\\rtf \\i (4)\\i0{}}","plainCitation":"(4)"},"citationItems":[{"id":44,"uris":["http://zotero.org/users/1628965/items/J36VQNBG"],"uri":["http://zotero.org/users/1628965/items/J36VQNBG"],"itemData":{"id":44,"type":"report","title":"Innovative Construction Contracting","publisher":"Michigan Department of Transportation","URL":"https://www.michigan.gov/documents/mdot/Innovative_Construction_Contracting_340000_7.pdf","author":[{"family":"Michigan Department of Transportation","given":""}],"issued":{"date-parts":[["2013",4,9]]},"accessed":{"date-parts":[["2013",9,21]]}}}],"schema":"https://github.com/citation-style-language/schema/raw/master/csl-citation.json"} </w:instrText>
      </w:r>
      <w:r>
        <w:fldChar w:fldCharType="separate"/>
      </w:r>
      <w:r w:rsidRPr="006E5E8D">
        <w:rPr>
          <w:i/>
          <w:iCs/>
          <w:szCs w:val="24"/>
        </w:rPr>
        <w:t>(4)</w:t>
      </w:r>
      <w:r>
        <w:fldChar w:fldCharType="end"/>
      </w:r>
    </w:p>
    <w:p w:rsidR="008C26EB" w:rsidRPr="00E4789E" w:rsidRDefault="008C26EB" w:rsidP="008C26EB">
      <w:pPr>
        <w:pStyle w:val="Bullets"/>
      </w:pPr>
      <w:r>
        <w:t xml:space="preserve">Allows the submission of unsolicited proposals allowing the private market to select potentially viable projects </w:t>
      </w:r>
      <w:r>
        <w:fldChar w:fldCharType="begin"/>
      </w:r>
      <w:r>
        <w:instrText xml:space="preserve"> ADDIN ZOTERO_ITEM CSL_CITATION {"citationID":"2poaumubvp","properties":{"formattedCitation":"{\\rtf \\i (4)\\i0{}}","plainCitation":"(4)"},"citationItems":[{"id":44,"uris":["http://zotero.org/users/1628965/items/J36VQNBG"],"uri":["http://zotero.org/users/1628965/items/J36VQNBG"],"itemData":{"id":44,"type":"report","title":"Innovative Construction Contracting","publisher":"Michigan Department of Transportation","URL":"https://www.michigan.gov/documents/mdot/Innovative_Construction_Contracting_340000_7.pdf","author":[{"family":"Michigan Department of Transportation","given":""}],"issued":{"date-parts":[["2013",4,9]]},"accessed":{"date-parts":[["2013",9,21]]}}}],"schema":"https://github.com/citation-style-language/schema/raw/master/csl-citation.json"} </w:instrText>
      </w:r>
      <w:r>
        <w:fldChar w:fldCharType="separate"/>
      </w:r>
      <w:r w:rsidRPr="006E5E8D">
        <w:rPr>
          <w:i/>
          <w:iCs/>
          <w:szCs w:val="24"/>
        </w:rPr>
        <w:t>(4)</w:t>
      </w:r>
      <w:r>
        <w:fldChar w:fldCharType="end"/>
      </w:r>
    </w:p>
    <w:p w:rsidR="008C26EB" w:rsidRDefault="008C26EB" w:rsidP="008C26EB">
      <w:pPr>
        <w:pStyle w:val="PDMHeading2"/>
      </w:pPr>
      <w:r>
        <w:lastRenderedPageBreak/>
        <w:t>What does it do?</w:t>
      </w:r>
    </w:p>
    <w:p w:rsidR="008C26EB" w:rsidRDefault="008C26EB" w:rsidP="008C26EB">
      <w:r>
        <w:t xml:space="preserve">PPP projects combine the design and construction responsibilities with the operations, maintenance, and financial responsibilities under a single contract with the private sector resulting in </w:t>
      </w:r>
      <w:proofErr w:type="gramStart"/>
      <w:r>
        <w:t>long term</w:t>
      </w:r>
      <w:proofErr w:type="gramEnd"/>
      <w:r>
        <w:t xml:space="preserve"> concessions of 30 years or more. In case of the D-B-M-O PPP, financing </w:t>
      </w:r>
      <w:proofErr w:type="gramStart"/>
      <w:r>
        <w:t>is secured</w:t>
      </w:r>
      <w:proofErr w:type="gramEnd"/>
      <w:r>
        <w:t xml:space="preserve"> by the STA. As a result, the STA retains the operating revenue risks and any surplus operating revenue </w:t>
      </w:r>
      <w:r>
        <w:fldChar w:fldCharType="begin"/>
      </w:r>
      <w:r>
        <w:instrText xml:space="preserve"> ADDIN ZOTERO_ITEM CSL_CITATION {"citationID":"37jh090h8","properties":{"formattedCitation":"{\\rtf \\i (1)\\i0{}}","plainCitation":"(1)"},"citationItems":[{"id":400,"uris":["http://zotero.org/users/1628965/items/E8SCERW3"],"uri":["http://zotero.org/users/1628965/items/E8SCERW3"],"itemData":{"id":400,"type":"webpage","title":"P3 Defined - Design Build Operate Maintain","container-title":"Innovative Program Delivery","URL":"http://www.fhwa.dot.gov/ipd/p3/defined/design_build_operate.htm","author":[{"family":"Federal Highway Administration","given":""}],"issued":{"date-parts":[["2014"]]},"accessed":{"date-parts":[["2014",4,1]]}}}],"schema":"https://github.com/citation-style-language/schema/raw/master/csl-citation.json"} </w:instrText>
      </w:r>
      <w:r>
        <w:fldChar w:fldCharType="separate"/>
      </w:r>
      <w:r w:rsidRPr="006D1041">
        <w:rPr>
          <w:i/>
          <w:iCs/>
          <w:szCs w:val="24"/>
        </w:rPr>
        <w:t>(1)</w:t>
      </w:r>
      <w:r>
        <w:fldChar w:fldCharType="end"/>
      </w:r>
      <w:r>
        <w:t>.</w:t>
      </w:r>
    </w:p>
    <w:p w:rsidR="008C26EB" w:rsidRDefault="008C26EB" w:rsidP="008C26EB">
      <w:r>
        <w:t xml:space="preserve">In the case of D-B-F-O-M </w:t>
      </w:r>
      <w:proofErr w:type="gramStart"/>
      <w:r>
        <w:t>PPP</w:t>
      </w:r>
      <w:proofErr w:type="gramEnd"/>
      <w:r>
        <w:t xml:space="preserve"> the private sector is responsible for securing financing for the project. Two different models of D-B-F-O-M </w:t>
      </w:r>
      <w:proofErr w:type="gramStart"/>
      <w:r>
        <w:t>have been used</w:t>
      </w:r>
      <w:proofErr w:type="gramEnd"/>
      <w:r>
        <w:t xml:space="preserve"> in the United States: Road Toll Concession, and Availability Payment Concessions. Under the first model, tolls generated by the project are the primary source of revenue. Here the private sector retains the right to collect the revenues during the concession period and assumes the risk that these may not meet the expected forecasts. The contract usually provides some provision to help the private sector if revenues are lower than expected such as development subsidies, right-of-way provisions or limited revenue guarantees. </w:t>
      </w:r>
      <w:proofErr w:type="gramStart"/>
      <w:r>
        <w:t>Ultimately</w:t>
      </w:r>
      <w:proofErr w:type="gramEnd"/>
      <w:r>
        <w:t xml:space="preserve"> however, these toll revenues are expected to cover the costs of the project. Similarly, in order to protect the public interest in case of robust revenue generation, the contract includes revenue-sharing provisions.</w:t>
      </w:r>
    </w:p>
    <w:p w:rsidR="008C26EB" w:rsidRPr="006D1041" w:rsidRDefault="008C26EB" w:rsidP="008C26EB">
      <w:r>
        <w:t xml:space="preserve">Under the second model, the project revenue risk </w:t>
      </w:r>
      <w:proofErr w:type="gramStart"/>
      <w:r>
        <w:t>is retained</w:t>
      </w:r>
      <w:proofErr w:type="gramEnd"/>
      <w:r>
        <w:t xml:space="preserve"> by the STA. This contractual agreement stipulates that the STA will compensate the private partner according a </w:t>
      </w:r>
      <w:proofErr w:type="gramStart"/>
      <w:r>
        <w:t>long term</w:t>
      </w:r>
      <w:proofErr w:type="gramEnd"/>
      <w:r>
        <w:t xml:space="preserve"> reimbursement schedule. This payment are made based on milestones, such as initially completing specified construction activities, and/or meeting operational performance standards such as lane closures, incident management, or snow removal. This model </w:t>
      </w:r>
      <w:proofErr w:type="gramStart"/>
      <w:r>
        <w:t>is used</w:t>
      </w:r>
      <w:proofErr w:type="gramEnd"/>
      <w:r>
        <w:t xml:space="preserve"> on projects that are not tolled or for which project revenues are not expected to cover the project costs.</w:t>
      </w:r>
    </w:p>
    <w:p w:rsidR="008C26EB" w:rsidRDefault="008C26EB" w:rsidP="008C26EB">
      <w:pPr>
        <w:pStyle w:val="PDMHeading2"/>
      </w:pPr>
      <w:proofErr w:type="gramStart"/>
      <w:r>
        <w:t>How to use it?</w:t>
      </w:r>
      <w:proofErr w:type="gramEnd"/>
    </w:p>
    <w:p w:rsidR="008C26EB" w:rsidRDefault="008C26EB" w:rsidP="008C26EB">
      <w:r>
        <w:t xml:space="preserve">Once a project has been identified as a good candidate for the PPP delivery method the FHWA </w:t>
      </w:r>
      <w:r>
        <w:fldChar w:fldCharType="begin"/>
      </w:r>
      <w:r>
        <w:instrText xml:space="preserve"> ADDIN ZOTERO_ITEM CSL_CITATION {"citationID":"3g7u33un0","properties":{"formattedCitation":"{\\rtf \\i (5)\\i0{}}","plainCitation":"(5)"},"citationItems":[{"id":262,"uris":["http://zotero.org/users/1628965/items/BVFCEZJX"],"uri":["http://zotero.org/users/1628965/items/BVFCEZJX"],"itemData":{"id":262,"type":"article","title":"Public-Private Partnership Concessions for Highway Projects: A primer","publisher":"U.S. Department of Transportation, Federal Highway Administration","URL":"http://www.fhwa.dot.gov/ipd/pdfs/p3/p3_concession_primer.pdf","author":[{"family":"Federal Highway Administration","given":""}],"issued":{"date-parts":[["2010",10]]},"accessed":{"date-parts":[["2013",11,11]]}}}],"schema":"https://github.com/citation-style-language/schema/raw/master/csl-citation.json"} </w:instrText>
      </w:r>
      <w:r>
        <w:fldChar w:fldCharType="separate"/>
      </w:r>
      <w:r w:rsidRPr="004E236E">
        <w:rPr>
          <w:i/>
          <w:iCs/>
          <w:szCs w:val="24"/>
        </w:rPr>
        <w:t>(5)</w:t>
      </w:r>
      <w:r>
        <w:fldChar w:fldCharType="end"/>
      </w:r>
      <w:r>
        <w:t xml:space="preserve"> suggests the following typical steps:</w:t>
      </w:r>
    </w:p>
    <w:p w:rsidR="008C26EB" w:rsidRDefault="008C26EB" w:rsidP="008C26EB">
      <w:pPr>
        <w:numPr>
          <w:ilvl w:val="0"/>
          <w:numId w:val="13"/>
        </w:numPr>
        <w:ind w:left="360"/>
      </w:pPr>
      <w:r w:rsidRPr="00A0334C">
        <w:rPr>
          <w:b/>
          <w:i/>
        </w:rPr>
        <w:t>Establish project goals</w:t>
      </w:r>
      <w:r>
        <w:rPr>
          <w:b/>
        </w:rPr>
        <w:t xml:space="preserve"> – </w:t>
      </w:r>
      <w:r>
        <w:t xml:space="preserve">The project goals should include what construction or reconstruction needs to be done, what the risks are with the project, and what operational and performance measures are important for the project. </w:t>
      </w:r>
    </w:p>
    <w:p w:rsidR="008C26EB" w:rsidRDefault="008C26EB" w:rsidP="008C26EB">
      <w:pPr>
        <w:numPr>
          <w:ilvl w:val="0"/>
          <w:numId w:val="13"/>
        </w:numPr>
        <w:ind w:left="360"/>
      </w:pPr>
      <w:r w:rsidRPr="00A0334C">
        <w:rPr>
          <w:b/>
          <w:i/>
        </w:rPr>
        <w:t>Hold Industry Meeting</w:t>
      </w:r>
      <w:r>
        <w:rPr>
          <w:b/>
        </w:rPr>
        <w:t xml:space="preserve"> –</w:t>
      </w:r>
      <w:r>
        <w:t xml:space="preserve"> Once the project goals </w:t>
      </w:r>
      <w:proofErr w:type="gramStart"/>
      <w:r>
        <w:t>have been identified</w:t>
      </w:r>
      <w:proofErr w:type="gramEnd"/>
      <w:r>
        <w:t xml:space="preserve">, the STA should hold meetings with the private sector to allow for industry input that will provide feedback on the PPP potential of the project. </w:t>
      </w:r>
    </w:p>
    <w:p w:rsidR="008C26EB" w:rsidRDefault="008C26EB" w:rsidP="008C26EB">
      <w:pPr>
        <w:numPr>
          <w:ilvl w:val="0"/>
          <w:numId w:val="13"/>
        </w:numPr>
        <w:ind w:left="360"/>
      </w:pPr>
      <w:r w:rsidRPr="00A0334C">
        <w:rPr>
          <w:b/>
          <w:i/>
        </w:rPr>
        <w:lastRenderedPageBreak/>
        <w:t>Examine Revenue Options</w:t>
      </w:r>
      <w:r>
        <w:rPr>
          <w:b/>
        </w:rPr>
        <w:t xml:space="preserve"> – </w:t>
      </w:r>
      <w:r>
        <w:t xml:space="preserve">Different revenue alternatives </w:t>
      </w:r>
      <w:proofErr w:type="gramStart"/>
      <w:r>
        <w:t>should be analyzed</w:t>
      </w:r>
      <w:proofErr w:type="gramEnd"/>
      <w:r>
        <w:t xml:space="preserve"> with a project. The revenue source identification usually starts by analyzing the users of the project, and is dependent on the type of project to be constructed.</w:t>
      </w:r>
    </w:p>
    <w:p w:rsidR="008C26EB" w:rsidRDefault="008C26EB" w:rsidP="008C26EB">
      <w:pPr>
        <w:numPr>
          <w:ilvl w:val="0"/>
          <w:numId w:val="13"/>
        </w:numPr>
        <w:ind w:left="360"/>
      </w:pPr>
      <w:r w:rsidRPr="00A0334C">
        <w:rPr>
          <w:b/>
          <w:i/>
        </w:rPr>
        <w:t>Evaluate Financial and Other Risks</w:t>
      </w:r>
      <w:r>
        <w:rPr>
          <w:b/>
        </w:rPr>
        <w:t xml:space="preserve"> – </w:t>
      </w:r>
      <w:r>
        <w:t xml:space="preserve">Upon identification of the revenue sources, the STA should establish how much of the financing can be supported by the revenue. This calculation depends on the current market conditions and the reliability of the revenue forecast. In addition to the financial risks, other risks include environmental, permitting, archeological, geotechnical, and other existent conditions. </w:t>
      </w:r>
    </w:p>
    <w:p w:rsidR="008C26EB" w:rsidRDefault="008C26EB" w:rsidP="008C26EB">
      <w:pPr>
        <w:numPr>
          <w:ilvl w:val="0"/>
          <w:numId w:val="13"/>
        </w:numPr>
        <w:ind w:left="360"/>
      </w:pPr>
      <w:r w:rsidRPr="00A0334C">
        <w:rPr>
          <w:b/>
          <w:i/>
        </w:rPr>
        <w:t>Evaluate Public Sector Capacity for Project Development</w:t>
      </w:r>
      <w:r>
        <w:rPr>
          <w:b/>
        </w:rPr>
        <w:t xml:space="preserve"> – </w:t>
      </w:r>
      <w:r>
        <w:t xml:space="preserve">Here, the STA will examine its capacity to complete the project using traditional methods. Generally, STAs develop a comparator that shows the costs and risks that would assumed under such traditional delivery. </w:t>
      </w:r>
    </w:p>
    <w:p w:rsidR="008C26EB" w:rsidRDefault="008C26EB" w:rsidP="008C26EB">
      <w:pPr>
        <w:numPr>
          <w:ilvl w:val="0"/>
          <w:numId w:val="13"/>
        </w:numPr>
        <w:ind w:left="360"/>
      </w:pPr>
      <w:proofErr w:type="gramStart"/>
      <w:r w:rsidRPr="00A0334C">
        <w:rPr>
          <w:b/>
          <w:i/>
        </w:rPr>
        <w:t>Examine Possible Benefits of PPP or Conduct Value for Money Analysis</w:t>
      </w:r>
      <w:r>
        <w:rPr>
          <w:b/>
        </w:rPr>
        <w:t xml:space="preserve"> –</w:t>
      </w:r>
      <w:r>
        <w:t xml:space="preserve"> Upon defining a comparator, the STA should analyze the benefits of using a PPP delivery instead of a more traditional delivery.</w:t>
      </w:r>
      <w:proofErr w:type="gramEnd"/>
      <w:r>
        <w:t xml:space="preserve"> Risk, </w:t>
      </w:r>
      <w:proofErr w:type="gramStart"/>
      <w:r>
        <w:t>benefits</w:t>
      </w:r>
      <w:proofErr w:type="gramEnd"/>
      <w:r>
        <w:t xml:space="preserve"> and costs of the comparator and the PPP project should be compared, this process is called a value for money (</w:t>
      </w:r>
      <w:proofErr w:type="spellStart"/>
      <w:r>
        <w:t>VfM</w:t>
      </w:r>
      <w:proofErr w:type="spellEnd"/>
      <w:r>
        <w:t xml:space="preserve">) analysis. </w:t>
      </w:r>
    </w:p>
    <w:p w:rsidR="008C26EB" w:rsidRDefault="008C26EB" w:rsidP="008C26EB">
      <w:pPr>
        <w:numPr>
          <w:ilvl w:val="0"/>
          <w:numId w:val="13"/>
        </w:numPr>
        <w:ind w:left="360"/>
      </w:pPr>
      <w:r w:rsidRPr="00A0334C">
        <w:rPr>
          <w:b/>
          <w:i/>
        </w:rPr>
        <w:t>Determine how to implement PPP</w:t>
      </w:r>
      <w:r>
        <w:rPr>
          <w:b/>
        </w:rPr>
        <w:t xml:space="preserve"> –</w:t>
      </w:r>
      <w:r>
        <w:t xml:space="preserve"> The </w:t>
      </w:r>
      <w:proofErr w:type="spellStart"/>
      <w:r>
        <w:t>VfM</w:t>
      </w:r>
      <w:proofErr w:type="spellEnd"/>
      <w:r>
        <w:t xml:space="preserve"> analysis provides a tool for deciding whether to deliver the project as a PPP. However, it also serves as tool for identifying the PPP model to use, and a general overview of the concession should work.</w:t>
      </w:r>
    </w:p>
    <w:p w:rsidR="008C26EB" w:rsidRDefault="008C26EB" w:rsidP="008C26EB">
      <w:r>
        <w:t xml:space="preserve">During the procurement of the project typical steps include </w:t>
      </w:r>
      <w:r>
        <w:fldChar w:fldCharType="begin"/>
      </w:r>
      <w:r>
        <w:instrText xml:space="preserve"> ADDIN ZOTERO_ITEM CSL_CITATION {"citationID":"4tq2npvgb","properties":{"formattedCitation":"{\\rtf \\i (5)\\i0{}}","plainCitation":"(5)"},"citationItems":[{"id":262,"uris":["http://zotero.org/users/1628965/items/BVFCEZJX"],"uri":["http://zotero.org/users/1628965/items/BVFCEZJX"],"itemData":{"id":262,"type":"article","title":"Public-Private Partnership Concessions for Highway Projects: A primer","publisher":"U.S. Department of Transportation, Federal Highway Administration","URL":"http://www.fhwa.dot.gov/ipd/pdfs/p3/p3_concession_primer.pdf","author":[{"family":"Federal Highway Administration","given":""}],"issued":{"date-parts":[["2010",10]]},"accessed":{"date-parts":[["2013",11,11]]}}}],"schema":"https://github.com/citation-style-language/schema/raw/master/csl-citation.json"} </w:instrText>
      </w:r>
      <w:r>
        <w:fldChar w:fldCharType="separate"/>
      </w:r>
      <w:r w:rsidRPr="00402F4E">
        <w:rPr>
          <w:i/>
          <w:iCs/>
          <w:szCs w:val="24"/>
        </w:rPr>
        <w:t>(5)</w:t>
      </w:r>
      <w:r>
        <w:fldChar w:fldCharType="end"/>
      </w:r>
      <w:r>
        <w:t>:</w:t>
      </w:r>
    </w:p>
    <w:p w:rsidR="008C26EB" w:rsidRDefault="008C26EB" w:rsidP="008C26EB">
      <w:pPr>
        <w:numPr>
          <w:ilvl w:val="0"/>
          <w:numId w:val="14"/>
        </w:numPr>
        <w:ind w:left="360"/>
      </w:pPr>
      <w:r w:rsidRPr="00A0334C">
        <w:rPr>
          <w:b/>
          <w:i/>
        </w:rPr>
        <w:t>Development of Request for Information or Request for Qualifications (RFI/RFQ)</w:t>
      </w:r>
      <w:r>
        <w:rPr>
          <w:b/>
        </w:rPr>
        <w:t xml:space="preserve"> – </w:t>
      </w:r>
      <w:r>
        <w:t xml:space="preserve">These documents provide contractors with information about the project and the STA’s goals. It also provides a tool for eliminating interested contractor who do not have adequate qualification from the procurement process. </w:t>
      </w:r>
    </w:p>
    <w:p w:rsidR="008C26EB" w:rsidRDefault="008C26EB" w:rsidP="008C26EB">
      <w:pPr>
        <w:numPr>
          <w:ilvl w:val="0"/>
          <w:numId w:val="14"/>
        </w:numPr>
        <w:ind w:left="360"/>
      </w:pPr>
      <w:r w:rsidRPr="00A0334C">
        <w:rPr>
          <w:b/>
          <w:i/>
        </w:rPr>
        <w:t>Development of Request for Proposals and bidding process</w:t>
      </w:r>
      <w:r>
        <w:rPr>
          <w:b/>
        </w:rPr>
        <w:t xml:space="preserve"> – </w:t>
      </w:r>
      <w:r>
        <w:t>With a list of potential bidders from the previous step, the STA should issue a request for proposals (RFP). The RFP usually includes information gained through the RFI/RFQ process.</w:t>
      </w:r>
    </w:p>
    <w:p w:rsidR="008C26EB" w:rsidRDefault="008C26EB" w:rsidP="008C26EB">
      <w:pPr>
        <w:numPr>
          <w:ilvl w:val="0"/>
          <w:numId w:val="14"/>
        </w:numPr>
        <w:ind w:left="360"/>
      </w:pPr>
      <w:r w:rsidRPr="00A0334C">
        <w:rPr>
          <w:b/>
          <w:i/>
        </w:rPr>
        <w:t>Select and Negotiate with Private Partner</w:t>
      </w:r>
      <w:r>
        <w:rPr>
          <w:b/>
        </w:rPr>
        <w:t xml:space="preserve"> – </w:t>
      </w:r>
      <w:r>
        <w:t>Differently from traditional methods, cost is only one of the factors in PPP procurement. Experience and technical capabilities are other important factors. Upon selection of the Private Partner, both parties should negotiate contract details such payment delivery.</w:t>
      </w:r>
    </w:p>
    <w:p w:rsidR="008C26EB" w:rsidRDefault="008C26EB" w:rsidP="008C26EB">
      <w:r>
        <w:lastRenderedPageBreak/>
        <w:t xml:space="preserve">Upon selection of a private partner concessionaire, it is time to implement the PPP. Typical steps are </w:t>
      </w:r>
      <w:r>
        <w:fldChar w:fldCharType="begin"/>
      </w:r>
      <w:r>
        <w:instrText xml:space="preserve"> ADDIN ZOTERO_ITEM CSL_CITATION {"citationID":"2qtd8dv5k3","properties":{"formattedCitation":"{\\rtf \\i (5)\\i0{}}","plainCitation":"(5)"},"citationItems":[{"id":262,"uris":["http://zotero.org/users/1628965/items/BVFCEZJX"],"uri":["http://zotero.org/users/1628965/items/BVFCEZJX"],"itemData":{"id":262,"type":"article","title":"Public-Private Partnership Concessions for Highway Projects: A primer","publisher":"U.S. Department of Transportation, Federal Highway Administration","URL":"http://www.fhwa.dot.gov/ipd/pdfs/p3/p3_concession_primer.pdf","author":[{"family":"Federal Highway Administration","given":""}],"issued":{"date-parts":[["2010",10]]},"accessed":{"date-parts":[["2013",11,11]]}}}],"schema":"https://github.com/citation-style-language/schema/raw/master/csl-citation.json"} </w:instrText>
      </w:r>
      <w:r>
        <w:fldChar w:fldCharType="separate"/>
      </w:r>
      <w:r w:rsidRPr="00402F4E">
        <w:rPr>
          <w:i/>
          <w:iCs/>
          <w:szCs w:val="24"/>
        </w:rPr>
        <w:t>(5)</w:t>
      </w:r>
      <w:r>
        <w:fldChar w:fldCharType="end"/>
      </w:r>
      <w:r>
        <w:t>:</w:t>
      </w:r>
    </w:p>
    <w:p w:rsidR="008C26EB" w:rsidRDefault="008C26EB" w:rsidP="008C26EB">
      <w:pPr>
        <w:numPr>
          <w:ilvl w:val="0"/>
          <w:numId w:val="15"/>
        </w:numPr>
        <w:ind w:left="360"/>
      </w:pPr>
      <w:r w:rsidRPr="00A0334C">
        <w:rPr>
          <w:b/>
          <w:i/>
        </w:rPr>
        <w:t>Gather Debt and Equity Capital</w:t>
      </w:r>
      <w:r>
        <w:rPr>
          <w:b/>
        </w:rPr>
        <w:t xml:space="preserve"> – </w:t>
      </w:r>
      <w:r>
        <w:t xml:space="preserve">The private partner find the resources for the project from different lenders and bond issuers. The private partner needs to show that the money it has is enough to build the project and secure the revenues used to repay the debt. </w:t>
      </w:r>
    </w:p>
    <w:p w:rsidR="008C26EB" w:rsidRDefault="008C26EB" w:rsidP="008C26EB">
      <w:pPr>
        <w:numPr>
          <w:ilvl w:val="0"/>
          <w:numId w:val="15"/>
        </w:numPr>
        <w:ind w:left="360"/>
      </w:pPr>
      <w:r w:rsidRPr="00A0334C">
        <w:rPr>
          <w:b/>
          <w:i/>
        </w:rPr>
        <w:t>Design – Build</w:t>
      </w:r>
      <w:r>
        <w:rPr>
          <w:b/>
        </w:rPr>
        <w:t xml:space="preserve"> – </w:t>
      </w:r>
      <w:r>
        <w:t xml:space="preserve">Construction starts as soon as possible after financial close. The STA should provide contract provision that cover damages for delays that are under the private partner control. Payment may or </w:t>
      </w:r>
      <w:proofErr w:type="gramStart"/>
      <w:r>
        <w:t>may not be done</w:t>
      </w:r>
      <w:proofErr w:type="gramEnd"/>
      <w:r>
        <w:t xml:space="preserve"> depending on the PPP model chosen. </w:t>
      </w:r>
    </w:p>
    <w:p w:rsidR="008C26EB" w:rsidRPr="00D95DA3" w:rsidRDefault="008C26EB" w:rsidP="008C26EB">
      <w:pPr>
        <w:numPr>
          <w:ilvl w:val="0"/>
          <w:numId w:val="15"/>
        </w:numPr>
        <w:ind w:left="360"/>
      </w:pPr>
      <w:r w:rsidRPr="00A0334C">
        <w:rPr>
          <w:b/>
          <w:i/>
        </w:rPr>
        <w:t>Operate and Maintain</w:t>
      </w:r>
      <w:r>
        <w:rPr>
          <w:b/>
        </w:rPr>
        <w:t xml:space="preserve"> – </w:t>
      </w:r>
      <w:r>
        <w:t xml:space="preserve">Upon completion of construction the private partner operates and maintains the project according to performance levels specified by the STA. These can include keeping a certain number of lanes open to traffic during peak hours, responding to traffic incidents within a set </w:t>
      </w:r>
      <w:proofErr w:type="gramStart"/>
      <w:r>
        <w:t>period of time</w:t>
      </w:r>
      <w:proofErr w:type="gramEnd"/>
      <w:r>
        <w:t xml:space="preserve">, and establishing time limits to clear roadside debris. During this </w:t>
      </w:r>
      <w:proofErr w:type="gramStart"/>
      <w:r>
        <w:t>stage</w:t>
      </w:r>
      <w:proofErr w:type="gramEnd"/>
      <w:r>
        <w:t xml:space="preserve"> the STA should monitor the private partner’s performance. The contract should specify the steps to </w:t>
      </w:r>
      <w:proofErr w:type="gramStart"/>
      <w:r>
        <w:t>be followed</w:t>
      </w:r>
      <w:proofErr w:type="gramEnd"/>
      <w:r>
        <w:t xml:space="preserve"> in case the private partner fails to meet the performance standards. Some of these provisions allows for financial penalties, or “default points” for serious violations. A series of Default Points usually allow cancelling the concession, giving it to another concessionaire, or bringing it under STA control. </w:t>
      </w:r>
    </w:p>
    <w:p w:rsidR="008C26EB" w:rsidRDefault="008C26EB" w:rsidP="008C26EB">
      <w:pPr>
        <w:pStyle w:val="PDMHeading2"/>
      </w:pPr>
      <w:proofErr w:type="gramStart"/>
      <w:r>
        <w:t>When to use it?</w:t>
      </w:r>
      <w:proofErr w:type="gramEnd"/>
    </w:p>
    <w:p w:rsidR="008C26EB" w:rsidRDefault="008C26EB" w:rsidP="008C26EB">
      <w:r>
        <w:t xml:space="preserve">PPP contracts are most appropriate </w:t>
      </w:r>
      <w:proofErr w:type="gramStart"/>
      <w:r>
        <w:t>for</w:t>
      </w:r>
      <w:proofErr w:type="gramEnd"/>
      <w:r>
        <w:t>:</w:t>
      </w:r>
    </w:p>
    <w:p w:rsidR="008C26EB" w:rsidRDefault="008C26EB" w:rsidP="008C26EB">
      <w:pPr>
        <w:pStyle w:val="Bullets"/>
      </w:pPr>
      <w:r>
        <w:t xml:space="preserve">Large or mega projects </w:t>
      </w:r>
      <w:r>
        <w:fldChar w:fldCharType="begin"/>
      </w:r>
      <w:r>
        <w:instrText xml:space="preserve"> ADDIN ZOTERO_ITEM CSL_CITATION {"citationID":"bh4jehdm7","properties":{"formattedCitation":"{\\rtf \\i (4)\\i0{}}","plainCitation":"(4)"},"citationItems":[{"id":44,"uris":["http://zotero.org/users/1628965/items/J36VQNBG"],"uri":["http://zotero.org/users/1628965/items/J36VQNBG"],"itemData":{"id":44,"type":"report","title":"Innovative Construction Contracting","publisher":"Michigan Department of Transportation","URL":"https://www.michigan.gov/documents/mdot/Innovative_Construction_Contracting_340000_7.pdf","author":[{"family":"Michigan Department of Transportation","given":""}],"issued":{"date-parts":[["2013",4,9]]},"accessed":{"date-parts":[["2013",9,21]]}}}],"schema":"https://github.com/citation-style-language/schema/raw/master/csl-citation.json"} </w:instrText>
      </w:r>
      <w:r>
        <w:fldChar w:fldCharType="separate"/>
      </w:r>
      <w:r w:rsidRPr="000D0F63">
        <w:rPr>
          <w:i/>
          <w:iCs/>
          <w:szCs w:val="24"/>
        </w:rPr>
        <w:t>(4)</w:t>
      </w:r>
      <w:r>
        <w:fldChar w:fldCharType="end"/>
      </w:r>
      <w:r>
        <w:t xml:space="preserve"> where the public sector may lack the financial capacity to execute and complete such projects </w:t>
      </w:r>
      <w:r>
        <w:fldChar w:fldCharType="begin"/>
      </w:r>
      <w:r>
        <w:instrText xml:space="preserve"> ADDIN ZOTERO_ITEM CSL_CITATION {"citationID":"40v5hfstk","properties":{"formattedCitation":"{\\rtf \\i (5)\\i0{}}","plainCitation":"(5)"},"citationItems":[{"id":262,"uris":["http://zotero.org/users/1628965/items/BVFCEZJX"],"uri":["http://zotero.org/users/1628965/items/BVFCEZJX"],"itemData":{"id":262,"type":"article","title":"Public-Private Partnership Concessions for Highway Projects: A primer","publisher":"U.S. Department of Transportation, Federal Highway Administration","URL":"http://www.fhwa.dot.gov/ipd/pdfs/p3/p3_concession_primer.pdf","author":[{"family":"Federal Highway Administration","given":""}],"issued":{"date-parts":[["2010",10]]},"accessed":{"date-parts":[["2013",11,11]]}}}],"schema":"https://github.com/citation-style-language/schema/raw/master/csl-citation.json"} </w:instrText>
      </w:r>
      <w:r>
        <w:fldChar w:fldCharType="separate"/>
      </w:r>
      <w:r w:rsidRPr="008D13FB">
        <w:rPr>
          <w:i/>
          <w:iCs/>
          <w:szCs w:val="24"/>
        </w:rPr>
        <w:t>(5)</w:t>
      </w:r>
      <w:r>
        <w:fldChar w:fldCharType="end"/>
      </w:r>
      <w:r>
        <w:t xml:space="preserve">. </w:t>
      </w:r>
    </w:p>
    <w:p w:rsidR="008C26EB" w:rsidRDefault="008C26EB" w:rsidP="008C26EB">
      <w:pPr>
        <w:pStyle w:val="Bullets"/>
      </w:pPr>
      <w:r>
        <w:t xml:space="preserve">Project that are complex, as PPP allows taking advantage of specialized expertise in the private sector </w:t>
      </w:r>
      <w:r>
        <w:fldChar w:fldCharType="begin"/>
      </w:r>
      <w:r>
        <w:instrText xml:space="preserve"> ADDIN ZOTERO_ITEM CSL_CITATION {"citationID":"2bhpq2593e","properties":{"formattedCitation":"{\\rtf \\i (5)\\i0{}}","plainCitation":"(5)"},"citationItems":[{"id":262,"uris":["http://zotero.org/users/1628965/items/BVFCEZJX"],"uri":["http://zotero.org/users/1628965/items/BVFCEZJX"],"itemData":{"id":262,"type":"article","title":"Public-Private Partnership Concessions for Highway Projects: A primer","publisher":"U.S. Department of Transportation, Federal Highway Administration","URL":"http://www.fhwa.dot.gov/ipd/pdfs/p3/p3_concession_primer.pdf","author":[{"family":"Federal Highway Administration","given":""}],"issued":{"date-parts":[["2010",10]]},"accessed":{"date-parts":[["2013",11,11]]}}}],"schema":"https://github.com/citation-style-language/schema/raw/master/csl-citation.json"} </w:instrText>
      </w:r>
      <w:r>
        <w:fldChar w:fldCharType="separate"/>
      </w:r>
      <w:r w:rsidRPr="008D13FB">
        <w:rPr>
          <w:i/>
          <w:iCs/>
          <w:szCs w:val="24"/>
        </w:rPr>
        <w:t>(5)</w:t>
      </w:r>
      <w:r>
        <w:fldChar w:fldCharType="end"/>
      </w:r>
      <w:r>
        <w:t xml:space="preserve">. </w:t>
      </w:r>
    </w:p>
    <w:p w:rsidR="008C26EB" w:rsidRDefault="008C26EB" w:rsidP="008C26EB">
      <w:pPr>
        <w:pStyle w:val="Bullets"/>
      </w:pPr>
      <w:r>
        <w:t xml:space="preserve">Projects that can or could generate revenue </w:t>
      </w:r>
      <w:r>
        <w:fldChar w:fldCharType="begin"/>
      </w:r>
      <w:r>
        <w:instrText xml:space="preserve"> ADDIN ZOTERO_ITEM CSL_CITATION {"citationID":"23ru4c9a6a","properties":{"formattedCitation":"{\\rtf \\i (4)\\i0{}}","plainCitation":"(4)"},"citationItems":[{"id":44,"uris":["http://zotero.org/users/1628965/items/J36VQNBG"],"uri":["http://zotero.org/users/1628965/items/J36VQNBG"],"itemData":{"id":44,"type":"report","title":"Innovative Construction Contracting","publisher":"Michigan Department of Transportation","URL":"https://www.michigan.gov/documents/mdot/Innovative_Construction_Contracting_340000_7.pdf","author":[{"family":"Michigan Department of Transportation","given":""}],"issued":{"date-parts":[["2013",4,9]]},"accessed":{"date-parts":[["2013",9,21]]}}}],"schema":"https://github.com/citation-style-language/schema/raw/master/csl-citation.json"} </w:instrText>
      </w:r>
      <w:r>
        <w:fldChar w:fldCharType="separate"/>
      </w:r>
      <w:r w:rsidRPr="008D13FB">
        <w:rPr>
          <w:i/>
          <w:iCs/>
          <w:szCs w:val="24"/>
        </w:rPr>
        <w:t>(4)</w:t>
      </w:r>
      <w:r>
        <w:fldChar w:fldCharType="end"/>
      </w:r>
      <w:r>
        <w:t>,</w:t>
      </w:r>
    </w:p>
    <w:p w:rsidR="008C26EB" w:rsidRDefault="008C26EB" w:rsidP="008C26EB">
      <w:pPr>
        <w:pStyle w:val="Bullets"/>
      </w:pPr>
      <w:r>
        <w:t xml:space="preserve">Project with strong public support which secures the required political approvals </w:t>
      </w:r>
      <w:r>
        <w:fldChar w:fldCharType="begin"/>
      </w:r>
      <w:r>
        <w:instrText xml:space="preserve"> ADDIN ZOTERO_ITEM CSL_CITATION {"citationID":"2jepu88jt5","properties":{"formattedCitation":"{\\rtf \\i (5)\\i0{}}","plainCitation":"(5)"},"citationItems":[{"id":262,"uris":["http://zotero.org/users/1628965/items/BVFCEZJX"],"uri":["http://zotero.org/users/1628965/items/BVFCEZJX"],"itemData":{"id":262,"type":"article","title":"Public-Private Partnership Concessions for Highway Projects: A primer","publisher":"U.S. Department of Transportation, Federal Highway Administration","URL":"http://www.fhwa.dot.gov/ipd/pdfs/p3/p3_concession_primer.pdf","author":[{"family":"Federal Highway Administration","given":""}],"issued":{"date-parts":[["2010",10]]},"accessed":{"date-parts":[["2013",11,11]]}}}],"schema":"https://github.com/citation-style-language/schema/raw/master/csl-citation.json"} </w:instrText>
      </w:r>
      <w:r>
        <w:fldChar w:fldCharType="separate"/>
      </w:r>
      <w:r w:rsidRPr="008D13FB">
        <w:rPr>
          <w:i/>
          <w:iCs/>
          <w:szCs w:val="24"/>
        </w:rPr>
        <w:t>(5)</w:t>
      </w:r>
      <w:r>
        <w:fldChar w:fldCharType="end"/>
      </w:r>
      <w:r>
        <w:t>,</w:t>
      </w:r>
    </w:p>
    <w:p w:rsidR="008C26EB" w:rsidRDefault="008C26EB" w:rsidP="008C26EB">
      <w:pPr>
        <w:pStyle w:val="Bullets"/>
      </w:pPr>
      <w:r>
        <w:t xml:space="preserve">Project with complete or almost completed environmental work because there is less risk of delays and unknown environmental costs </w:t>
      </w:r>
      <w:r>
        <w:fldChar w:fldCharType="begin"/>
      </w:r>
      <w:r>
        <w:instrText xml:space="preserve"> ADDIN ZOTERO_ITEM CSL_CITATION {"citationID":"11fe9qd24c","properties":{"formattedCitation":"{\\rtf \\i (5)\\i0{}}","plainCitation":"(5)"},"citationItems":[{"id":262,"uris":["http://zotero.org/users/1628965/items/BVFCEZJX"],"uri":["http://zotero.org/users/1628965/items/BVFCEZJX"],"itemData":{"id":262,"type":"article","title":"Public-Private Partnership Concessions for Highway Projects: A primer","publisher":"U.S. Department of Transportation, Federal Highway Administration","URL":"http://www.fhwa.dot.gov/ipd/pdfs/p3/p3_concession_primer.pdf","author":[{"family":"Federal Highway Administration","given":""}],"issued":{"date-parts":[["2010",10]]},"accessed":{"date-parts":[["2013",11,11]]}}}],"schema":"https://github.com/citation-style-language/schema/raw/master/csl-citation.json"} </w:instrText>
      </w:r>
      <w:r>
        <w:fldChar w:fldCharType="separate"/>
      </w:r>
      <w:r w:rsidRPr="008D13FB">
        <w:rPr>
          <w:i/>
          <w:iCs/>
          <w:szCs w:val="24"/>
        </w:rPr>
        <w:t>(5)</w:t>
      </w:r>
      <w:r>
        <w:fldChar w:fldCharType="end"/>
      </w:r>
      <w:r>
        <w:t xml:space="preserve">, </w:t>
      </w:r>
    </w:p>
    <w:p w:rsidR="008C26EB" w:rsidRDefault="008C26EB" w:rsidP="008C26EB">
      <w:pPr>
        <w:pStyle w:val="Bullets"/>
      </w:pPr>
      <w:r>
        <w:t xml:space="preserve">Projects that provide possibilities for innovation </w:t>
      </w:r>
      <w:r>
        <w:fldChar w:fldCharType="begin"/>
      </w:r>
      <w:r>
        <w:instrText xml:space="preserve"> ADDIN ZOTERO_ITEM CSL_CITATION {"citationID":"2a838dlvkn","properties":{"formattedCitation":"{\\rtf \\i (4)\\i0{}}","plainCitation":"(4)"},"citationItems":[{"id":44,"uris":["http://zotero.org/users/1628965/items/J36VQNBG"],"uri":["http://zotero.org/users/1628965/items/J36VQNBG"],"itemData":{"id":44,"type":"report","title":"Innovative Construction Contracting","publisher":"Michigan Department of Transportation","URL":"https://www.michigan.gov/documents/mdot/Innovative_Construction_Contracting_340000_7.pdf","author":[{"family":"Michigan Department of Transportation","given":""}],"issued":{"date-parts":[["2013",4,9]]},"accessed":{"date-parts":[["2013",9,21]]}}}],"schema":"https://github.com/citation-style-language/schema/raw/master/csl-citation.json"} </w:instrText>
      </w:r>
      <w:r>
        <w:fldChar w:fldCharType="separate"/>
      </w:r>
      <w:r w:rsidRPr="008D13FB">
        <w:rPr>
          <w:i/>
          <w:iCs/>
          <w:szCs w:val="24"/>
        </w:rPr>
        <w:t>(4)</w:t>
      </w:r>
      <w:r>
        <w:fldChar w:fldCharType="end"/>
      </w:r>
      <w:r>
        <w:t>, and</w:t>
      </w:r>
    </w:p>
    <w:p w:rsidR="008C26EB" w:rsidRPr="000D0F63" w:rsidRDefault="008C26EB" w:rsidP="008C26EB">
      <w:pPr>
        <w:pStyle w:val="Bullets"/>
      </w:pPr>
      <w:r>
        <w:t xml:space="preserve">Projects with significant congestion needs </w:t>
      </w:r>
      <w:r>
        <w:fldChar w:fldCharType="begin"/>
      </w:r>
      <w:r>
        <w:instrText xml:space="preserve"> ADDIN ZOTERO_ITEM CSL_CITATION {"citationID":"218h4qn1j0","properties":{"formattedCitation":"{\\rtf \\i (5)\\i0{}}","plainCitation":"(5)"},"citationItems":[{"id":262,"uris":["http://zotero.org/users/1628965/items/BVFCEZJX"],"uri":["http://zotero.org/users/1628965/items/BVFCEZJX"],"itemData":{"id":262,"type":"article","title":"Public-Private Partnership Concessions for Highway Projects: A primer","publisher":"U.S. Department of Transportation, Federal Highway Administration","URL":"http://www.fhwa.dot.gov/ipd/pdfs/p3/p3_concession_primer.pdf","author":[{"family":"Federal Highway Administration","given":""}],"issued":{"date-parts":[["2010",10]]},"accessed":{"date-parts":[["2013",11,11]]}}}],"schema":"https://github.com/citation-style-language/schema/raw/master/csl-citation.json"} </w:instrText>
      </w:r>
      <w:r>
        <w:fldChar w:fldCharType="separate"/>
      </w:r>
      <w:r w:rsidRPr="008D13FB">
        <w:rPr>
          <w:i/>
          <w:iCs/>
          <w:szCs w:val="24"/>
        </w:rPr>
        <w:t>(5)</w:t>
      </w:r>
      <w:r>
        <w:fldChar w:fldCharType="end"/>
      </w:r>
      <w:r>
        <w:t xml:space="preserve">. </w:t>
      </w:r>
    </w:p>
    <w:p w:rsidR="008C26EB" w:rsidRDefault="008C26EB" w:rsidP="008C26EB">
      <w:pPr>
        <w:pStyle w:val="PDMHeading2"/>
      </w:pPr>
      <w:r>
        <w:t>Limitations</w:t>
      </w:r>
    </w:p>
    <w:p w:rsidR="008C26EB" w:rsidRPr="00905350" w:rsidRDefault="008C26EB" w:rsidP="008C26EB">
      <w:r>
        <w:t xml:space="preserve">The D-B-M-O PPP delivery system has similar advantages and disadvantages than the D-B system. The following are additional risks and limitations that </w:t>
      </w:r>
      <w:proofErr w:type="gramStart"/>
      <w:r>
        <w:t>are caused</w:t>
      </w:r>
      <w:proofErr w:type="gramEnd"/>
      <w:r>
        <w:t xml:space="preserve"> by adding operations and maintenance to the D-B contract.  </w:t>
      </w:r>
    </w:p>
    <w:p w:rsidR="008C26EB" w:rsidRDefault="008C26EB" w:rsidP="008C26EB">
      <w:pPr>
        <w:pStyle w:val="Bullets"/>
      </w:pPr>
      <w:r>
        <w:lastRenderedPageBreak/>
        <w:t xml:space="preserve">It may be difficult to estimate operation and maintenance costs at the early </w:t>
      </w:r>
      <w:proofErr w:type="gramStart"/>
      <w:r>
        <w:t>stages</w:t>
      </w:r>
      <w:proofErr w:type="gramEnd"/>
      <w:r>
        <w:t xml:space="preserve"> as design is incomplete. This could lead to higher contingencies, which results in higher project costs </w:t>
      </w:r>
      <w:r>
        <w:fldChar w:fldCharType="begin"/>
      </w:r>
      <w:r>
        <w:instrText xml:space="preserve"> ADDIN ZOTERO_ITEM CSL_CITATION {"citationID":"1289qk3kg","properties":{"formattedCitation":"{\\rtf \\i (3)\\i0{}}","plainCitation":"(3)"},"citationItems":[{"id":405,"uris":["http://zotero.org/users/1628965/items/K8ESWGAE"],"uri":["http://zotero.org/users/1628965/items/K8ESWGAE"],"itemData":{"id":405,"type":"book","title":"A guidebook for the evaluation of project delivery methods","publisher":"Transportation Research Board","publisher-place":"Washington, D.C.","source":"Open WorldCat","event-place":"Washington, D.C.","ISBN":"9780309117791  0309117798","language":"English","author":[{"family":"Touran","given":"Ali"},{"family":"Gransberg","given":"Douglas D"},{"family":"Molenaar","given":"Keith R."},{"family":"Ghavamifar","given":"Kamran"},{"family":"Mason","given":"D.J."},{"family":"Fithian","given":"Lee A."}],"issued":{"date-parts":[["2009"]]},"accessed":{"date-parts":[["2014",4,1]]}}}],"schema":"https://github.com/citation-style-language/schema/raw/master/csl-citation.json"} </w:instrText>
      </w:r>
      <w:r>
        <w:fldChar w:fldCharType="separate"/>
      </w:r>
      <w:r w:rsidRPr="005C4F68">
        <w:rPr>
          <w:i/>
          <w:iCs/>
          <w:szCs w:val="24"/>
        </w:rPr>
        <w:t>(3)</w:t>
      </w:r>
      <w:r>
        <w:fldChar w:fldCharType="end"/>
      </w:r>
      <w:r>
        <w:t>.</w:t>
      </w:r>
    </w:p>
    <w:p w:rsidR="008C26EB" w:rsidRPr="00A0334C" w:rsidRDefault="008C26EB" w:rsidP="008C26EB">
      <w:pPr>
        <w:pStyle w:val="Bullets"/>
      </w:pPr>
      <w:r w:rsidRPr="00A0334C">
        <w:t xml:space="preserve">The STA loses some control over the design details and some aspects of operation and maintenance </w:t>
      </w:r>
      <w:r w:rsidRPr="00A0334C">
        <w:fldChar w:fldCharType="begin"/>
      </w:r>
      <w:r w:rsidRPr="00A0334C">
        <w:instrText xml:space="preserve"> ADDIN ZOTERO_ITEM CSL_CITATION {"citationID":"1bg0tq5862","properties":{"formattedCitation":"{\\rtf \\i (3)\\i0{}}","plainCitation":"(3)"},"citationItems":[{"id":405,"uris":["http://zotero.org/users/1628965/items/K8ESWGAE"],"uri":["http://zotero.org/users/1628965/items/K8ESWGAE"],"itemData":{"id":405,"type":"book","title":"A guidebook for the evaluation of project delivery methods","publisher":"Transportation Research Board","publisher-place":"Washington, D.C.","source":"Open WorldCat","event-place":"Washington, D.C.","ISBN":"9780309117791  0309117798","language":"English","author":[{"family":"Touran","given":"Ali"},{"family":"Gransberg","given":"Douglas D"},{"family":"Molenaar","given":"Keith R."},{"family":"Ghavamifar","given":"Kamran"},{"family":"Mason","given":"D.J."},{"family":"Fithian","given":"Lee A."}],"issued":{"date-parts":[["2009"]]},"accessed":{"date-parts":[["2014",4,1]]}}}],"schema":"https://github.com/citation-style-language/schema/raw/master/csl-citation.json"} </w:instrText>
      </w:r>
      <w:r w:rsidRPr="00A0334C">
        <w:fldChar w:fldCharType="separate"/>
      </w:r>
      <w:r w:rsidRPr="00A0334C">
        <w:t>(3)</w:t>
      </w:r>
      <w:r w:rsidRPr="00A0334C">
        <w:fldChar w:fldCharType="end"/>
      </w:r>
      <w:r w:rsidRPr="00A0334C">
        <w:t>,</w:t>
      </w:r>
    </w:p>
    <w:p w:rsidR="008C26EB" w:rsidRPr="00A0334C" w:rsidRDefault="008C26EB" w:rsidP="008C26EB">
      <w:pPr>
        <w:pStyle w:val="Bullets"/>
      </w:pPr>
      <w:r w:rsidRPr="00A0334C">
        <w:t xml:space="preserve">There is the risk that this delivery method will reduce project bidders </w:t>
      </w:r>
      <w:r w:rsidRPr="00A0334C">
        <w:fldChar w:fldCharType="begin"/>
      </w:r>
      <w:r w:rsidRPr="00A0334C">
        <w:instrText xml:space="preserve"> ADDIN ZOTERO_ITEM CSL_CITATION {"citationID":"a8rr5lmpv","properties":{"formattedCitation":"{\\rtf \\i (3)\\i0{}}","plainCitation":"(3)"},"citationItems":[{"id":405,"uris":["http://zotero.org/users/1628965/items/K8ESWGAE"],"uri":["http://zotero.org/users/1628965/items/K8ESWGAE"],"itemData":{"id":405,"type":"book","title":"A guidebook for the evaluation of project delivery methods","publisher":"Transportation Research Board","publisher-place":"Washington, D.C.","source":"Open WorldCat","event-place":"Washington, D.C.","ISBN":"9780309117791  0309117798","language":"English","author":[{"family":"Touran","given":"Ali"},{"family":"Gransberg","given":"Douglas D"},{"family":"Molenaar","given":"Keith R."},{"family":"Ghavamifar","given":"Kamran"},{"family":"Mason","given":"D.J."},{"family":"Fithian","given":"Lee A."}],"issued":{"date-parts":[["2009"]]},"accessed":{"date-parts":[["2014",4,1]]}}}],"schema":"https://github.com/citation-style-language/schema/raw/master/csl-citation.json"} </w:instrText>
      </w:r>
      <w:r w:rsidRPr="00A0334C">
        <w:fldChar w:fldCharType="separate"/>
      </w:r>
      <w:r w:rsidRPr="00A0334C">
        <w:t>(3)</w:t>
      </w:r>
      <w:r w:rsidRPr="00A0334C">
        <w:fldChar w:fldCharType="end"/>
      </w:r>
      <w:r w:rsidRPr="00A0334C">
        <w:t>,</w:t>
      </w:r>
    </w:p>
    <w:p w:rsidR="008C26EB" w:rsidRPr="00A0334C" w:rsidRDefault="008C26EB" w:rsidP="008C26EB">
      <w:pPr>
        <w:pStyle w:val="Bullets"/>
      </w:pPr>
      <w:r w:rsidRPr="00A0334C">
        <w:t xml:space="preserve">Since STA has less overall control of the project there is the risk that the project may not achieve the desired level of disadvantaged business enterprise (DBE) participation </w:t>
      </w:r>
      <w:r w:rsidRPr="00A0334C">
        <w:fldChar w:fldCharType="begin"/>
      </w:r>
      <w:r w:rsidRPr="00A0334C">
        <w:instrText xml:space="preserve"> ADDIN ZOTERO_ITEM CSL_CITATION {"citationID":"26d5cnsrti","properties":{"formattedCitation":"{\\rtf \\i (3)\\i0{}}","plainCitation":"(3)"},"citationItems":[{"id":405,"uris":["http://zotero.org/users/1628965/items/K8ESWGAE"],"uri":["http://zotero.org/users/1628965/items/K8ESWGAE"],"itemData":{"id":405,"type":"book","title":"A guidebook for the evaluation of project delivery methods","publisher":"Transportation Research Board","publisher-place":"Washington, D.C.","source":"Open WorldCat","event-place":"Washington, D.C.","ISBN":"9780309117791  0309117798","language":"English","author":[{"family":"Touran","given":"Ali"},{"family":"Gransberg","given":"Douglas D"},{"family":"Molenaar","given":"Keith R."},{"family":"Ghavamifar","given":"Kamran"},{"family":"Mason","given":"D.J."},{"family":"Fithian","given":"Lee A."}],"issued":{"date-parts":[["2009"]]},"accessed":{"date-parts":[["2014",4,1]]}}}],"schema":"https://github.com/citation-style-language/schema/raw/master/csl-citation.json"} </w:instrText>
      </w:r>
      <w:r w:rsidRPr="00A0334C">
        <w:fldChar w:fldCharType="separate"/>
      </w:r>
      <w:r w:rsidRPr="00A0334C">
        <w:t>(3)</w:t>
      </w:r>
      <w:r w:rsidRPr="00A0334C">
        <w:fldChar w:fldCharType="end"/>
      </w:r>
      <w:r w:rsidRPr="00A0334C">
        <w:t>.</w:t>
      </w:r>
    </w:p>
    <w:p w:rsidR="008C26EB" w:rsidRDefault="008C26EB" w:rsidP="008C26EB">
      <w:r>
        <w:t>Additional risks and limitations that come from adding financing by the private sector to a PPP agreement are:</w:t>
      </w:r>
    </w:p>
    <w:p w:rsidR="008C26EB" w:rsidRDefault="008C26EB" w:rsidP="008C26EB">
      <w:pPr>
        <w:pStyle w:val="Bullets"/>
      </w:pPr>
      <w:r>
        <w:t xml:space="preserve">Existence of legislative challenges at the State and Federal levels that limit the applicability of PPP </w:t>
      </w:r>
      <w:r>
        <w:fldChar w:fldCharType="begin"/>
      </w:r>
      <w:r>
        <w:instrText xml:space="preserve"> ADDIN ZOTERO_ITEM CSL_CITATION {"citationID":"60vj8so7g","properties":{"formattedCitation":"{\\rtf \\i (4)\\i0{}}","plainCitation":"(4)"},"citationItems":[{"id":44,"uris":["http://zotero.org/users/1628965/items/J36VQNBG"],"uri":["http://zotero.org/users/1628965/items/J36VQNBG"],"itemData":{"id":44,"type":"report","title":"Innovative Construction Contracting","publisher":"Michigan Department of Transportation","URL":"https://www.michigan.gov/documents/mdot/Innovative_Construction_Contracting_340000_7.pdf","author":[{"family":"Michigan Department of Transportation","given":""}],"issued":{"date-parts":[["2013",4,9]]},"accessed":{"date-parts":[["2013",9,21]]}}}],"schema":"https://github.com/citation-style-language/schema/raw/master/csl-citation.json"} </w:instrText>
      </w:r>
      <w:r>
        <w:fldChar w:fldCharType="separate"/>
      </w:r>
      <w:r w:rsidRPr="006E5E8D">
        <w:rPr>
          <w:i/>
          <w:iCs/>
          <w:szCs w:val="24"/>
        </w:rPr>
        <w:t>(4)</w:t>
      </w:r>
      <w:r>
        <w:fldChar w:fldCharType="end"/>
      </w:r>
    </w:p>
    <w:p w:rsidR="008C26EB" w:rsidRDefault="008C26EB" w:rsidP="008C26EB">
      <w:pPr>
        <w:pStyle w:val="Bullets"/>
      </w:pPr>
      <w:r>
        <w:t xml:space="preserve">PPP is a politically sensitive method mainly due to source of funding and duration of contract </w:t>
      </w:r>
      <w:r>
        <w:fldChar w:fldCharType="begin"/>
      </w:r>
      <w:r>
        <w:instrText xml:space="preserve"> ADDIN ZOTERO_ITEM CSL_CITATION {"citationID":"28453g2ulk","properties":{"formattedCitation":"{\\rtf \\i (4)\\i0{}}","plainCitation":"(4)"},"citationItems":[{"id":44,"uris":["http://zotero.org/users/1628965/items/J36VQNBG"],"uri":["http://zotero.org/users/1628965/items/J36VQNBG"],"itemData":{"id":44,"type":"report","title":"Innovative Construction Contracting","publisher":"Michigan Department of Transportation","URL":"https://www.michigan.gov/documents/mdot/Innovative_Construction_Contracting_340000_7.pdf","author":[{"family":"Michigan Department of Transportation","given":""}],"issued":{"date-parts":[["2013",4,9]]},"accessed":{"date-parts":[["2013",9,21]]}}}],"schema":"https://github.com/citation-style-language/schema/raw/master/csl-citation.json"} </w:instrText>
      </w:r>
      <w:r>
        <w:fldChar w:fldCharType="separate"/>
      </w:r>
      <w:r w:rsidRPr="006E5E8D">
        <w:rPr>
          <w:i/>
          <w:iCs/>
          <w:szCs w:val="24"/>
        </w:rPr>
        <w:t>(4)</w:t>
      </w:r>
      <w:r>
        <w:fldChar w:fldCharType="end"/>
      </w:r>
    </w:p>
    <w:p w:rsidR="008C26EB" w:rsidRPr="006E5E8D" w:rsidRDefault="008C26EB" w:rsidP="008C26EB">
      <w:pPr>
        <w:pStyle w:val="Bullets"/>
      </w:pPr>
      <w:r>
        <w:t xml:space="preserve">Generally imposes road user fees which can be an issue at the onset of the project </w:t>
      </w:r>
      <w:r>
        <w:fldChar w:fldCharType="begin"/>
      </w:r>
      <w:r>
        <w:instrText xml:space="preserve"> ADDIN ZOTERO_ITEM CSL_CITATION {"citationID":"1u8ari3ids","properties":{"formattedCitation":"{\\rtf \\i (4)\\i0{}}","plainCitation":"(4)"},"citationItems":[{"id":44,"uris":["http://zotero.org/users/1628965/items/J36VQNBG"],"uri":["http://zotero.org/users/1628965/items/J36VQNBG"],"itemData":{"id":44,"type":"report","title":"Innovative Construction Contracting","publisher":"Michigan Department of Transportation","URL":"https://www.michigan.gov/documents/mdot/Innovative_Construction_Contracting_340000_7.pdf","author":[{"family":"Michigan Department of Transportation","given":""}],"issued":{"date-parts":[["2013",4,9]]},"accessed":{"date-parts":[["2013",9,21]]}}}],"schema":"https://github.com/citation-style-language/schema/raw/master/csl-citation.json"} </w:instrText>
      </w:r>
      <w:r>
        <w:fldChar w:fldCharType="separate"/>
      </w:r>
      <w:r w:rsidRPr="006E5E8D">
        <w:rPr>
          <w:i/>
          <w:iCs/>
          <w:szCs w:val="24"/>
        </w:rPr>
        <w:t>(4)</w:t>
      </w:r>
      <w:r>
        <w:fldChar w:fldCharType="end"/>
      </w:r>
    </w:p>
    <w:p w:rsidR="008C26EB" w:rsidRDefault="008C26EB" w:rsidP="008C26EB">
      <w:pPr>
        <w:pStyle w:val="PDMHeading2"/>
      </w:pPr>
      <w:r>
        <w:t>Who uses it?</w:t>
      </w:r>
    </w:p>
    <w:p w:rsidR="008C26EB" w:rsidRPr="001C6CBA" w:rsidRDefault="008C26EB" w:rsidP="008C26EB">
      <w:r>
        <w:t xml:space="preserve">STAs that currently have projects under concession, or that have PPP project under construction include California, Colorado, Florida, Indiana, New Jersey, New York, Texas and Virginia </w:t>
      </w:r>
      <w:r>
        <w:fldChar w:fldCharType="begin"/>
      </w:r>
      <w:r>
        <w:instrText xml:space="preserve"> ADDIN ZOTERO_ITEM CSL_CITATION {"citationID":"231u244jp","properties":{"formattedCitation":"{\\rtf \\i (6)\\i0{}}","plainCitation":"(6)"},"citationItems":[{"id":410,"uris":["http://zotero.org/users/1628965/items/ZA47AI3W"],"uri":["http://zotero.org/users/1628965/items/ZA47AI3W"],"itemData":{"id":410,"type":"webpage","title":"P3 Concessions in the U.S.","container-title":"Innovative Program Delivery","URL":"http://www.fhwa.dot.gov/ipd/p3/resources/p3_concessions_map_newbuild.htm","author":[{"family":"Feder","given":""}],"issued":{"date-parts":[["2014"]]}}}],"schema":"https://github.com/citation-style-language/schema/raw/master/csl-citation.json"} </w:instrText>
      </w:r>
      <w:r>
        <w:fldChar w:fldCharType="separate"/>
      </w:r>
      <w:r w:rsidRPr="001C6CBA">
        <w:rPr>
          <w:i/>
          <w:iCs/>
          <w:szCs w:val="24"/>
        </w:rPr>
        <w:t>(6)</w:t>
      </w:r>
      <w:r>
        <w:fldChar w:fldCharType="end"/>
      </w:r>
      <w:r>
        <w:t>.</w:t>
      </w:r>
    </w:p>
    <w:p w:rsidR="008C26EB" w:rsidRDefault="008C26EB" w:rsidP="008C26EB">
      <w:pPr>
        <w:pStyle w:val="PDMHeading2"/>
      </w:pPr>
      <w:r>
        <w:t>Examples</w:t>
      </w:r>
    </w:p>
    <w:p w:rsidR="008C26EB" w:rsidRPr="0086724A" w:rsidRDefault="008C26EB" w:rsidP="008C26EB">
      <w:pPr>
        <w:rPr>
          <w:u w:val="single"/>
        </w:rPr>
      </w:pPr>
      <w:r>
        <w:rPr>
          <w:u w:val="single"/>
        </w:rPr>
        <w:t xml:space="preserve">Example 1) </w:t>
      </w:r>
      <w:r w:rsidRPr="0086724A">
        <w:rPr>
          <w:u w:val="single"/>
        </w:rPr>
        <w:t>Texas Department of Transportation</w:t>
      </w:r>
    </w:p>
    <w:p w:rsidR="008C26EB" w:rsidRDefault="008C26EB" w:rsidP="008C26EB">
      <w:r>
        <w:t xml:space="preserve">One example of PPP is the construction of SH 130 (segments 5-6) in Texas. This is a four-lane, 91-mile toll road southeast of Austin built to relieve congestion on I-35. Segments 1-4 of the roadway </w:t>
      </w:r>
      <w:proofErr w:type="gramStart"/>
      <w:r>
        <w:t>were built</w:t>
      </w:r>
      <w:proofErr w:type="gramEnd"/>
      <w:r>
        <w:t xml:space="preserve"> under a different contract and were opened between November 2006 and April 2008. The concession agreement for segments (5-6), a </w:t>
      </w:r>
      <w:proofErr w:type="gramStart"/>
      <w:r>
        <w:t>40 mile</w:t>
      </w:r>
      <w:proofErr w:type="gramEnd"/>
      <w:r>
        <w:t xml:space="preserve"> extension to SH1-130, is a D-B-F-O-M contract with a 50-year duration from the opening date and a total cost of $1,327.9 million. Construction began in April 2009, the project opened on October 2012, and service commenced on November 2012. Financial close </w:t>
      </w:r>
      <w:proofErr w:type="gramStart"/>
      <w:r>
        <w:t>was reached</w:t>
      </w:r>
      <w:proofErr w:type="gramEnd"/>
      <w:r>
        <w:t xml:space="preserve"> on March 2008, and the first interest payment is scheduled for June 2017. Main repayments </w:t>
      </w:r>
      <w:proofErr w:type="gramStart"/>
      <w:r>
        <w:t>are scheduled</w:t>
      </w:r>
      <w:proofErr w:type="gramEnd"/>
      <w:r>
        <w:t xml:space="preserve"> to begin in 2018. This was the first privately developed and operated toll road facility in Texas </w:t>
      </w:r>
      <w:r>
        <w:fldChar w:fldCharType="begin"/>
      </w:r>
      <w:r>
        <w:instrText xml:space="preserve"> ADDIN ZOTERO_ITEM CSL_CITATION {"citationID":"1brer8g6p","properties":{"formattedCitation":"{\\rtf \\i (1)\\i0{}}","plainCitation":"(1)"},"citationItems":[{"id":400,"uris":["http://zotero.org/users/1628965/items/E8SCERW3"],"uri":["http://zotero.org/users/1628965/items/E8SCERW3"],"itemData":{"id":400,"type":"webpage","title":"P3 Defined - Design Build Operate Maintain","container-title":"Innovative Program Delivery","URL":"http://www.fhwa.dot.gov/ipd/p3/defined/design_build_operate.htm","author":[{"family":"Federal Highway Administration","given":""}],"issued":{"date-parts":[["2014"]]},"accessed":{"date-parts":[["2014",4,1]]}}}],"schema":"https://github.com/citation-style-language/schema/raw/master/csl-citation.json"} </w:instrText>
      </w:r>
      <w:r>
        <w:fldChar w:fldCharType="separate"/>
      </w:r>
      <w:r w:rsidRPr="0080136B">
        <w:rPr>
          <w:i/>
          <w:iCs/>
          <w:szCs w:val="24"/>
        </w:rPr>
        <w:t>(1)</w:t>
      </w:r>
      <w:r>
        <w:fldChar w:fldCharType="end"/>
      </w:r>
      <w:r>
        <w:t>.</w:t>
      </w:r>
    </w:p>
    <w:p w:rsidR="008C26EB" w:rsidRPr="0086724A" w:rsidRDefault="008C26EB" w:rsidP="008C26EB">
      <w:pPr>
        <w:rPr>
          <w:u w:val="single"/>
        </w:rPr>
      </w:pPr>
      <w:r>
        <w:rPr>
          <w:u w:val="single"/>
        </w:rPr>
        <w:t xml:space="preserve">Example 2) </w:t>
      </w:r>
      <w:r w:rsidRPr="0086724A">
        <w:rPr>
          <w:u w:val="single"/>
        </w:rPr>
        <w:t>Florida Department of Transportation</w:t>
      </w:r>
    </w:p>
    <w:p w:rsidR="008C26EB" w:rsidRPr="00133948" w:rsidRDefault="008C26EB" w:rsidP="008C26EB">
      <w:r>
        <w:t xml:space="preserve">Another example is of PPP can be found on the </w:t>
      </w:r>
      <w:r w:rsidRPr="00133948">
        <w:t xml:space="preserve">Florida Department of Transportation (FDOT) </w:t>
      </w:r>
      <w:r>
        <w:t xml:space="preserve">which </w:t>
      </w:r>
      <w:r w:rsidRPr="00133948">
        <w:t>is using the availability payment PPP type of provision for the improvement project of the I-595 corridor. This is the first project using this provision in the U.S</w:t>
      </w:r>
      <w:r>
        <w:t xml:space="preserve"> </w:t>
      </w:r>
      <w:r>
        <w:fldChar w:fldCharType="begin"/>
      </w:r>
      <w:r>
        <w:instrText xml:space="preserve"> ADDIN ZOTERO_ITEM CSL_CITATION {"citationID":"1vfq949ii3","properties":{"formattedCitation":"{\\rtf \\i (7)\\i0{}}","plainCitation":"(7)"},"citationItems":[{"id":275,"uris":["http://zotero.org/users/1628965/items/H69QA4E2"],"uri":["http://zotero.org/users/1628965/items/H69QA4E2"],"itemData":{"id":275,"type":"article","title":"I-595 Express Lanes","URL":"http://www.dot.state.mn.us/funding/innovative/pdf/casestudies/I-595ExpressLanes.doc","author":[{"family":"Minnesota Department of Transportation","given":""}],"accessed":{"date-parts":[["2013",11,11]]}}}],"schema":"https://github.com/citation-style-language/schema/raw/master/csl-citation.json"} </w:instrText>
      </w:r>
      <w:r>
        <w:fldChar w:fldCharType="separate"/>
      </w:r>
      <w:r w:rsidRPr="001C6CBA">
        <w:rPr>
          <w:i/>
          <w:iCs/>
          <w:szCs w:val="24"/>
        </w:rPr>
        <w:t>(7)</w:t>
      </w:r>
      <w:r>
        <w:fldChar w:fldCharType="end"/>
      </w:r>
      <w:r w:rsidRPr="00133948">
        <w:t xml:space="preserve">. The project involves the reconstruction, </w:t>
      </w:r>
      <w:r w:rsidRPr="00133948">
        <w:lastRenderedPageBreak/>
        <w:t>widening, and resurfacing of the 10.5 mile mainline in central Broward County, addition of two auxiliary lane</w:t>
      </w:r>
      <w:r>
        <w:t>s</w:t>
      </w:r>
      <w:r w:rsidRPr="00133948">
        <w:t xml:space="preserve"> in each direction, construction of three reve</w:t>
      </w:r>
      <w:r>
        <w:t>r</w:t>
      </w:r>
      <w:r w:rsidRPr="00133948">
        <w:t xml:space="preserve">sible express lanes along the I-595 median, and the addition of two frontage lanes along SR 84. The project has an estimated cost of $1,835 billion and </w:t>
      </w:r>
      <w:proofErr w:type="gramStart"/>
      <w:r w:rsidRPr="00133948">
        <w:t>will be conclude</w:t>
      </w:r>
      <w:r>
        <w:t>d</w:t>
      </w:r>
      <w:proofErr w:type="gramEnd"/>
      <w:r>
        <w:t xml:space="preserve"> by s</w:t>
      </w:r>
      <w:r w:rsidRPr="00133948">
        <w:t>pring 2014. The contract is a D</w:t>
      </w:r>
      <w:r>
        <w:t>-</w:t>
      </w:r>
      <w:r w:rsidRPr="00133948">
        <w:t>B</w:t>
      </w:r>
      <w:r>
        <w:t>-</w:t>
      </w:r>
      <w:r w:rsidRPr="00133948">
        <w:t>F</w:t>
      </w:r>
      <w:r>
        <w:t>-</w:t>
      </w:r>
      <w:r w:rsidRPr="00133948">
        <w:t>O</w:t>
      </w:r>
      <w:r>
        <w:t>-</w:t>
      </w:r>
      <w:r w:rsidRPr="00133948">
        <w:t xml:space="preserve">M with a duration of 35 years including construction. </w:t>
      </w:r>
    </w:p>
    <w:p w:rsidR="008C26EB" w:rsidRDefault="008C26EB" w:rsidP="008C26EB">
      <w:r w:rsidRPr="00133948">
        <w:t xml:space="preserve">The FDOT will pay the Concessionaire $65.9 million per year in availability payments as well as $685.5 million in facility acceptance payments for the timely construction of the highway with pre-defined standards. Availability payments will begin once the project reaches substantial completion. That is, </w:t>
      </w:r>
      <w:r>
        <w:t xml:space="preserve">when </w:t>
      </w:r>
      <w:r w:rsidRPr="00133948">
        <w:t xml:space="preserve">all lanes have been constructed and are operational. </w:t>
      </w:r>
    </w:p>
    <w:p w:rsidR="008C26EB" w:rsidRDefault="008C26EB" w:rsidP="008C26EB">
      <w:r w:rsidRPr="00133948">
        <w:t xml:space="preserve">According to the </w:t>
      </w:r>
      <w:proofErr w:type="spellStart"/>
      <w:r w:rsidRPr="00133948">
        <w:t>VfM</w:t>
      </w:r>
      <w:proofErr w:type="spellEnd"/>
      <w:r w:rsidRPr="00133948">
        <w:t xml:space="preserve"> analysis performed by FDOT</w:t>
      </w:r>
      <w:r>
        <w:t xml:space="preserve"> </w:t>
      </w:r>
      <w:r>
        <w:fldChar w:fldCharType="begin"/>
      </w:r>
      <w:r>
        <w:instrText xml:space="preserve"> ADDIN ZOTERO_ITEM CSL_CITATION {"citationID":"qqdsueg50","properties":{"formattedCitation":"{\\rtf \\i (8)\\i0{}}","plainCitation":"(8)"},"citationItems":[{"id":272,"uris":["http://zotero.org/users/1628965/items/B3IVSG9M"],"uri":["http://zotero.org/users/1628965/items/B3IVSG9M"],"itemData":{"id":272,"type":"article","title":"I-595 Corridor Roadway Improvements: Value for Money Analysis","URL":"http://www.transportation-finance.org/pdf/funding_financing/financing/i595_vfm_0609.pdf","author":[{"family":"Florida Department of Transportation","given":""}],"issued":{"date-parts":[["2009"]]},"accessed":{"date-parts":[["2013",11,11]]}}}],"schema":"https://github.com/citation-style-language/schema/raw/master/csl-citation.json"} </w:instrText>
      </w:r>
      <w:r>
        <w:fldChar w:fldCharType="separate"/>
      </w:r>
      <w:r w:rsidRPr="001C6CBA">
        <w:rPr>
          <w:i/>
          <w:iCs/>
          <w:szCs w:val="24"/>
        </w:rPr>
        <w:t>(8)</w:t>
      </w:r>
      <w:r>
        <w:fldChar w:fldCharType="end"/>
      </w:r>
      <w:r w:rsidRPr="00133948">
        <w:t>, using this provision accelerate</w:t>
      </w:r>
      <w:r>
        <w:t>d the program by 15 to 20 years;</w:t>
      </w:r>
      <w:r w:rsidRPr="00133948">
        <w:t xml:space="preserve"> the time</w:t>
      </w:r>
      <w:r>
        <w:t xml:space="preserve"> it would have taken to build</w:t>
      </w:r>
      <w:r w:rsidRPr="00133948">
        <w:t xml:space="preserve"> with a traditional pay-as-you go procurement. The </w:t>
      </w:r>
      <w:proofErr w:type="spellStart"/>
      <w:r w:rsidRPr="00133948">
        <w:t>VfM</w:t>
      </w:r>
      <w:proofErr w:type="spellEnd"/>
      <w:r w:rsidRPr="00133948">
        <w:t xml:space="preserve"> analysis </w:t>
      </w:r>
      <w:proofErr w:type="gramStart"/>
      <w:r w:rsidRPr="00133948">
        <w:t>was performed</w:t>
      </w:r>
      <w:proofErr w:type="gramEnd"/>
      <w:r w:rsidRPr="00133948">
        <w:t xml:space="preserve"> twice. The first</w:t>
      </w:r>
      <w:r>
        <w:t xml:space="preserve">, </w:t>
      </w:r>
      <w:r w:rsidRPr="00133948">
        <w:t>on August 2007, showed that using Availability Payments would provide a better value for the STA of $24 to $104 million compared to a D</w:t>
      </w:r>
      <w:r>
        <w:t>-</w:t>
      </w:r>
      <w:r w:rsidRPr="00133948">
        <w:t>B</w:t>
      </w:r>
      <w:r>
        <w:t>-</w:t>
      </w:r>
      <w:r w:rsidRPr="00133948">
        <w:t>F</w:t>
      </w:r>
      <w:r>
        <w:t>-</w:t>
      </w:r>
      <w:r w:rsidRPr="00133948">
        <w:t>O</w:t>
      </w:r>
      <w:r>
        <w:t>-</w:t>
      </w:r>
      <w:r w:rsidRPr="00133948">
        <w:t xml:space="preserve">M contract where the project </w:t>
      </w:r>
      <w:proofErr w:type="gramStart"/>
      <w:r w:rsidRPr="00133948">
        <w:t xml:space="preserve">would be completely </w:t>
      </w:r>
      <w:r>
        <w:t>covered</w:t>
      </w:r>
      <w:proofErr w:type="gramEnd"/>
      <w:r w:rsidRPr="00133948">
        <w:t xml:space="preserve"> by the </w:t>
      </w:r>
      <w:r>
        <w:t xml:space="preserve">project's own revenues. The second </w:t>
      </w:r>
      <w:proofErr w:type="spellStart"/>
      <w:r>
        <w:t>VfM</w:t>
      </w:r>
      <w:proofErr w:type="spellEnd"/>
      <w:r>
        <w:t xml:space="preserve"> analysis, performed o</w:t>
      </w:r>
      <w:r w:rsidRPr="00133948">
        <w:t xml:space="preserve">n August 2009, showed that the actual availability payment was 8% lower than what </w:t>
      </w:r>
      <w:proofErr w:type="gramStart"/>
      <w:r w:rsidRPr="00133948">
        <w:t>was initially estimate</w:t>
      </w:r>
      <w:r>
        <w:t>d</w:t>
      </w:r>
      <w:proofErr w:type="gramEnd"/>
      <w:r w:rsidRPr="00133948">
        <w:t xml:space="preserve"> in the 2007 </w:t>
      </w:r>
      <w:proofErr w:type="spellStart"/>
      <w:r w:rsidRPr="00133948">
        <w:t>VfM</w:t>
      </w:r>
      <w:proofErr w:type="spellEnd"/>
      <w:r w:rsidRPr="00133948">
        <w:t xml:space="preserve"> analysis. </w:t>
      </w:r>
    </w:p>
    <w:p w:rsidR="008C26EB" w:rsidRDefault="008C26EB" w:rsidP="008C26EB">
      <w:r>
        <w:rPr>
          <w:noProof/>
        </w:rPr>
        <mc:AlternateContent>
          <mc:Choice Requires="wps">
            <w:drawing>
              <wp:anchor distT="0" distB="0" distL="114300" distR="114300" simplePos="0" relativeHeight="251659264" behindDoc="0" locked="0" layoutInCell="1" allowOverlap="1" wp14:anchorId="6D798A6C" wp14:editId="6AC053FB">
                <wp:simplePos x="0" y="0"/>
                <wp:positionH relativeFrom="column">
                  <wp:posOffset>0</wp:posOffset>
                </wp:positionH>
                <wp:positionV relativeFrom="margin">
                  <wp:align>bottom</wp:align>
                </wp:positionV>
                <wp:extent cx="5943600" cy="3291840"/>
                <wp:effectExtent l="0" t="0" r="19050" b="22860"/>
                <wp:wrapNone/>
                <wp:docPr id="95" name="Rectangle 95"/>
                <wp:cNvGraphicFramePr/>
                <a:graphic xmlns:a="http://schemas.openxmlformats.org/drawingml/2006/main">
                  <a:graphicData uri="http://schemas.microsoft.com/office/word/2010/wordprocessingShape">
                    <wps:wsp>
                      <wps:cNvSpPr/>
                      <wps:spPr>
                        <a:xfrm>
                          <a:off x="0" y="0"/>
                          <a:ext cx="5943600" cy="3291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A8E5A7" id="Rectangle 95" o:spid="_x0000_s1026" style="position:absolute;margin-left:0;margin-top:0;width:468pt;height:259.2pt;z-index:25165926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AJmAIAAIcFAAAOAAAAZHJzL2Uyb0RvYy54bWysVE1v2zAMvQ/YfxB0X22nSdcEdYqgRYcB&#10;RRu0HXpWZSkWIIuapMTJfv0o+SNBV+wwzAdZFMlH8oni1fW+0WQnnFdgSlqc5ZQIw6FSZlPSHy93&#10;Xy4p8YGZimkwoqQH4en18vOnq9YuxARq0JVwBEGMX7S2pHUIdpFlnteiYf4MrDColOAaFlB0m6xy&#10;rEX0RmeTPL/IWnCVdcCF93h62ynpMuFLKXh4lNKLQHRJMbeQVpfWt7hmyyu22Dhma8X7NNg/ZNEw&#10;ZTDoCHXLAiNbp/6AahR34EGGMw5NBlIqLlINWE2Rv6vmuWZWpFqQHG9Hmvz/g+UPu7UjqirpfEaJ&#10;YQ3e0ROyxsxGC4JnSFBr/QLtnu3a9ZLHbax2L10T/1gH2SdSDyOpYh8Ix8PZfHp+kSP3HHXnk3lx&#10;OU20Z0d363z4JqAhcVNSh/ETmWx37wOGRNPBJEYzcKe0TjenTTzwoFUVz5IQW0fcaEd2DC897ItY&#10;A0KcWKEUPbNYWVdL2oWDFhFCmychkRTMfpISSe14xGScCxOKTlWzSnShZjl+Q7AhixQ6AUZkiUmO&#10;2D3AYNmBDNhdzr19dBWpm0fn/G+Jdc6jR4oMJozOjTLgPgLQWFUfubMfSOqoiSy9QXXAlnHQvSVv&#10;+Z3Ca7tnPqyZw8eDV40DITziIjW0JYV+R0kN7tdH59Eeexq1lLT4GEvqf26ZE5To7wa7fV5MsWlI&#10;SMJ09nWCgjvVvJ1qzLa5Abz6AkeP5Wkb7YMettJB84pzYxWjoooZjrFLyoMbhJvQDQmcPFysVskM&#10;X6xl4d48Wx7BI6uxLV/2r8zZvncDtv0DDA+XLd61cGcbPQ2stgGkSv195LXnG197apx+MsVxcion&#10;q+P8XP4GAAD//wMAUEsDBBQABgAIAAAAIQDiwDlJ3gAAAAUBAAAPAAAAZHJzL2Rvd25yZXYueG1s&#10;TI9PS8NAEMXvgt9hGcFLaTfxT6kxmyKK0kMRbPXgbZIdk9jsbMhu2/jtHb3o5cHjDe/9Jl+OrlMH&#10;GkLr2UA6S0ARV962XBt43T5OF6BCRLbYeSYDXxRgWZye5JhZf+QXOmxiraSEQ4YGmhj7TOtQNeQw&#10;zHxPLNmHHxxGsUOt7YBHKXedvkiSuXbYsiw02NN9Q9Vus3cG3ldjrD/Tp7je4eRtsmrK6vmhNOb8&#10;bLy7BRVpjH/H8IMv6FAIU+n3bIPqDMgj8Vclu7mciy0NXKeLK9BFrv/TF98AAAD//wMAUEsBAi0A&#10;FAAGAAgAAAAhALaDOJL+AAAA4QEAABMAAAAAAAAAAAAAAAAAAAAAAFtDb250ZW50X1R5cGVzXS54&#10;bWxQSwECLQAUAAYACAAAACEAOP0h/9YAAACUAQAACwAAAAAAAAAAAAAAAAAvAQAAX3JlbHMvLnJl&#10;bHNQSwECLQAUAAYACAAAACEApj7ACZgCAACHBQAADgAAAAAAAAAAAAAAAAAuAgAAZHJzL2Uyb0Rv&#10;Yy54bWxQSwECLQAUAAYACAAAACEA4sA5Sd4AAAAFAQAADwAAAAAAAAAAAAAAAADyBAAAZHJzL2Rv&#10;d25yZXYueG1sUEsFBgAAAAAEAAQA8wAAAP0FAAAAAA==&#10;" filled="f" strokecolor="black [3213]" strokeweight="1pt">
                <w10:wrap anchory="margin"/>
              </v:rect>
            </w:pict>
          </mc:Fallback>
        </mc:AlternateContent>
      </w:r>
      <w:r>
        <w:t xml:space="preserve">The following are the contract provisions for the availability payment of this project extracted from the actual contract published in the project’s website </w:t>
      </w:r>
      <w:r>
        <w:fldChar w:fldCharType="begin"/>
      </w:r>
      <w:r>
        <w:instrText xml:space="preserve"> ADDIN ZOTERO_ITEM CSL_CITATION {"citationID":"1a0fn3a9lv","properties":{"formattedCitation":"{\\rtf \\i (9)\\i0{}}","plainCitation":"(9)"},"citationItems":[{"id":277,"uris":["http://zotero.org/users/1628965/items/SFE8JQDH"],"uri":["http://zotero.org/users/1628965/items/SFE8JQDH"],"itemData":{"id":277,"type":"article","title":"I-595 Concession Agreement and Appendices","URL":"http://www.i-595.com/About-Documents.php","author":[{"family":"Florida Department of Transportation","given":""}],"issued":{"date-parts":[["2009"]]},"accessed":{"date-parts":[["2013",11,11]]}}}],"schema":"https://github.com/citation-style-language/schema/raw/master/csl-citation.json"} </w:instrText>
      </w:r>
      <w:r>
        <w:fldChar w:fldCharType="separate"/>
      </w:r>
      <w:r w:rsidRPr="001C6CBA">
        <w:rPr>
          <w:i/>
          <w:iCs/>
          <w:szCs w:val="24"/>
        </w:rPr>
        <w:t>(9)</w:t>
      </w:r>
      <w:r>
        <w:fldChar w:fldCharType="end"/>
      </w:r>
      <w:r>
        <w:t>. They include the formulas used for the calculation of the maximum availability payments, and the criteria for the adjustments:</w:t>
      </w:r>
    </w:p>
    <w:p w:rsidR="008C26EB" w:rsidRPr="00A0334C" w:rsidRDefault="008C26EB" w:rsidP="008C26EB">
      <w:pPr>
        <w:ind w:left="360" w:right="360"/>
        <w:jc w:val="center"/>
        <w:rPr>
          <w:b/>
        </w:rPr>
      </w:pPr>
      <w:r>
        <w:rPr>
          <w:b/>
        </w:rPr>
        <w:t>Payments to Concessionaire</w:t>
      </w:r>
    </w:p>
    <w:p w:rsidR="008C26EB" w:rsidRPr="0086724A" w:rsidRDefault="008C26EB" w:rsidP="008C26EB">
      <w:pPr>
        <w:pStyle w:val="ListParagraph"/>
        <w:numPr>
          <w:ilvl w:val="1"/>
          <w:numId w:val="4"/>
        </w:numPr>
        <w:spacing w:before="120" w:after="120"/>
        <w:ind w:left="360" w:right="360" w:firstLine="0"/>
        <w:contextualSpacing w:val="0"/>
        <w:rPr>
          <w:rFonts w:ascii="Times New Roman" w:hAnsi="Times New Roman" w:cs="Times New Roman"/>
        </w:rPr>
      </w:pPr>
      <w:r w:rsidRPr="0086724A">
        <w:rPr>
          <w:rFonts w:ascii="Times New Roman" w:hAnsi="Times New Roman" w:cs="Times New Roman"/>
        </w:rPr>
        <w:t>Timing and Basis for Availability Payments</w:t>
      </w:r>
    </w:p>
    <w:p w:rsidR="008C26EB" w:rsidRPr="0086724A" w:rsidRDefault="008C26EB" w:rsidP="008C26EB">
      <w:pPr>
        <w:pStyle w:val="ListParagraph"/>
        <w:numPr>
          <w:ilvl w:val="2"/>
          <w:numId w:val="4"/>
        </w:numPr>
        <w:spacing w:before="120" w:after="120"/>
        <w:ind w:left="720" w:right="360" w:firstLine="0"/>
        <w:contextualSpacing w:val="0"/>
        <w:rPr>
          <w:rFonts w:ascii="Times New Roman" w:hAnsi="Times New Roman" w:cs="Times New Roman"/>
          <w:b/>
        </w:rPr>
      </w:pPr>
      <w:r w:rsidRPr="0086724A">
        <w:rPr>
          <w:rFonts w:ascii="Times New Roman" w:hAnsi="Times New Roman" w:cs="Times New Roman"/>
        </w:rPr>
        <w:t>Upon Substantial Completion of the Project, FDOT will begin making Availability Payments to Concessionaire as provided in this Article 12. Concessionaire is not entitled to earn any Availability Payments before the Early Completion Date.</w:t>
      </w:r>
    </w:p>
    <w:p w:rsidR="008C26EB" w:rsidRPr="0086724A" w:rsidRDefault="008C26EB" w:rsidP="008C26EB">
      <w:pPr>
        <w:pStyle w:val="ListParagraph"/>
        <w:numPr>
          <w:ilvl w:val="2"/>
          <w:numId w:val="4"/>
        </w:numPr>
        <w:spacing w:before="120" w:after="120"/>
        <w:ind w:left="720" w:right="360" w:firstLine="0"/>
        <w:contextualSpacing w:val="0"/>
        <w:rPr>
          <w:rFonts w:ascii="Times New Roman" w:hAnsi="Times New Roman" w:cs="Times New Roman"/>
          <w:b/>
        </w:rPr>
      </w:pPr>
      <w:r w:rsidRPr="0086724A">
        <w:rPr>
          <w:rFonts w:ascii="Times New Roman" w:hAnsi="Times New Roman" w:cs="Times New Roman"/>
        </w:rPr>
        <w:t xml:space="preserve">The Availability Payments </w:t>
      </w:r>
      <w:proofErr w:type="gramStart"/>
      <w:r w:rsidRPr="0086724A">
        <w:rPr>
          <w:rFonts w:ascii="Times New Roman" w:hAnsi="Times New Roman" w:cs="Times New Roman"/>
        </w:rPr>
        <w:t>are based</w:t>
      </w:r>
      <w:proofErr w:type="gramEnd"/>
      <w:r w:rsidRPr="0086724A">
        <w:rPr>
          <w:rFonts w:ascii="Times New Roman" w:hAnsi="Times New Roman" w:cs="Times New Roman"/>
        </w:rPr>
        <w:t xml:space="preserve"> on the Segments being open and available for public travel as measured through Concessionaire’s conformance with the Contract Documents, including the minim operating and maintenance requirements set forth in Section 4 of Division II.</w:t>
      </w:r>
    </w:p>
    <w:p w:rsidR="008C26EB" w:rsidRPr="0086724A" w:rsidRDefault="008C26EB" w:rsidP="008C26EB">
      <w:pPr>
        <w:pStyle w:val="ListParagraph"/>
        <w:numPr>
          <w:ilvl w:val="1"/>
          <w:numId w:val="4"/>
        </w:numPr>
        <w:spacing w:before="120" w:after="120"/>
        <w:ind w:left="360" w:right="360" w:firstLine="0"/>
        <w:contextualSpacing w:val="0"/>
        <w:rPr>
          <w:rFonts w:ascii="Times New Roman" w:hAnsi="Times New Roman" w:cs="Times New Roman"/>
        </w:rPr>
      </w:pPr>
      <w:r w:rsidRPr="0086724A">
        <w:rPr>
          <w:rFonts w:ascii="Times New Roman" w:hAnsi="Times New Roman" w:cs="Times New Roman"/>
        </w:rPr>
        <w:t>Availability Payment Calculation and Invoicing</w:t>
      </w:r>
    </w:p>
    <w:p w:rsidR="008C26EB" w:rsidRPr="0086724A" w:rsidRDefault="008C26EB" w:rsidP="008C26EB">
      <w:pPr>
        <w:pStyle w:val="ListParagraph"/>
        <w:numPr>
          <w:ilvl w:val="2"/>
          <w:numId w:val="4"/>
        </w:numPr>
        <w:spacing w:before="120" w:after="120"/>
        <w:ind w:left="720" w:right="360" w:firstLine="0"/>
        <w:contextualSpacing w:val="0"/>
        <w:rPr>
          <w:rFonts w:ascii="Times New Roman" w:hAnsi="Times New Roman" w:cs="Times New Roman"/>
        </w:rPr>
      </w:pPr>
      <w:r w:rsidRPr="0086724A">
        <w:rPr>
          <w:rFonts w:ascii="Times New Roman" w:hAnsi="Times New Roman" w:cs="Times New Roman"/>
        </w:rPr>
        <w:t>Calculation of availability Payment</w:t>
      </w:r>
    </w:p>
    <w:p w:rsidR="008C26EB" w:rsidRPr="0086724A" w:rsidRDefault="008C26EB" w:rsidP="008C26EB">
      <w:pPr>
        <w:pStyle w:val="ListParagraph"/>
        <w:numPr>
          <w:ilvl w:val="3"/>
          <w:numId w:val="4"/>
        </w:numPr>
        <w:spacing w:before="120" w:after="120"/>
        <w:ind w:left="1080" w:right="360" w:firstLine="0"/>
        <w:contextualSpacing w:val="0"/>
        <w:rPr>
          <w:rFonts w:ascii="Times New Roman" w:hAnsi="Times New Roman" w:cs="Times New Roman"/>
          <w:b/>
        </w:rPr>
      </w:pPr>
      <w:r w:rsidRPr="0086724A">
        <w:rPr>
          <w:rFonts w:ascii="Times New Roman" w:hAnsi="Times New Roman" w:cs="Times New Roman"/>
        </w:rPr>
        <w:t xml:space="preserve"> Availability Payments </w:t>
      </w:r>
      <w:proofErr w:type="gramStart"/>
      <w:r w:rsidRPr="0086724A">
        <w:rPr>
          <w:rFonts w:ascii="Times New Roman" w:hAnsi="Times New Roman" w:cs="Times New Roman"/>
        </w:rPr>
        <w:t>shall be calculated and earned by Concessionaire according to the methodology</w:t>
      </w:r>
      <w:proofErr w:type="gramEnd"/>
      <w:r w:rsidRPr="0086724A">
        <w:rPr>
          <w:rFonts w:ascii="Times New Roman" w:hAnsi="Times New Roman" w:cs="Times New Roman"/>
        </w:rPr>
        <w:t xml:space="preserve"> set forth in Appendix 6. The Availability Payments payable </w:t>
      </w:r>
      <w:r>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6F62C309" wp14:editId="3AE11DF7">
                <wp:simplePos x="0" y="0"/>
                <wp:positionH relativeFrom="margin">
                  <wp:align>center</wp:align>
                </wp:positionH>
                <wp:positionV relativeFrom="margin">
                  <wp:align>bottom</wp:align>
                </wp:positionV>
                <wp:extent cx="5943600" cy="822960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3A758" id="Rectangle 96" o:spid="_x0000_s1026" style="position:absolute;margin-left:0;margin-top:0;width:468pt;height:9in;z-index:25166028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jLlQIAAIcFAAAOAAAAZHJzL2Uyb0RvYy54bWysVE1v2zAMvQ/YfxB0X+1kadcYdYogRYYB&#10;RVv0Az2rshQbkEVNUuJkv36UZDtBV+wwzAdZFMlH8oni1fW+VWQnrGtAl3RyllMiNIeq0ZuSvjyv&#10;v1xS4jzTFVOgRUkPwtHrxedPV50pxBRqUJWwBEG0KzpT0tp7U2SZ47VomTsDIzQqJdiWeRTtJqss&#10;6xC9Vdk0zy+yDmxlLHDhHJ7eJCVdRHwpBff3UjrhiSop5ubjauP6FtZsccWKjWWmbnifBvuHLFrW&#10;aAw6Qt0wz8jWNn9AtQ234ED6Mw5tBlI2XMQasJpJ/q6ap5oZEWtBcpwZaXL/D5bf7R4saaqSzi8o&#10;0azFO3pE1pjeKEHwDAnqjCvQ7sk82F5yuA3V7qVtwx/rIPtI6mEkVew94Xh4Pp99vciRe466y+l0&#10;HgTEyY7uxjr/XUBLwqakFuNHMtnu1vlkOpiEaBrWjVJ4zgqlw+pANVU4i0JoHbFSluwYXrrfT/po&#10;J1YYO3hmobJUS9z5gxIJ9VFIJAWzn8ZEYjseMRnnQvtJUtWsEinUeY7fEGzIIhaqNAIGZIlJjtg9&#10;wGCZQAbsVHZvH1xF7ObROf9bYsl59IiRQfvRuW002I8AFFbVR072A0mJmsDSG1QHbBkL6S05w9cN&#10;Xtstc/6BWXw8eNU4EPw9LlJBV1Lod5TUYH99dB7ssadRS0mHj7Gk7ueWWUGJ+qGx2+eT2Sy83ijM&#10;zr9NUbCnmrdTjd62K8Crn+DoMTxug71Xw1ZaaF9xbixDVFQxzTF2Sbm3g7DyaUjg5OFiuYxm+GIN&#10;87f6yfAAHlgNbfm8f2XW9L3rse3vYHi4rHjXwsk2eGpYbj3IJvb3kdeeb3ztsXH6yRTGyakcrY7z&#10;c/Eb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M5eOMu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86724A">
        <w:rPr>
          <w:rFonts w:ascii="Times New Roman" w:hAnsi="Times New Roman" w:cs="Times New Roman"/>
        </w:rPr>
        <w:t>during any given Fiscal Year during the Operating Period shall never exceed the MAP for that year, adjusted for inflation, as described in Appendix 6.</w:t>
      </w:r>
    </w:p>
    <w:p w:rsidR="008C26EB" w:rsidRPr="0086724A" w:rsidRDefault="008C26EB" w:rsidP="008C26EB">
      <w:pPr>
        <w:pStyle w:val="ListParagraph"/>
        <w:numPr>
          <w:ilvl w:val="3"/>
          <w:numId w:val="4"/>
        </w:numPr>
        <w:spacing w:before="120" w:after="120"/>
        <w:ind w:left="1080" w:right="360" w:firstLine="0"/>
        <w:contextualSpacing w:val="0"/>
        <w:rPr>
          <w:rFonts w:ascii="Times New Roman" w:hAnsi="Times New Roman" w:cs="Times New Roman"/>
        </w:rPr>
      </w:pPr>
      <w:r w:rsidRPr="0086724A">
        <w:rPr>
          <w:rFonts w:ascii="Times New Roman" w:hAnsi="Times New Roman" w:cs="Times New Roman"/>
        </w:rPr>
        <w:t xml:space="preserve"> Each Availability Payment constitutes a single, all-inclusive payment with no fixed component and no separation of payments for operations, capital, maintenance, Renewal Work, </w:t>
      </w:r>
      <w:proofErr w:type="spellStart"/>
      <w:r w:rsidRPr="0086724A">
        <w:rPr>
          <w:rFonts w:ascii="Times New Roman" w:hAnsi="Times New Roman" w:cs="Times New Roman"/>
        </w:rPr>
        <w:t>Handback</w:t>
      </w:r>
      <w:proofErr w:type="spellEnd"/>
      <w:r w:rsidRPr="0086724A">
        <w:rPr>
          <w:rFonts w:ascii="Times New Roman" w:hAnsi="Times New Roman" w:cs="Times New Roman"/>
        </w:rPr>
        <w:t xml:space="preserve"> Renewal </w:t>
      </w:r>
      <w:proofErr w:type="gramStart"/>
      <w:r w:rsidRPr="0086724A">
        <w:rPr>
          <w:rFonts w:ascii="Times New Roman" w:hAnsi="Times New Roman" w:cs="Times New Roman"/>
        </w:rPr>
        <w:t>Work</w:t>
      </w:r>
      <w:proofErr w:type="gramEnd"/>
      <w:r w:rsidRPr="0086724A">
        <w:rPr>
          <w:rFonts w:ascii="Times New Roman" w:hAnsi="Times New Roman" w:cs="Times New Roman"/>
        </w:rPr>
        <w:t xml:space="preserve"> or Upgrades. In addition to any other deductions or withholdings allowed under this Agreement, the Availability Payments shall be subject to adjustment for Unavailability Events in accordance with Appendix 6.</w:t>
      </w:r>
    </w:p>
    <w:p w:rsidR="008C26EB" w:rsidRDefault="008C26EB" w:rsidP="008C26EB">
      <w:pPr>
        <w:spacing w:before="240" w:after="0" w:line="240" w:lineRule="auto"/>
        <w:jc w:val="center"/>
      </w:pPr>
      <w:r w:rsidRPr="00A835A5">
        <w:rPr>
          <w:b/>
        </w:rPr>
        <w:t>Appendix 6</w:t>
      </w:r>
    </w:p>
    <w:p w:rsidR="008C26EB" w:rsidRPr="00B15328" w:rsidRDefault="008C26EB" w:rsidP="008C26EB">
      <w:pPr>
        <w:spacing w:after="0"/>
        <w:ind w:left="360"/>
        <w:rPr>
          <w:b/>
        </w:rPr>
      </w:pPr>
      <w:proofErr w:type="gramStart"/>
      <w:r>
        <w:rPr>
          <w:b/>
        </w:rPr>
        <w:t>Section 1.</w:t>
      </w:r>
      <w:proofErr w:type="gramEnd"/>
    </w:p>
    <w:p w:rsidR="008C26EB" w:rsidRPr="0086724A" w:rsidRDefault="008C26EB" w:rsidP="008C26EB">
      <w:pPr>
        <w:pStyle w:val="ListParagraph"/>
        <w:numPr>
          <w:ilvl w:val="1"/>
          <w:numId w:val="9"/>
        </w:numPr>
        <w:spacing w:after="120"/>
        <w:ind w:left="360" w:right="360" w:firstLine="0"/>
        <w:contextualSpacing w:val="0"/>
        <w:rPr>
          <w:rFonts w:ascii="Times New Roman" w:hAnsi="Times New Roman" w:cs="Times New Roman"/>
        </w:rPr>
      </w:pPr>
      <w:r w:rsidRPr="0086724A">
        <w:rPr>
          <w:rFonts w:ascii="Times New Roman" w:hAnsi="Times New Roman" w:cs="Times New Roman"/>
        </w:rPr>
        <w:t xml:space="preserve">Annual Maximum Availability Payment </w:t>
      </w:r>
    </w:p>
    <w:p w:rsidR="008C26EB" w:rsidRDefault="008C26EB" w:rsidP="008C26EB">
      <w:pPr>
        <w:pStyle w:val="Bullets"/>
        <w:numPr>
          <w:ilvl w:val="0"/>
          <w:numId w:val="0"/>
        </w:numPr>
        <w:ind w:left="360" w:right="360"/>
      </w:pPr>
      <w:proofErr w:type="spellStart"/>
      <w:r>
        <w:t>MAP</w:t>
      </w:r>
      <w:r>
        <w:rPr>
          <w:vertAlign w:val="subscript"/>
        </w:rPr>
        <w:t>y</w:t>
      </w:r>
      <w:proofErr w:type="spellEnd"/>
      <w:r>
        <w:t xml:space="preserve"> is the Maximum Availability Payment for that Fiscal Year Indexed for inflation according to the following formula:</w:t>
      </w:r>
    </w:p>
    <w:p w:rsidR="008C26EB" w:rsidRPr="00B744AC" w:rsidRDefault="008C26EB" w:rsidP="008C26EB">
      <w:pPr>
        <w:pStyle w:val="Bullets"/>
        <w:numPr>
          <w:ilvl w:val="0"/>
          <w:numId w:val="0"/>
        </w:numPr>
        <w:ind w:left="360" w:right="360"/>
        <w:rPr>
          <w:rFonts w:eastAsiaTheme="minorEastAsia"/>
        </w:rPr>
      </w:pPr>
      <m:oMathPara>
        <m:oMath>
          <m:r>
            <w:rPr>
              <w:rFonts w:ascii="Cambria Math" w:hAnsi="Cambria Math"/>
            </w:rPr>
            <m:t>MAP</m:t>
          </m:r>
          <m:sSub>
            <m:sSubPr>
              <m:ctrlPr>
                <w:rPr>
                  <w:rFonts w:ascii="Cambria Math" w:hAnsi="Cambria Math"/>
                </w:rPr>
              </m:ctrlPr>
            </m:sSubPr>
            <m:e>
              <m:r>
                <m:rPr>
                  <m:sty m:val="p"/>
                </m:rPr>
                <w:rPr>
                  <w:rFonts w:ascii="Cambria Math" w:hAnsi="Cambria Math"/>
                </w:rPr>
                <w:softHyphen/>
              </m:r>
            </m:e>
            <m:sub>
              <m:r>
                <w:rPr>
                  <w:rFonts w:ascii="Cambria Math" w:hAnsi="Cambria Math"/>
                </w:rPr>
                <m:t>y</m:t>
              </m:r>
            </m:sub>
          </m:sSub>
          <m:r>
            <m:rPr>
              <m:sty m:val="p"/>
            </m:rPr>
            <w:rPr>
              <w:rFonts w:ascii="Cambria Math" w:hAnsi="Cambria Math"/>
            </w:rPr>
            <m:t>=</m:t>
          </m:r>
          <m:r>
            <w:rPr>
              <w:rFonts w:ascii="Cambria Math" w:hAnsi="Cambria Math"/>
            </w:rPr>
            <m:t>MA</m:t>
          </m:r>
          <m:sSub>
            <m:sSubPr>
              <m:ctrlPr>
                <w:rPr>
                  <w:rFonts w:ascii="Cambria Math" w:hAnsi="Cambria Math"/>
                </w:rPr>
              </m:ctrlPr>
            </m:sSubPr>
            <m:e>
              <m:r>
                <w:rPr>
                  <w:rFonts w:ascii="Cambria Math" w:hAnsi="Cambria Math"/>
                </w:rPr>
                <m:t>P</m:t>
              </m:r>
            </m:e>
            <m:sub>
              <m:r>
                <w:rPr>
                  <w:rFonts w:ascii="Cambria Math" w:hAnsi="Cambria Math"/>
                </w:rPr>
                <m:t>base</m:t>
              </m:r>
            </m:sub>
          </m:sSub>
          <m:r>
            <m:rPr>
              <m:sty m:val="p"/>
            </m:rPr>
            <w:rPr>
              <w:rFonts w:ascii="Cambria Math" w:hAnsi="Cambria Math"/>
            </w:rPr>
            <m:t>*</m:t>
          </m:r>
          <m:r>
            <w:rPr>
              <w:rFonts w:ascii="Cambria Math" w:hAnsi="Cambria Math"/>
            </w:rPr>
            <m:t>k</m:t>
          </m:r>
          <m:r>
            <m:rPr>
              <m:sty m:val="p"/>
            </m:rPr>
            <w:rPr>
              <w:rFonts w:ascii="Cambria Math" w:hAnsi="Cambria Math"/>
            </w:rPr>
            <m:t>*</m:t>
          </m:r>
          <m:f>
            <m:fPr>
              <m:ctrlPr>
                <w:rPr>
                  <w:rFonts w:ascii="Cambria Math" w:hAnsi="Cambria Math"/>
                </w:rPr>
              </m:ctrlPr>
            </m:fPr>
            <m:num>
              <m:r>
                <w:rPr>
                  <w:rFonts w:ascii="Cambria Math" w:hAnsi="Cambria Math"/>
                </w:rPr>
                <m:t>CP</m:t>
              </m:r>
              <m:sSub>
                <m:sSubPr>
                  <m:ctrlPr>
                    <w:rPr>
                      <w:rFonts w:ascii="Cambria Math" w:hAnsi="Cambria Math"/>
                    </w:rPr>
                  </m:ctrlPr>
                </m:sSubPr>
                <m:e>
                  <m:r>
                    <w:rPr>
                      <w:rFonts w:ascii="Cambria Math" w:hAnsi="Cambria Math"/>
                    </w:rPr>
                    <m:t>I</m:t>
                  </m:r>
                </m:e>
                <m:sub>
                  <m:r>
                    <w:rPr>
                      <w:rFonts w:ascii="Cambria Math" w:hAnsi="Cambria Math"/>
                    </w:rPr>
                    <m:t>y</m:t>
                  </m:r>
                </m:sub>
              </m:sSub>
            </m:num>
            <m:den>
              <m:r>
                <w:rPr>
                  <w:rFonts w:ascii="Cambria Math" w:hAnsi="Cambria Math"/>
                </w:rPr>
                <m:t>CP</m:t>
              </m:r>
              <m:sSub>
                <m:sSubPr>
                  <m:ctrlPr>
                    <w:rPr>
                      <w:rFonts w:ascii="Cambria Math" w:hAnsi="Cambria Math"/>
                    </w:rPr>
                  </m:ctrlPr>
                </m:sSubPr>
                <m:e>
                  <m:r>
                    <w:rPr>
                      <w:rFonts w:ascii="Cambria Math" w:hAnsi="Cambria Math"/>
                    </w:rPr>
                    <m:t>I</m:t>
                  </m:r>
                </m:e>
                <m:sub>
                  <m:r>
                    <w:rPr>
                      <w:rFonts w:ascii="Cambria Math" w:hAnsi="Cambria Math"/>
                    </w:rPr>
                    <m:t>base</m:t>
                  </m:r>
                </m:sub>
              </m:sSub>
            </m:den>
          </m:f>
          <m:r>
            <m:rPr>
              <m:sty m:val="p"/>
            </m:rPr>
            <w:rPr>
              <w:rFonts w:ascii="Cambria Math" w:hAnsi="Cambria Math"/>
            </w:rPr>
            <m:t>+</m:t>
          </m:r>
          <m:r>
            <w:rPr>
              <w:rFonts w:ascii="Cambria Math" w:hAnsi="Cambria Math"/>
            </w:rPr>
            <m:t>MA</m:t>
          </m:r>
          <m:sSub>
            <m:sSubPr>
              <m:ctrlPr>
                <w:rPr>
                  <w:rFonts w:ascii="Cambria Math" w:hAnsi="Cambria Math"/>
                </w:rPr>
              </m:ctrlPr>
            </m:sSubPr>
            <m:e>
              <m:r>
                <w:rPr>
                  <w:rFonts w:ascii="Cambria Math" w:hAnsi="Cambria Math"/>
                </w:rPr>
                <m:t>P</m:t>
              </m:r>
            </m:e>
            <m:sub>
              <m:r>
                <w:rPr>
                  <w:rFonts w:ascii="Cambria Math" w:hAnsi="Cambria Math"/>
                </w:rPr>
                <m:t>base</m:t>
              </m:r>
            </m:sub>
          </m:sSub>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1-</m:t>
              </m:r>
              <m:r>
                <w:rPr>
                  <w:rFonts w:ascii="Cambria Math" w:eastAsiaTheme="minorEastAsia" w:hAnsi="Cambria Math"/>
                </w:rPr>
                <m:t>k</m:t>
              </m:r>
            </m:e>
          </m:d>
          <m:r>
            <m:rPr>
              <m:sty m:val="p"/>
            </m:rPr>
            <w:rPr>
              <w:rFonts w:ascii="Cambria Math" w:eastAsiaTheme="minorEastAsia" w:hAnsi="Cambria Math"/>
            </w:rPr>
            <m:t>*</m:t>
          </m:r>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m:t>
                  </m:r>
                  <m:r>
                    <w:rPr>
                      <w:rFonts w:ascii="Cambria Math" w:eastAsiaTheme="minorEastAsia" w:hAnsi="Cambria Math"/>
                    </w:rPr>
                    <m:t>FR</m:t>
                  </m:r>
                </m:e>
              </m:d>
            </m:e>
            <m:sup>
              <m:r>
                <w:rPr>
                  <w:rFonts w:ascii="Cambria Math" w:eastAsiaTheme="minorEastAsia" w:hAnsi="Cambria Math"/>
                </w:rPr>
                <m:t>y</m:t>
              </m:r>
              <m:r>
                <m:rPr>
                  <m:sty m:val="p"/>
                </m:rPr>
                <w:rPr>
                  <w:rFonts w:ascii="Cambria Math" w:eastAsiaTheme="minorEastAsia" w:hAnsi="Cambria Math"/>
                </w:rPr>
                <m:t>-</m:t>
              </m:r>
              <m:r>
                <w:rPr>
                  <w:rFonts w:ascii="Cambria Math" w:eastAsiaTheme="minorEastAsia" w:hAnsi="Cambria Math"/>
                </w:rPr>
                <m:t>F</m:t>
              </m:r>
              <m:sSub>
                <m:sSubPr>
                  <m:ctrlPr>
                    <w:rPr>
                      <w:rFonts w:ascii="Cambria Math" w:eastAsiaTheme="minorEastAsia" w:hAnsi="Cambria Math"/>
                    </w:rPr>
                  </m:ctrlPr>
                </m:sSubPr>
                <m:e>
                  <m:r>
                    <w:rPr>
                      <w:rFonts w:ascii="Cambria Math" w:eastAsiaTheme="minorEastAsia" w:hAnsi="Cambria Math"/>
                    </w:rPr>
                    <m:t>Y</m:t>
                  </m:r>
                </m:e>
                <m:sub>
                  <m:r>
                    <w:rPr>
                      <w:rFonts w:ascii="Cambria Math" w:eastAsiaTheme="minorEastAsia" w:hAnsi="Cambria Math"/>
                    </w:rPr>
                    <m:t>base</m:t>
                  </m:r>
                </m:sub>
              </m:sSub>
            </m:sup>
          </m:sSup>
        </m:oMath>
      </m:oMathPara>
    </w:p>
    <w:p w:rsidR="008C26EB" w:rsidRDefault="008C26EB" w:rsidP="008C26EB">
      <w:pPr>
        <w:pStyle w:val="Bullets"/>
        <w:numPr>
          <w:ilvl w:val="0"/>
          <w:numId w:val="0"/>
        </w:numPr>
        <w:ind w:left="360" w:right="360"/>
      </w:pPr>
      <w:r>
        <w:t>Where:</w:t>
      </w:r>
    </w:p>
    <w:p w:rsidR="008C26EB" w:rsidRDefault="008C26EB" w:rsidP="008C26EB">
      <w:pPr>
        <w:pStyle w:val="Bullets"/>
        <w:numPr>
          <w:ilvl w:val="0"/>
          <w:numId w:val="0"/>
        </w:numPr>
        <w:ind w:left="360" w:right="360"/>
      </w:pPr>
      <w:r w:rsidRPr="00B744AC">
        <w:t>Base = July 1, 2008</w:t>
      </w:r>
    </w:p>
    <w:p w:rsidR="008C26EB" w:rsidRDefault="008C26EB" w:rsidP="008C26EB">
      <w:pPr>
        <w:pStyle w:val="Bullets"/>
        <w:numPr>
          <w:ilvl w:val="0"/>
          <w:numId w:val="0"/>
        </w:numPr>
        <w:ind w:left="360" w:right="360"/>
      </w:pPr>
      <w:r w:rsidRPr="00B744AC">
        <w:t>k=30% (Indicating the portion of the maximum availability payment indexed to CPI);</w:t>
      </w:r>
    </w:p>
    <w:p w:rsidR="008C26EB" w:rsidRDefault="008C26EB" w:rsidP="008C26EB">
      <w:pPr>
        <w:pStyle w:val="Bullets"/>
        <w:numPr>
          <w:ilvl w:val="0"/>
          <w:numId w:val="0"/>
        </w:numPr>
        <w:ind w:left="360" w:right="360"/>
      </w:pPr>
      <w:proofErr w:type="spellStart"/>
      <w:r w:rsidRPr="00B744AC">
        <w:t>CPI</w:t>
      </w:r>
      <w:r w:rsidRPr="00B744AC">
        <w:rPr>
          <w:vertAlign w:val="subscript"/>
        </w:rPr>
        <w:t>y</w:t>
      </w:r>
      <w:proofErr w:type="spellEnd"/>
      <w:r w:rsidRPr="00B744AC">
        <w:t xml:space="preserve"> = The Consumer Price Index at the commencement of Fiscal Year “y” (</w:t>
      </w:r>
      <w:proofErr w:type="spellStart"/>
      <w:r w:rsidRPr="00B744AC">
        <w:t>CPI</w:t>
      </w:r>
      <w:r w:rsidRPr="00B744AC">
        <w:softHyphen/>
      </w:r>
      <w:r w:rsidRPr="00B744AC">
        <w:rPr>
          <w:vertAlign w:val="subscript"/>
        </w:rPr>
        <w:t>y</w:t>
      </w:r>
      <w:proofErr w:type="spellEnd"/>
      <w:r w:rsidRPr="00B744AC">
        <w:t xml:space="preserve"> shall apply to all calculations relating to Fiscal Year “y” regardless of the date upon which </w:t>
      </w:r>
      <w:proofErr w:type="spellStart"/>
      <w:r w:rsidRPr="00B744AC">
        <w:t>CPI</w:t>
      </w:r>
      <w:r w:rsidRPr="00B744AC">
        <w:rPr>
          <w:vertAlign w:val="subscript"/>
        </w:rPr>
        <w:t>y</w:t>
      </w:r>
      <w:proofErr w:type="spellEnd"/>
      <w:r w:rsidRPr="00B744AC">
        <w:t xml:space="preserve"> is officially published);</w:t>
      </w:r>
    </w:p>
    <w:p w:rsidR="008C26EB" w:rsidRDefault="008C26EB" w:rsidP="008C26EB">
      <w:pPr>
        <w:pStyle w:val="Bullets"/>
        <w:numPr>
          <w:ilvl w:val="0"/>
          <w:numId w:val="0"/>
        </w:numPr>
        <w:ind w:left="360" w:right="360"/>
      </w:pPr>
      <w:r w:rsidRPr="00B744AC">
        <w:t>y = the Fiscal Year for which the inflation-adjusted MAP is being calculated;</w:t>
      </w:r>
    </w:p>
    <w:p w:rsidR="008C26EB" w:rsidRDefault="008C26EB" w:rsidP="008C26EB">
      <w:pPr>
        <w:pStyle w:val="Bullets"/>
        <w:numPr>
          <w:ilvl w:val="0"/>
          <w:numId w:val="0"/>
        </w:numPr>
        <w:ind w:left="360" w:right="360"/>
      </w:pPr>
      <w:r w:rsidRPr="00B744AC">
        <w:t>FR = fixed rate of 3.00%; and</w:t>
      </w:r>
    </w:p>
    <w:p w:rsidR="008C26EB" w:rsidRDefault="008C26EB" w:rsidP="008C26EB">
      <w:pPr>
        <w:pStyle w:val="Bullets"/>
        <w:numPr>
          <w:ilvl w:val="0"/>
          <w:numId w:val="0"/>
        </w:numPr>
        <w:ind w:left="360" w:right="360"/>
      </w:pPr>
      <w:proofErr w:type="spellStart"/>
      <w:r w:rsidRPr="00B744AC">
        <w:t>FY</w:t>
      </w:r>
      <w:r w:rsidRPr="00B744AC">
        <w:rPr>
          <w:vertAlign w:val="subscript"/>
        </w:rPr>
        <w:t>Base</w:t>
      </w:r>
      <w:proofErr w:type="spellEnd"/>
      <w:r w:rsidRPr="00B744AC">
        <w:t xml:space="preserve"> = Fiscal Year beginning July 1, 2008.</w:t>
      </w:r>
    </w:p>
    <w:p w:rsidR="008C26EB" w:rsidRDefault="008C26EB" w:rsidP="008C26EB">
      <w:pPr>
        <w:pStyle w:val="Bullets"/>
        <w:numPr>
          <w:ilvl w:val="0"/>
          <w:numId w:val="0"/>
        </w:numPr>
        <w:ind w:left="360" w:right="360"/>
      </w:pPr>
      <w:r>
        <w:t>The availability Payments in any Fiscal Year will never be less than zero or greater than the MAP for that given Fiscal Year.</w:t>
      </w:r>
    </w:p>
    <w:p w:rsidR="008C26EB" w:rsidRPr="00B744AC" w:rsidRDefault="008C26EB" w:rsidP="008C26EB">
      <w:pPr>
        <w:ind w:left="1080" w:right="360"/>
      </w:pPr>
      <w:r>
        <w:t>Adjustment for Benchmark Interest Rate and Credit Spread Changes</w:t>
      </w:r>
    </w:p>
    <w:p w:rsidR="008C26EB" w:rsidRDefault="008C26EB" w:rsidP="008C26EB">
      <w:pPr>
        <w:pStyle w:val="Bullets"/>
        <w:numPr>
          <w:ilvl w:val="0"/>
          <w:numId w:val="0"/>
        </w:numPr>
        <w:ind w:left="360" w:right="360"/>
      </w:pPr>
      <w:r>
        <w:t>The above MAP (in July 1, 2008 US dollars) has been adjusted in accordance with Appendix 6-A of the Agreement.</w:t>
      </w:r>
    </w:p>
    <w:p w:rsidR="008C26EB" w:rsidRDefault="008C26EB" w:rsidP="008C26EB">
      <w:pPr>
        <w:ind w:right="360" w:firstLine="360"/>
      </w:pPr>
      <w:r w:rsidRPr="00B744AC">
        <w:t xml:space="preserve">Quarterly Payment </w:t>
      </w:r>
    </w:p>
    <w:p w:rsidR="008C26EB" w:rsidRDefault="008C26EB" w:rsidP="008C26EB">
      <w:pPr>
        <w:pStyle w:val="Bullets"/>
        <w:numPr>
          <w:ilvl w:val="0"/>
          <w:numId w:val="0"/>
        </w:numPr>
        <w:ind w:left="360" w:right="360"/>
      </w:pPr>
      <w:r>
        <w:t xml:space="preserve">The Quarterly Payment </w:t>
      </w:r>
      <w:proofErr w:type="gramStart"/>
      <w:r>
        <w:t>shall be calculated</w:t>
      </w:r>
      <w:proofErr w:type="gramEnd"/>
      <w:r>
        <w:t xml:space="preserve"> as follows:</w:t>
      </w:r>
    </w:p>
    <w:p w:rsidR="008C26EB" w:rsidRPr="00B744AC" w:rsidRDefault="008C26EB" w:rsidP="008C26EB">
      <w:pPr>
        <w:pStyle w:val="Bullets"/>
        <w:numPr>
          <w:ilvl w:val="0"/>
          <w:numId w:val="0"/>
        </w:numPr>
        <w:ind w:left="360"/>
      </w:pPr>
      <m:oMathPara>
        <m:oMath>
          <m:r>
            <w:rPr>
              <w:rFonts w:ascii="Cambria Math" w:hAnsi="Cambria Math"/>
            </w:rPr>
            <m:t>Q</m:t>
          </m:r>
          <m:sSub>
            <m:sSubPr>
              <m:ctrlPr>
                <w:rPr>
                  <w:rFonts w:ascii="Cambria Math" w:hAnsi="Cambria Math"/>
                </w:rPr>
              </m:ctrlPr>
            </m:sSubPr>
            <m:e>
              <m:r>
                <w:rPr>
                  <w:rFonts w:ascii="Cambria Math" w:hAnsi="Cambria Math"/>
                </w:rPr>
                <m:t>P</m:t>
              </m:r>
            </m:e>
            <m:sub>
              <m:r>
                <w:rPr>
                  <w:rFonts w:ascii="Cambria Math" w:hAnsi="Cambria Math"/>
                </w:rPr>
                <m:t>q</m:t>
              </m:r>
              <m:r>
                <m:rPr>
                  <m:sty m:val="p"/>
                </m:rPr>
                <w:rPr>
                  <w:rFonts w:ascii="Cambria Math" w:hAnsi="Cambria Math"/>
                </w:rPr>
                <m:t>,</m:t>
              </m:r>
              <m:r>
                <w:rPr>
                  <w:rFonts w:ascii="Cambria Math" w:hAnsi="Cambria Math"/>
                </w:rPr>
                <m:t>y</m:t>
              </m:r>
            </m:sub>
          </m:sSub>
          <m:r>
            <m:rPr>
              <m:sty m:val="p"/>
            </m:rPr>
            <w:rPr>
              <w:rFonts w:ascii="Cambria Math" w:hAnsi="Cambria Math"/>
            </w:rPr>
            <m:t>=</m:t>
          </m:r>
          <m:f>
            <m:fPr>
              <m:ctrlPr>
                <w:rPr>
                  <w:rFonts w:ascii="Cambria Math" w:hAnsi="Cambria Math"/>
                </w:rPr>
              </m:ctrlPr>
            </m:fPr>
            <m:num>
              <m:r>
                <w:rPr>
                  <w:rFonts w:ascii="Cambria Math" w:hAnsi="Cambria Math"/>
                </w:rPr>
                <m:t>MA</m:t>
              </m:r>
              <m:sSub>
                <m:sSubPr>
                  <m:ctrlPr>
                    <w:rPr>
                      <w:rFonts w:ascii="Cambria Math" w:hAnsi="Cambria Math"/>
                    </w:rPr>
                  </m:ctrlPr>
                </m:sSubPr>
                <m:e>
                  <m:r>
                    <w:rPr>
                      <w:rFonts w:ascii="Cambria Math" w:hAnsi="Cambria Math"/>
                    </w:rPr>
                    <m:t>P</m:t>
                  </m:r>
                </m:e>
                <m:sub>
                  <m:r>
                    <w:rPr>
                      <w:rFonts w:ascii="Cambria Math" w:hAnsi="Cambria Math"/>
                    </w:rPr>
                    <m:t>y</m:t>
                  </m:r>
                </m:sub>
              </m:sSub>
            </m:num>
            <m:den>
              <m:r>
                <m:rPr>
                  <m:sty m:val="p"/>
                </m:rPr>
                <w:rPr>
                  <w:rFonts w:ascii="Cambria Math" w:hAnsi="Cambria Math"/>
                </w:rPr>
                <m:t>4</m:t>
              </m:r>
            </m:den>
          </m:f>
          <m:r>
            <m:rPr>
              <m:sty m:val="p"/>
            </m:rPr>
            <w:rPr>
              <w:rFonts w:ascii="Cambria Math" w:hAnsi="Cambria Math"/>
            </w:rPr>
            <m:t>-</m:t>
          </m:r>
          <m:r>
            <w:rPr>
              <w:rFonts w:ascii="Cambria Math" w:hAnsi="Cambria Math"/>
            </w:rPr>
            <m:t>QP</m:t>
          </m:r>
          <m:sSub>
            <m:sSubPr>
              <m:ctrlPr>
                <w:rPr>
                  <w:rFonts w:ascii="Cambria Math" w:hAnsi="Cambria Math"/>
                </w:rPr>
              </m:ctrlPr>
            </m:sSubPr>
            <m:e>
              <m:r>
                <w:rPr>
                  <w:rFonts w:ascii="Cambria Math" w:hAnsi="Cambria Math"/>
                </w:rPr>
                <m:t>A</m:t>
              </m:r>
            </m:e>
            <m:sub>
              <m:r>
                <w:rPr>
                  <w:rFonts w:ascii="Cambria Math" w:hAnsi="Cambria Math"/>
                </w:rPr>
                <m:t>q</m:t>
              </m:r>
              <m:r>
                <m:rPr>
                  <m:sty m:val="p"/>
                </m:rPr>
                <w:rPr>
                  <w:rFonts w:ascii="Cambria Math" w:hAnsi="Cambria Math"/>
                </w:rPr>
                <m:t>,</m:t>
              </m:r>
              <m:r>
                <w:rPr>
                  <w:rFonts w:ascii="Cambria Math" w:hAnsi="Cambria Math"/>
                </w:rPr>
                <m:t>y</m:t>
              </m:r>
            </m:sub>
          </m:sSub>
        </m:oMath>
      </m:oMathPara>
    </w:p>
    <w:p w:rsidR="008C26EB" w:rsidRDefault="008C26EB" w:rsidP="008C26EB">
      <w:pPr>
        <w:pStyle w:val="Bullets"/>
        <w:numPr>
          <w:ilvl w:val="0"/>
          <w:numId w:val="0"/>
        </w:numPr>
        <w:ind w:left="360"/>
      </w:pPr>
      <w:r>
        <w:t>Where:</w:t>
      </w:r>
    </w:p>
    <w:p w:rsidR="008C26EB" w:rsidRDefault="008C26EB" w:rsidP="008C26EB">
      <w:pPr>
        <w:pStyle w:val="Bullets"/>
        <w:numPr>
          <w:ilvl w:val="0"/>
          <w:numId w:val="0"/>
        </w:numPr>
        <w:ind w:left="360"/>
      </w:pPr>
      <w:proofErr w:type="spellStart"/>
      <w:r>
        <w:t>QP</w:t>
      </w:r>
      <w:r>
        <w:rPr>
          <w:vertAlign w:val="subscript"/>
        </w:rPr>
        <w:t>q</w:t>
      </w:r>
      <w:proofErr w:type="gramStart"/>
      <w:r>
        <w:rPr>
          <w:vertAlign w:val="subscript"/>
        </w:rPr>
        <w:t>,y</w:t>
      </w:r>
      <w:proofErr w:type="spellEnd"/>
      <w:proofErr w:type="gramEnd"/>
      <w:r>
        <w:t xml:space="preserve"> = the Quarterly Payment for Quarter “q” in year “y,” and</w:t>
      </w:r>
    </w:p>
    <w:p w:rsidR="008C26EB" w:rsidRDefault="008C26EB" w:rsidP="008C26EB">
      <w:pPr>
        <w:pStyle w:val="Bullets"/>
        <w:numPr>
          <w:ilvl w:val="0"/>
          <w:numId w:val="0"/>
        </w:numPr>
        <w:ind w:left="360"/>
      </w:pPr>
      <w:proofErr w:type="spellStart"/>
      <w:r>
        <w:t>QPA</w:t>
      </w:r>
      <w:r>
        <w:rPr>
          <w:vertAlign w:val="subscript"/>
        </w:rPr>
        <w:t>qy</w:t>
      </w:r>
      <w:proofErr w:type="spellEnd"/>
      <w:r>
        <w:t xml:space="preserve"> = the Quarterly Payment for Adjustment for Quarter “q” in year “y”</w:t>
      </w:r>
    </w:p>
    <w:p w:rsidR="008C26EB" w:rsidRDefault="008C26EB" w:rsidP="008C26EB">
      <w:pPr>
        <w:pStyle w:val="Bullets"/>
        <w:numPr>
          <w:ilvl w:val="0"/>
          <w:numId w:val="0"/>
        </w:numPr>
        <w:ind w:left="360" w:right="360"/>
      </w:pPr>
      <w:r>
        <w:rPr>
          <w:noProof/>
        </w:rPr>
        <w:lastRenderedPageBreak/>
        <mc:AlternateContent>
          <mc:Choice Requires="wps">
            <w:drawing>
              <wp:anchor distT="0" distB="0" distL="114300" distR="114300" simplePos="0" relativeHeight="251661312" behindDoc="0" locked="0" layoutInCell="1" allowOverlap="1" wp14:anchorId="69476392" wp14:editId="72C3C5E2">
                <wp:simplePos x="0" y="0"/>
                <wp:positionH relativeFrom="margin">
                  <wp:posOffset>0</wp:posOffset>
                </wp:positionH>
                <wp:positionV relativeFrom="margin">
                  <wp:align>bottom</wp:align>
                </wp:positionV>
                <wp:extent cx="5943600" cy="8229600"/>
                <wp:effectExtent l="0" t="0" r="19050" b="19050"/>
                <wp:wrapNone/>
                <wp:docPr id="97" name="Rectangle 97"/>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1FD5" id="Rectangle 97" o:spid="_x0000_s1026" style="position:absolute;margin-left:0;margin-top:0;width:468pt;height:9in;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QLlQIAAIcFAAAOAAAAZHJzL2Uyb0RvYy54bWysVE1v2zAMvQ/YfxB0X+1k6UeMOkWQIsOA&#10;oi3aDj2rshQbkEVNUuJkv36UZDtBV+wwzAdZFMlH8oni9c2+VWQnrGtAl3RyllMiNIeq0ZuS/nhZ&#10;f7mixHmmK6ZAi5IehKM3i8+frjtTiCnUoCphCYJoV3SmpLX3psgyx2vRMncGRmhUSrAt8yjaTVZZ&#10;1iF6q7Jpnl9kHdjKWODCOTy9TUq6iPhSCu4fpHTCE1VSzM3H1cb1LazZ4poVG8tM3fA+DfYPWbSs&#10;0Rh0hLplnpGtbf6AahtuwYH0ZxzaDKRsuIg1YDWT/F01zzUzItaC5Dgz0uT+Hyy/3z1a0lQlnV9S&#10;olmLd/SErDG9UYLgGRLUGVeg3bN5tL3kcBuq3Uvbhj/WQfaR1MNIqth7wvHwfD77epEj9xx1V9Pp&#10;PAiIkx3djXX+m4CWhE1JLcaPZLLdnfPJdDAJ0TSsG6XwnBVKh9WBaqpwFoXQOmKlLNkxvHS/n/TR&#10;TqwwdvDMQmWplrjzByUS6pOQSApmP42JxHY8YjLOhfaTpKpZJVKo8xy/IdiQRSxUaQQMyBKTHLF7&#10;gMEygQzYqezePriK2M2jc/63xJLz6BEjg/ajc9tosB8BKKyqj5zsB5ISNYGlN6gO2DIW0ltyhq8b&#10;vLY75vwjs/h48KpxIPgHXKSCrqTQ7yipwf766DzYY0+jlpIOH2NJ3c8ts4IS9V1jt88ns1l4vVGY&#10;nV9OUbCnmrdTjd62K8Crn+DoMTxug71Xw1ZaaF9xbixDVFQxzTF2Sbm3g7DyaUjg5OFiuYxm+GIN&#10;83f62fAAHlgNbfmyf2XW9L3rse3vYXi4rHjXwsk2eGpYbj3IJvb3kdeeb3ztsXH6yRTGyakcrY7z&#10;c/Eb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ApS5Au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t xml:space="preserve">If substantial completion occurs on a date which is not the first day of a Quarter, the first Quarterly payment will correspond to a fraction of a Quarter and the first element of the above formula (1/4 </w:t>
      </w:r>
      <w:proofErr w:type="spellStart"/>
      <w:r>
        <w:t>MAP</w:t>
      </w:r>
      <w:r>
        <w:rPr>
          <w:vertAlign w:val="subscript"/>
        </w:rPr>
        <w:t>y</w:t>
      </w:r>
      <w:proofErr w:type="spellEnd"/>
      <w:r>
        <w:t>) shall be pro-rated according to the number in days in that fraction of a Quarter.</w:t>
      </w:r>
    </w:p>
    <w:p w:rsidR="008C26EB" w:rsidRPr="0086724A" w:rsidRDefault="008C26EB" w:rsidP="008C26EB">
      <w:pPr>
        <w:pStyle w:val="ListParagraph"/>
        <w:numPr>
          <w:ilvl w:val="1"/>
          <w:numId w:val="9"/>
        </w:numPr>
        <w:spacing w:before="120" w:after="120"/>
        <w:ind w:left="360" w:firstLine="0"/>
        <w:contextualSpacing w:val="0"/>
        <w:rPr>
          <w:rFonts w:ascii="Times New Roman" w:hAnsi="Times New Roman" w:cs="Times New Roman"/>
        </w:rPr>
      </w:pPr>
      <w:r w:rsidRPr="0086724A">
        <w:rPr>
          <w:rFonts w:ascii="Times New Roman" w:hAnsi="Times New Roman" w:cs="Times New Roman"/>
        </w:rPr>
        <w:t>Quarterly Payment Adjustments</w:t>
      </w:r>
    </w:p>
    <w:p w:rsidR="008C26EB" w:rsidRDefault="008C26EB" w:rsidP="008C26EB">
      <w:pPr>
        <w:pStyle w:val="Bullets"/>
        <w:numPr>
          <w:ilvl w:val="0"/>
          <w:numId w:val="0"/>
        </w:numPr>
        <w:ind w:left="360"/>
      </w:pPr>
      <w:r>
        <w:t xml:space="preserve">Payment adjustments </w:t>
      </w:r>
      <w:proofErr w:type="gramStart"/>
      <w:r>
        <w:t>shall be calculated</w:t>
      </w:r>
      <w:proofErr w:type="gramEnd"/>
      <w:r>
        <w:t xml:space="preserve"> as follows:</w:t>
      </w:r>
    </w:p>
    <w:p w:rsidR="008C26EB" w:rsidRPr="00CD68B8" w:rsidRDefault="008C26EB" w:rsidP="008C26EB">
      <w:pPr>
        <w:pStyle w:val="Bullets"/>
        <w:numPr>
          <w:ilvl w:val="0"/>
          <w:numId w:val="0"/>
        </w:numPr>
        <w:ind w:left="360"/>
        <w:rPr>
          <w:lang w:val="es-ES"/>
        </w:rPr>
      </w:pPr>
      <w:proofErr w:type="spellStart"/>
      <w:r w:rsidRPr="00CD68B8">
        <w:rPr>
          <w:lang w:val="es-ES"/>
        </w:rPr>
        <w:t>QPA</w:t>
      </w:r>
      <w:r w:rsidRPr="00CD68B8">
        <w:rPr>
          <w:vertAlign w:val="subscript"/>
          <w:lang w:val="es-ES"/>
        </w:rPr>
        <w:t>q</w:t>
      </w:r>
      <w:proofErr w:type="gramStart"/>
      <w:r w:rsidRPr="00CD68B8">
        <w:rPr>
          <w:vertAlign w:val="subscript"/>
          <w:lang w:val="es-ES"/>
        </w:rPr>
        <w:t>,y</w:t>
      </w:r>
      <w:proofErr w:type="spellEnd"/>
      <w:proofErr w:type="gramEnd"/>
      <w:r w:rsidRPr="00CD68B8">
        <w:rPr>
          <w:lang w:val="es-ES"/>
        </w:rPr>
        <w:t xml:space="preserve"> = </w:t>
      </w:r>
      <w:proofErr w:type="spellStart"/>
      <w:r w:rsidRPr="00CD68B8">
        <w:rPr>
          <w:lang w:val="es-ES"/>
        </w:rPr>
        <w:t>QUA</w:t>
      </w:r>
      <w:r w:rsidRPr="00CD68B8">
        <w:rPr>
          <w:vertAlign w:val="subscript"/>
          <w:lang w:val="es-ES"/>
        </w:rPr>
        <w:t>q,y</w:t>
      </w:r>
      <w:proofErr w:type="spellEnd"/>
      <w:r w:rsidRPr="00CD68B8">
        <w:rPr>
          <w:lang w:val="es-ES"/>
        </w:rPr>
        <w:t xml:space="preserve"> + </w:t>
      </w:r>
      <w:proofErr w:type="spellStart"/>
      <w:r w:rsidRPr="00CD68B8">
        <w:rPr>
          <w:lang w:val="es-ES"/>
        </w:rPr>
        <w:t>QVA</w:t>
      </w:r>
      <w:r w:rsidRPr="00CD68B8">
        <w:rPr>
          <w:vertAlign w:val="subscript"/>
          <w:lang w:val="es-ES"/>
        </w:rPr>
        <w:t>q,y</w:t>
      </w:r>
      <w:proofErr w:type="spellEnd"/>
    </w:p>
    <w:p w:rsidR="008C26EB" w:rsidRDefault="008C26EB" w:rsidP="008C26EB">
      <w:pPr>
        <w:pStyle w:val="Bullets"/>
        <w:numPr>
          <w:ilvl w:val="0"/>
          <w:numId w:val="0"/>
        </w:numPr>
        <w:ind w:left="360"/>
      </w:pPr>
      <w:r>
        <w:t>Where</w:t>
      </w:r>
    </w:p>
    <w:p w:rsidR="008C26EB" w:rsidRDefault="008C26EB" w:rsidP="008C26EB">
      <w:pPr>
        <w:pStyle w:val="Bullets"/>
        <w:numPr>
          <w:ilvl w:val="0"/>
          <w:numId w:val="0"/>
        </w:numPr>
        <w:ind w:left="360"/>
      </w:pPr>
      <w:proofErr w:type="spellStart"/>
      <w:r>
        <w:t>QPA</w:t>
      </w:r>
      <w:r>
        <w:rPr>
          <w:vertAlign w:val="subscript"/>
        </w:rPr>
        <w:t>q</w:t>
      </w:r>
      <w:proofErr w:type="gramStart"/>
      <w:r>
        <w:rPr>
          <w:vertAlign w:val="subscript"/>
        </w:rPr>
        <w:t>,y</w:t>
      </w:r>
      <w:proofErr w:type="spellEnd"/>
      <w:proofErr w:type="gramEnd"/>
      <w:r>
        <w:t xml:space="preserve"> = Quarterly Payment Adjustment for Quarter “q” in year “y;”</w:t>
      </w:r>
    </w:p>
    <w:p w:rsidR="008C26EB" w:rsidRDefault="008C26EB" w:rsidP="008C26EB">
      <w:pPr>
        <w:pStyle w:val="Bullets"/>
        <w:numPr>
          <w:ilvl w:val="0"/>
          <w:numId w:val="0"/>
        </w:numPr>
        <w:ind w:left="360"/>
      </w:pPr>
      <w:proofErr w:type="spellStart"/>
      <w:r>
        <w:t>QUA</w:t>
      </w:r>
      <w:r>
        <w:rPr>
          <w:vertAlign w:val="subscript"/>
        </w:rPr>
        <w:t>q</w:t>
      </w:r>
      <w:proofErr w:type="gramStart"/>
      <w:r>
        <w:rPr>
          <w:vertAlign w:val="subscript"/>
        </w:rPr>
        <w:t>,y</w:t>
      </w:r>
      <w:proofErr w:type="spellEnd"/>
      <w:proofErr w:type="gramEnd"/>
      <w:r>
        <w:t xml:space="preserve"> = Quarterly Unavailability Adjustment for Quarter “q” in year “y,”</w:t>
      </w:r>
    </w:p>
    <w:p w:rsidR="008C26EB" w:rsidRPr="00B744AC" w:rsidRDefault="008C26EB" w:rsidP="008C26EB">
      <w:pPr>
        <w:pStyle w:val="Bullets"/>
        <w:numPr>
          <w:ilvl w:val="0"/>
          <w:numId w:val="0"/>
        </w:numPr>
        <w:ind w:left="360"/>
      </w:pPr>
      <w:proofErr w:type="spellStart"/>
      <w:r>
        <w:t>QVA</w:t>
      </w:r>
      <w:r>
        <w:rPr>
          <w:vertAlign w:val="subscript"/>
        </w:rPr>
        <w:t>q</w:t>
      </w:r>
      <w:proofErr w:type="gramStart"/>
      <w:r>
        <w:rPr>
          <w:vertAlign w:val="subscript"/>
        </w:rPr>
        <w:t>,y</w:t>
      </w:r>
      <w:proofErr w:type="spellEnd"/>
      <w:proofErr w:type="gramEnd"/>
      <w:r>
        <w:t xml:space="preserve"> = Quarterly O&amp;M Violation Adjustment for Quarter “q” in year “y.”</w:t>
      </w:r>
    </w:p>
    <w:p w:rsidR="008C26EB" w:rsidRDefault="008C26EB" w:rsidP="008C26EB">
      <w:pPr>
        <w:ind w:left="360"/>
        <w:rPr>
          <w:b/>
        </w:rPr>
      </w:pPr>
      <w:proofErr w:type="gramStart"/>
      <w:r>
        <w:rPr>
          <w:b/>
        </w:rPr>
        <w:t>Section 2.</w:t>
      </w:r>
      <w:proofErr w:type="gramEnd"/>
    </w:p>
    <w:p w:rsidR="008C26EB" w:rsidRPr="0086724A" w:rsidRDefault="008C26EB" w:rsidP="008C26EB">
      <w:pPr>
        <w:pStyle w:val="ListParagraph"/>
        <w:numPr>
          <w:ilvl w:val="1"/>
          <w:numId w:val="5"/>
        </w:numPr>
        <w:spacing w:before="120" w:after="120"/>
        <w:ind w:left="360" w:right="360" w:firstLine="0"/>
        <w:contextualSpacing w:val="0"/>
        <w:rPr>
          <w:rFonts w:ascii="Times New Roman" w:hAnsi="Times New Roman" w:cs="Times New Roman"/>
        </w:rPr>
      </w:pPr>
      <w:r w:rsidRPr="0086724A">
        <w:rPr>
          <w:rFonts w:ascii="Times New Roman" w:hAnsi="Times New Roman" w:cs="Times New Roman"/>
        </w:rPr>
        <w:t xml:space="preserve"> Quarterly Unavailability Adjustments</w:t>
      </w:r>
    </w:p>
    <w:p w:rsidR="008C26EB" w:rsidRDefault="008C26EB" w:rsidP="008C26EB">
      <w:pPr>
        <w:pStyle w:val="Bullets"/>
        <w:numPr>
          <w:ilvl w:val="0"/>
          <w:numId w:val="0"/>
        </w:numPr>
        <w:ind w:left="360" w:right="360"/>
      </w:pPr>
      <w:r>
        <w:t xml:space="preserve">The Quarterly Unavailability Adjustment to the Quarterly Payment </w:t>
      </w:r>
      <w:proofErr w:type="gramStart"/>
      <w:r>
        <w:t>shall be calculated</w:t>
      </w:r>
      <w:proofErr w:type="gramEnd"/>
      <w:r>
        <w:t xml:space="preserve"> as follows:</w:t>
      </w:r>
    </w:p>
    <w:p w:rsidR="008C26EB" w:rsidRPr="00B15328" w:rsidRDefault="008C26EB" w:rsidP="008C26EB">
      <w:pPr>
        <w:pStyle w:val="Bullets"/>
        <w:numPr>
          <w:ilvl w:val="0"/>
          <w:numId w:val="0"/>
        </w:numPr>
        <w:ind w:left="360" w:right="360"/>
        <w:rPr>
          <w:rFonts w:eastAsiaTheme="minorEastAsia"/>
        </w:rPr>
      </w:pPr>
      <m:oMathPara>
        <m:oMath>
          <m:r>
            <w:rPr>
              <w:rFonts w:ascii="Cambria Math" w:hAnsi="Cambria Math"/>
            </w:rPr>
            <m:t>QU</m:t>
          </m:r>
          <m:sSub>
            <m:sSubPr>
              <m:ctrlPr>
                <w:rPr>
                  <w:rFonts w:ascii="Cambria Math" w:hAnsi="Cambria Math"/>
                </w:rPr>
              </m:ctrlPr>
            </m:sSubPr>
            <m:e>
              <m:r>
                <w:rPr>
                  <w:rFonts w:ascii="Cambria Math" w:hAnsi="Cambria Math"/>
                </w:rPr>
                <m:t>A</m:t>
              </m:r>
            </m:e>
            <m:sub>
              <m:r>
                <w:rPr>
                  <w:rFonts w:ascii="Cambria Math" w:hAnsi="Cambria Math"/>
                </w:rPr>
                <m:t>q</m:t>
              </m:r>
              <m:r>
                <m:rPr>
                  <m:sty m:val="p"/>
                </m:rPr>
                <w:rPr>
                  <w:rFonts w:ascii="Cambria Math" w:hAnsi="Cambria Math"/>
                </w:rPr>
                <m:t>,</m:t>
              </m:r>
              <m:r>
                <w:rPr>
                  <w:rFonts w:ascii="Cambria Math" w:hAnsi="Cambria Math"/>
                </w:rPr>
                <m:t>y</m:t>
              </m:r>
            </m:sub>
          </m:sSub>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hour</m:t>
              </m:r>
              <m:r>
                <m:rPr>
                  <m:sty m:val="p"/>
                </m:rPr>
                <w:rPr>
                  <w:rFonts w:ascii="Cambria Math" w:hAnsi="Cambria Math"/>
                </w:rPr>
                <m:t xml:space="preserve"> </m:t>
              </m:r>
              <m:r>
                <w:rPr>
                  <w:rFonts w:ascii="Cambria Math" w:hAnsi="Cambria Math"/>
                </w:rPr>
                <m:t>h</m:t>
              </m:r>
              <m:r>
                <m:rPr>
                  <m:sty m:val="p"/>
                </m:rPr>
                <w:rPr>
                  <w:rFonts w:ascii="Cambria Math" w:hAnsi="Cambria Math"/>
                </w:rPr>
                <m:t>=1</m:t>
              </m:r>
            </m:sub>
            <m:sup>
              <m:r>
                <w:rPr>
                  <w:rFonts w:ascii="Cambria Math" w:hAnsi="Cambria Math"/>
                </w:rPr>
                <m:t>hq</m:t>
              </m:r>
            </m:sup>
            <m:e>
              <m:r>
                <w:rPr>
                  <w:rFonts w:ascii="Cambria Math" w:hAnsi="Cambria Math"/>
                </w:rPr>
                <m:t>HU</m:t>
              </m:r>
              <m:sSub>
                <m:sSubPr>
                  <m:ctrlPr>
                    <w:rPr>
                      <w:rFonts w:ascii="Cambria Math" w:hAnsi="Cambria Math"/>
                    </w:rPr>
                  </m:ctrlPr>
                </m:sSubPr>
                <m:e>
                  <m:r>
                    <w:rPr>
                      <w:rFonts w:ascii="Cambria Math" w:hAnsi="Cambria Math"/>
                    </w:rPr>
                    <m:t>A</m:t>
                  </m:r>
                </m:e>
                <m:sub>
                  <m:r>
                    <w:rPr>
                      <w:rFonts w:ascii="Cambria Math" w:hAnsi="Cambria Math"/>
                    </w:rPr>
                    <m:t>h</m:t>
                  </m:r>
                </m:sub>
              </m:sSub>
            </m:e>
          </m:nary>
        </m:oMath>
      </m:oMathPara>
    </w:p>
    <w:p w:rsidR="008C26EB" w:rsidRDefault="008C26EB" w:rsidP="008C26EB">
      <w:pPr>
        <w:pStyle w:val="Bullets"/>
        <w:numPr>
          <w:ilvl w:val="0"/>
          <w:numId w:val="0"/>
        </w:numPr>
        <w:ind w:left="360" w:right="360"/>
      </w:pPr>
      <w:r>
        <w:t>Where:</w:t>
      </w:r>
    </w:p>
    <w:p w:rsidR="008C26EB" w:rsidRPr="00EA2FD1" w:rsidRDefault="008C26EB" w:rsidP="008C26EB">
      <w:pPr>
        <w:pStyle w:val="Bullets"/>
        <w:numPr>
          <w:ilvl w:val="0"/>
          <w:numId w:val="0"/>
        </w:numPr>
        <w:ind w:left="360" w:right="360"/>
      </w:pPr>
      <m:oMathPara>
        <m:oMathParaPr>
          <m:jc m:val="left"/>
        </m:oMathParaPr>
        <m:oMath>
          <m:r>
            <w:rPr>
              <w:rFonts w:ascii="Cambria Math" w:hAnsi="Cambria Math"/>
            </w:rPr>
            <m:t>HU</m:t>
          </m:r>
          <m:sSub>
            <m:sSubPr>
              <m:ctrlPr>
                <w:rPr>
                  <w:rFonts w:ascii="Cambria Math" w:hAnsi="Cambria Math"/>
                </w:rPr>
              </m:ctrlPr>
            </m:sSubPr>
            <m:e>
              <m:r>
                <w:rPr>
                  <w:rFonts w:ascii="Cambria Math" w:hAnsi="Cambria Math"/>
                </w:rPr>
                <m:t>A</m:t>
              </m:r>
            </m:e>
            <m:sub>
              <m:r>
                <w:rPr>
                  <w:rFonts w:ascii="Cambria Math" w:hAnsi="Cambria Math"/>
                </w:rPr>
                <m:t>h</m:t>
              </m:r>
            </m:sub>
          </m:sSub>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segment</m:t>
              </m:r>
              <m:r>
                <m:rPr>
                  <m:sty m:val="p"/>
                </m:rPr>
                <w:rPr>
                  <w:rFonts w:ascii="Cambria Math" w:hAnsi="Cambria Math"/>
                </w:rPr>
                <m:t xml:space="preserve"> </m:t>
              </m:r>
              <m:r>
                <w:rPr>
                  <w:rFonts w:ascii="Cambria Math" w:hAnsi="Cambria Math"/>
                </w:rPr>
                <m:t>s</m:t>
              </m:r>
              <m:r>
                <m:rPr>
                  <m:sty m:val="p"/>
                </m:rPr>
                <w:rPr>
                  <w:rFonts w:ascii="Cambria Math" w:hAnsi="Cambria Math"/>
                </w:rPr>
                <m:t>=1</m:t>
              </m:r>
            </m:sub>
            <m:sup>
              <m:r>
                <w:rPr>
                  <w:rFonts w:ascii="Cambria Math" w:hAnsi="Cambria Math"/>
                </w:rPr>
                <m:t>n</m:t>
              </m:r>
            </m:sup>
            <m:e>
              <m:d>
                <m:dPr>
                  <m:begChr m:val="["/>
                  <m:endChr m:val="]"/>
                  <m:ctrlPr>
                    <w:rPr>
                      <w:rFonts w:ascii="Cambria Math" w:hAnsi="Cambria Math"/>
                    </w:rPr>
                  </m:ctrlPr>
                </m:dPr>
                <m:e>
                  <m:r>
                    <w:rPr>
                      <w:rFonts w:ascii="Cambria Math" w:hAnsi="Cambria Math"/>
                    </w:rPr>
                    <m:t>HU</m:t>
                  </m:r>
                  <m:sSub>
                    <m:sSubPr>
                      <m:ctrlPr>
                        <w:rPr>
                          <w:rFonts w:ascii="Cambria Math" w:hAnsi="Cambria Math"/>
                        </w:rPr>
                      </m:ctrlPr>
                    </m:sSubPr>
                    <m:e>
                      <m:r>
                        <w:rPr>
                          <w:rFonts w:ascii="Cambria Math" w:hAnsi="Cambria Math"/>
                        </w:rPr>
                        <m:t>F</m:t>
                      </m:r>
                    </m:e>
                    <m:sub>
                      <m:r>
                        <w:rPr>
                          <w:rFonts w:ascii="Cambria Math" w:hAnsi="Cambria Math"/>
                        </w:rPr>
                        <m:t>h</m:t>
                      </m:r>
                      <m:r>
                        <m:rPr>
                          <m:sty m:val="p"/>
                        </m:rPr>
                        <w:rPr>
                          <w:rFonts w:ascii="Cambria Math" w:hAnsi="Cambria Math"/>
                        </w:rPr>
                        <m:t>,</m:t>
                      </m:r>
                      <m:r>
                        <w:rPr>
                          <w:rFonts w:ascii="Cambria Math" w:hAnsi="Cambria Math"/>
                        </w:rPr>
                        <m:t>s</m:t>
                      </m:r>
                    </m:sub>
                  </m:sSub>
                  <m:r>
                    <m:rPr>
                      <m:sty m:val="p"/>
                    </m:rPr>
                    <w:rPr>
                      <w:rFonts w:ascii="Cambria Math" w:hAnsi="Cambria Math"/>
                    </w:rPr>
                    <m:t>*</m:t>
                  </m:r>
                  <m:r>
                    <w:rPr>
                      <w:rFonts w:ascii="Cambria Math" w:hAnsi="Cambria Math"/>
                    </w:rPr>
                    <m:t>SW</m:t>
                  </m:r>
                  <m:sSub>
                    <m:sSubPr>
                      <m:ctrlPr>
                        <w:rPr>
                          <w:rFonts w:ascii="Cambria Math" w:hAnsi="Cambria Math"/>
                        </w:rPr>
                      </m:ctrlPr>
                    </m:sSubPr>
                    <m:e>
                      <m:r>
                        <w:rPr>
                          <w:rFonts w:ascii="Cambria Math" w:hAnsi="Cambria Math"/>
                        </w:rPr>
                        <m:t>F</m:t>
                      </m:r>
                    </m:e>
                    <m:sub>
                      <m:r>
                        <w:rPr>
                          <w:rFonts w:ascii="Cambria Math" w:hAnsi="Cambria Math"/>
                        </w:rPr>
                        <m:t>h</m:t>
                      </m:r>
                      <m:r>
                        <m:rPr>
                          <m:sty m:val="p"/>
                        </m:rPr>
                        <w:rPr>
                          <w:rFonts w:ascii="Cambria Math" w:hAnsi="Cambria Math"/>
                        </w:rPr>
                        <m:t>,</m:t>
                      </m:r>
                      <m:r>
                        <w:rPr>
                          <w:rFonts w:ascii="Cambria Math" w:hAnsi="Cambria Math"/>
                        </w:rPr>
                        <m:t>s</m:t>
                      </m:r>
                    </m:sub>
                  </m:sSub>
                  <m:r>
                    <m:rPr>
                      <m:sty m:val="p"/>
                    </m:rPr>
                    <w:rPr>
                      <w:rFonts w:ascii="Cambria Math" w:hAnsi="Cambria Math"/>
                    </w:rPr>
                    <m:t>*</m:t>
                  </m:r>
                  <m:r>
                    <w:rPr>
                      <w:rFonts w:ascii="Cambria Math" w:hAnsi="Cambria Math"/>
                    </w:rPr>
                    <m:t>TW</m:t>
                  </m:r>
                  <m:sSub>
                    <m:sSubPr>
                      <m:ctrlPr>
                        <w:rPr>
                          <w:rFonts w:ascii="Cambria Math" w:hAnsi="Cambria Math"/>
                        </w:rPr>
                      </m:ctrlPr>
                    </m:sSubPr>
                    <m:e>
                      <m:r>
                        <w:rPr>
                          <w:rFonts w:ascii="Cambria Math" w:hAnsi="Cambria Math"/>
                        </w:rPr>
                        <m:t>F</m:t>
                      </m:r>
                    </m:e>
                    <m:sub>
                      <m:r>
                        <w:rPr>
                          <w:rFonts w:ascii="Cambria Math" w:hAnsi="Cambria Math"/>
                        </w:rPr>
                        <m:t>h</m:t>
                      </m:r>
                      <m:r>
                        <m:rPr>
                          <m:sty m:val="p"/>
                        </m:rPr>
                        <w:rPr>
                          <w:rFonts w:ascii="Cambria Math" w:hAnsi="Cambria Math"/>
                        </w:rPr>
                        <m:t>,</m:t>
                      </m:r>
                      <m:r>
                        <w:rPr>
                          <w:rFonts w:ascii="Cambria Math" w:hAnsi="Cambria Math"/>
                        </w:rPr>
                        <m:t>s</m:t>
                      </m:r>
                    </m:sub>
                  </m:sSub>
                </m:e>
              </m:d>
              <m:r>
                <m:rPr>
                  <m:sty m:val="p"/>
                </m:rPr>
                <w:rPr>
                  <w:rFonts w:ascii="Cambria Math" w:hAnsi="Cambria Math"/>
                </w:rPr>
                <m:t>*</m:t>
              </m:r>
              <m:f>
                <m:fPr>
                  <m:ctrlPr>
                    <w:rPr>
                      <w:rFonts w:ascii="Cambria Math" w:hAnsi="Cambria Math"/>
                    </w:rPr>
                  </m:ctrlPr>
                </m:fPr>
                <m:num>
                  <m:r>
                    <w:rPr>
                      <w:rFonts w:ascii="Cambria Math" w:hAnsi="Cambria Math"/>
                    </w:rPr>
                    <m:t>MA</m:t>
                  </m:r>
                  <m:sSub>
                    <m:sSubPr>
                      <m:ctrlPr>
                        <w:rPr>
                          <w:rFonts w:ascii="Cambria Math" w:hAnsi="Cambria Math"/>
                        </w:rPr>
                      </m:ctrlPr>
                    </m:sSubPr>
                    <m:e>
                      <m:r>
                        <w:rPr>
                          <w:rFonts w:ascii="Cambria Math" w:hAnsi="Cambria Math"/>
                        </w:rPr>
                        <m:t>P</m:t>
                      </m:r>
                    </m:e>
                    <m:sub>
                      <m:r>
                        <w:rPr>
                          <w:rFonts w:ascii="Cambria Math" w:hAnsi="Cambria Math"/>
                        </w:rPr>
                        <m:t>y</m:t>
                      </m:r>
                    </m:sub>
                  </m:sSub>
                </m:num>
                <m:den>
                  <m:r>
                    <m:rPr>
                      <m:sty m:val="p"/>
                    </m:rPr>
                    <w:rPr>
                      <w:rFonts w:ascii="Cambria Math" w:hAnsi="Cambria Math"/>
                    </w:rPr>
                    <m:t>(364*24)</m:t>
                  </m:r>
                </m:den>
              </m:f>
            </m:e>
          </m:nary>
        </m:oMath>
      </m:oMathPara>
    </w:p>
    <w:p w:rsidR="008C26EB" w:rsidRDefault="008C26EB" w:rsidP="008C26EB">
      <w:pPr>
        <w:pStyle w:val="Bullets"/>
        <w:numPr>
          <w:ilvl w:val="0"/>
          <w:numId w:val="0"/>
        </w:numPr>
        <w:ind w:left="360" w:right="360"/>
      </w:pPr>
      <w:proofErr w:type="spellStart"/>
      <w:r>
        <w:t>QUA</w:t>
      </w:r>
      <w:r>
        <w:rPr>
          <w:vertAlign w:val="subscript"/>
        </w:rPr>
        <w:t>q</w:t>
      </w:r>
      <w:proofErr w:type="gramStart"/>
      <w:r>
        <w:rPr>
          <w:vertAlign w:val="subscript"/>
        </w:rPr>
        <w:t>,y</w:t>
      </w:r>
      <w:proofErr w:type="spellEnd"/>
      <w:proofErr w:type="gramEnd"/>
      <w:r>
        <w:t xml:space="preserve"> = Quarterly Unavailability Adjustment for Quarter “q” in year “y;”</w:t>
      </w:r>
    </w:p>
    <w:p w:rsidR="008C26EB" w:rsidRDefault="008C26EB" w:rsidP="008C26EB">
      <w:pPr>
        <w:pStyle w:val="Bullets"/>
        <w:numPr>
          <w:ilvl w:val="0"/>
          <w:numId w:val="0"/>
        </w:numPr>
        <w:ind w:left="360" w:right="360"/>
      </w:pPr>
      <w:proofErr w:type="spellStart"/>
      <w:r>
        <w:t>HUA</w:t>
      </w:r>
      <w:r>
        <w:rPr>
          <w:vertAlign w:val="subscript"/>
        </w:rPr>
        <w:t>h</w:t>
      </w:r>
      <w:proofErr w:type="spellEnd"/>
      <w:r>
        <w:t xml:space="preserve"> = Hourly Unavailability Adjustment for the Hour “h;”</w:t>
      </w:r>
    </w:p>
    <w:p w:rsidR="008C26EB" w:rsidRDefault="008C26EB" w:rsidP="008C26EB">
      <w:pPr>
        <w:pStyle w:val="Bullets"/>
        <w:numPr>
          <w:ilvl w:val="0"/>
          <w:numId w:val="0"/>
        </w:numPr>
        <w:ind w:left="360" w:right="360"/>
      </w:pPr>
      <w:proofErr w:type="spellStart"/>
      <w:r>
        <w:t>HUF</w:t>
      </w:r>
      <w:r>
        <w:rPr>
          <w:vertAlign w:val="subscript"/>
        </w:rPr>
        <w:t>h</w:t>
      </w:r>
      <w:proofErr w:type="gramStart"/>
      <w:r>
        <w:rPr>
          <w:vertAlign w:val="subscript"/>
        </w:rPr>
        <w:t>,s</w:t>
      </w:r>
      <w:proofErr w:type="spellEnd"/>
      <w:proofErr w:type="gramEnd"/>
      <w:r>
        <w:t xml:space="preserve"> = Hourly Unavailability Factor for Segment “s”, hour “h;”</w:t>
      </w:r>
    </w:p>
    <w:p w:rsidR="008C26EB" w:rsidRDefault="008C26EB" w:rsidP="008C26EB">
      <w:pPr>
        <w:pStyle w:val="Bullets"/>
        <w:numPr>
          <w:ilvl w:val="0"/>
          <w:numId w:val="0"/>
        </w:numPr>
        <w:ind w:left="360" w:right="360"/>
      </w:pPr>
      <w:proofErr w:type="spellStart"/>
      <w:r>
        <w:t>SWF</w:t>
      </w:r>
      <w:r>
        <w:rPr>
          <w:vertAlign w:val="subscript"/>
        </w:rPr>
        <w:t>h</w:t>
      </w:r>
      <w:proofErr w:type="gramStart"/>
      <w:r>
        <w:rPr>
          <w:vertAlign w:val="subscript"/>
        </w:rPr>
        <w:t>,s</w:t>
      </w:r>
      <w:proofErr w:type="spellEnd"/>
      <w:proofErr w:type="gramEnd"/>
      <w:r>
        <w:t xml:space="preserve"> = Segment Weighting Factor for Segment “s”, Hour “h;” and</w:t>
      </w:r>
    </w:p>
    <w:p w:rsidR="008C26EB" w:rsidRDefault="008C26EB" w:rsidP="008C26EB">
      <w:pPr>
        <w:pStyle w:val="Bullets"/>
        <w:numPr>
          <w:ilvl w:val="0"/>
          <w:numId w:val="0"/>
        </w:numPr>
        <w:ind w:left="360" w:right="360"/>
      </w:pPr>
      <w:proofErr w:type="spellStart"/>
      <w:r>
        <w:t>TWF</w:t>
      </w:r>
      <w:r>
        <w:rPr>
          <w:vertAlign w:val="subscript"/>
        </w:rPr>
        <w:t>h</w:t>
      </w:r>
      <w:proofErr w:type="gramStart"/>
      <w:r>
        <w:rPr>
          <w:vertAlign w:val="subscript"/>
        </w:rPr>
        <w:t>,s</w:t>
      </w:r>
      <w:proofErr w:type="spellEnd"/>
      <w:proofErr w:type="gramEnd"/>
      <w:r>
        <w:t xml:space="preserve"> = Time Weighting Factor for Segment “s”, Hour “h.”</w:t>
      </w:r>
    </w:p>
    <w:p w:rsidR="008C26EB" w:rsidRPr="00EA2FD1" w:rsidRDefault="008C26EB" w:rsidP="008C26EB">
      <w:pPr>
        <w:pStyle w:val="Bullets"/>
        <w:numPr>
          <w:ilvl w:val="0"/>
          <w:numId w:val="0"/>
        </w:numPr>
        <w:ind w:left="360" w:right="360"/>
      </w:pPr>
      <w:proofErr w:type="spellStart"/>
      <w:r>
        <w:t>MAP</w:t>
      </w:r>
      <w:r>
        <w:rPr>
          <w:vertAlign w:val="subscript"/>
        </w:rPr>
        <w:t>y</w:t>
      </w:r>
      <w:proofErr w:type="spellEnd"/>
      <w:r>
        <w:t xml:space="preserve"> is the Maximum Availability Payment for that Fiscal Year Indexed for Inflation as described in Section 1.1 of this Appendix 6.</w:t>
      </w:r>
    </w:p>
    <w:p w:rsidR="008C26EB" w:rsidRPr="0086724A" w:rsidRDefault="008C26EB" w:rsidP="008C26EB">
      <w:pPr>
        <w:pStyle w:val="ListParagraph"/>
        <w:numPr>
          <w:ilvl w:val="1"/>
          <w:numId w:val="5"/>
        </w:numPr>
        <w:spacing w:before="120" w:after="120"/>
        <w:ind w:left="360" w:firstLine="0"/>
        <w:contextualSpacing w:val="0"/>
        <w:rPr>
          <w:rFonts w:ascii="Times New Roman" w:hAnsi="Times New Roman" w:cs="Times New Roman"/>
        </w:rPr>
      </w:pPr>
      <w:r w:rsidRPr="0086724A">
        <w:rPr>
          <w:rFonts w:ascii="Times New Roman" w:hAnsi="Times New Roman" w:cs="Times New Roman"/>
        </w:rPr>
        <w:t>Hourly Unavailability Factors</w:t>
      </w:r>
    </w:p>
    <w:p w:rsidR="008C26EB" w:rsidRPr="0086724A" w:rsidRDefault="008C26EB" w:rsidP="008C26EB">
      <w:pPr>
        <w:pStyle w:val="ListParagraph"/>
        <w:numPr>
          <w:ilvl w:val="0"/>
          <w:numId w:val="6"/>
        </w:numPr>
        <w:spacing w:before="120" w:after="120"/>
        <w:ind w:left="1080" w:right="360"/>
        <w:contextualSpacing w:val="0"/>
        <w:rPr>
          <w:rFonts w:ascii="Times New Roman" w:hAnsi="Times New Roman" w:cs="Times New Roman"/>
        </w:rPr>
      </w:pPr>
      <w:r w:rsidRPr="0086724A">
        <w:rPr>
          <w:rFonts w:ascii="Times New Roman" w:hAnsi="Times New Roman" w:cs="Times New Roman"/>
        </w:rPr>
        <w:t>Each Unavailability Event will be deemed to have commenced form the moment such Unavailability Event actually began (not form the moment it was discovered or reported), and to persist during each Hour thereafter until such Unavailability Event is cured, provided that an Unavailability Event occurring at any time during an Hour shall be deemed to have occurred at the beginning of the Hour, and an Unavailability Even that ends at any time during an Hour shall be deemed to have ended at the end of that Hour.</w:t>
      </w:r>
    </w:p>
    <w:p w:rsidR="008C26EB" w:rsidRPr="0086724A" w:rsidRDefault="008C26EB" w:rsidP="008C26EB">
      <w:pPr>
        <w:pStyle w:val="ListParagraph"/>
        <w:numPr>
          <w:ilvl w:val="0"/>
          <w:numId w:val="6"/>
        </w:numPr>
        <w:spacing w:before="120" w:after="120"/>
        <w:ind w:left="1080" w:right="360"/>
        <w:contextualSpacing w:val="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2336" behindDoc="0" locked="0" layoutInCell="1" allowOverlap="1" wp14:anchorId="5B8B53E1" wp14:editId="0B1DC46B">
                <wp:simplePos x="0" y="0"/>
                <wp:positionH relativeFrom="margin">
                  <wp:align>center</wp:align>
                </wp:positionH>
                <wp:positionV relativeFrom="margin">
                  <wp:align>bottom</wp:align>
                </wp:positionV>
                <wp:extent cx="5943600" cy="82296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4D1FE" id="Rectangle 98" o:spid="_x0000_s1026" style="position:absolute;margin-left:0;margin-top:0;width:468pt;height:9in;z-index:25166233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aUlQIAAIcFAAAOAAAAZHJzL2Uyb0RvYy54bWysVE1v2zAMvQ/YfxB0X+1kadcYdYogRYYB&#10;RVv0Az2rshQbkEVNUuJkv36UZDtBV+wwzAdZFMlH8oni1fW+VWQnrGtAl3RyllMiNIeq0ZuSvjyv&#10;v1xS4jzTFVOgRUkPwtHrxedPV50pxBRqUJWwBEG0KzpT0tp7U2SZ47VomTsDIzQqJdiWeRTtJqss&#10;6xC9Vdk0zy+yDmxlLHDhHJ7eJCVdRHwpBff3UjrhiSop5ubjauP6FtZsccWKjWWmbnifBvuHLFrW&#10;aAw6Qt0wz8jWNn9AtQ234ED6Mw5tBlI2XMQasJpJ/q6ap5oZEWtBcpwZaXL/D5bf7R4saaqSzvGm&#10;NGvxjh6RNaY3ShA8Q4I64wq0ezIPtpccbkO1e2nb8Mc6yD6SehhJFXtPOB6ez2dfL3LknqPucjqd&#10;BwFxsqO7sc5/F9CSsCmpxfiRTLa7dT6ZDiYhmoZ1oxSes0LpsDpQTRXOohBaR6yUJTuGl+73kz7a&#10;iRXGDp5ZqCzVEnf+oERCfRQSScHspzGR2I5HTMa50H6SVDWrRAp1nuM3BBuyiIUqjYABWWKSI3YP&#10;MFgmkAE7ld3bB1cRu3l0zv+WWHIePWJk0H50bhsN9iMAhVX1kZP9QFKiJrD0BtUBW8ZCekvO8HWD&#10;13bLnH9gFh8PXjUOBH+Pi1TQlRT6HSU12F8fnQd77GnUUtLhYyyp+7llVlCifmjs9vlkNguvNwqz&#10;829TFOyp5u1Uo7ftCvDqJzh6DI/bYO/VsJUW2lecG8sQFVVMc4xdUu7tIKx8GhI4ebhYLqMZvljD&#10;/K1+MjyAB1ZDWz7vX5k1fe96bPs7GB4uK961cLINnhqWWw+yif195LXnG197bJx+MoVxcipHq+P8&#10;XPwG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PAHNpS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86724A">
        <w:rPr>
          <w:rFonts w:ascii="Times New Roman" w:hAnsi="Times New Roman" w:cs="Times New Roman"/>
        </w:rPr>
        <w:t>Each Unavailability Event is described by an Availability Classification and a corresponding Hourly Unavailability Factor for the given Hour with respect to the given Segment in accordance with Tables A,B and C in Section 5 of this Appendix</w:t>
      </w:r>
    </w:p>
    <w:p w:rsidR="008C26EB" w:rsidRPr="0086724A" w:rsidRDefault="008C26EB" w:rsidP="008C26EB">
      <w:pPr>
        <w:pStyle w:val="ListParagraph"/>
        <w:numPr>
          <w:ilvl w:val="0"/>
          <w:numId w:val="6"/>
        </w:numPr>
        <w:spacing w:before="120" w:after="120"/>
        <w:ind w:left="1080" w:right="360"/>
        <w:contextualSpacing w:val="0"/>
        <w:rPr>
          <w:rFonts w:ascii="Times New Roman" w:hAnsi="Times New Roman" w:cs="Times New Roman"/>
        </w:rPr>
      </w:pPr>
      <w:r w:rsidRPr="0086724A">
        <w:rPr>
          <w:rFonts w:ascii="Times New Roman" w:hAnsi="Times New Roman" w:cs="Times New Roman"/>
        </w:rPr>
        <w:t xml:space="preserve">The Hourly Unavailability Factor </w:t>
      </w:r>
      <w:proofErr w:type="spellStart"/>
      <w:r w:rsidRPr="0086724A">
        <w:rPr>
          <w:rFonts w:ascii="Times New Roman" w:hAnsi="Times New Roman" w:cs="Times New Roman"/>
        </w:rPr>
        <w:t>HUF</w:t>
      </w:r>
      <w:r w:rsidRPr="0086724A">
        <w:rPr>
          <w:rFonts w:ascii="Times New Roman" w:hAnsi="Times New Roman" w:cs="Times New Roman"/>
          <w:vertAlign w:val="subscript"/>
        </w:rPr>
        <w:t>h</w:t>
      </w:r>
      <w:proofErr w:type="gramStart"/>
      <w:r w:rsidRPr="0086724A">
        <w:rPr>
          <w:rFonts w:ascii="Times New Roman" w:hAnsi="Times New Roman" w:cs="Times New Roman"/>
          <w:vertAlign w:val="subscript"/>
        </w:rPr>
        <w:t>,s</w:t>
      </w:r>
      <w:proofErr w:type="spellEnd"/>
      <w:r w:rsidRPr="0086724A">
        <w:rPr>
          <w:rFonts w:ascii="Times New Roman" w:hAnsi="Times New Roman" w:cs="Times New Roman"/>
          <w:vertAlign w:val="subscript"/>
        </w:rPr>
        <w:softHyphen/>
      </w:r>
      <w:proofErr w:type="gramEnd"/>
      <w:r w:rsidRPr="0086724A">
        <w:rPr>
          <w:rFonts w:ascii="Times New Roman" w:hAnsi="Times New Roman" w:cs="Times New Roman"/>
          <w:vertAlign w:val="subscript"/>
        </w:rPr>
        <w:t xml:space="preserve"> </w:t>
      </w:r>
      <w:r w:rsidRPr="0086724A">
        <w:rPr>
          <w:rFonts w:ascii="Times New Roman" w:hAnsi="Times New Roman" w:cs="Times New Roman"/>
        </w:rPr>
        <w:t>for a given Segment during a given Hour shall be calculated by adding together the Unavailability Factors of the Unavailability Events which occur with respect to the Segment during that Hour, provided that the Hourly Unavailability Factor may never exceed 1.00. When no Unavailability Event occurs, the Hourly Unavailability Factor is 0.00.</w:t>
      </w:r>
    </w:p>
    <w:p w:rsidR="008C26EB" w:rsidRPr="0086724A" w:rsidRDefault="008C26EB" w:rsidP="008C26EB">
      <w:pPr>
        <w:pStyle w:val="ListParagraph"/>
        <w:numPr>
          <w:ilvl w:val="1"/>
          <w:numId w:val="5"/>
        </w:numPr>
        <w:spacing w:before="120" w:after="120"/>
        <w:ind w:left="360" w:firstLine="0"/>
        <w:contextualSpacing w:val="0"/>
        <w:rPr>
          <w:rFonts w:ascii="Times New Roman" w:hAnsi="Times New Roman" w:cs="Times New Roman"/>
        </w:rPr>
      </w:pPr>
      <w:r w:rsidRPr="0086724A">
        <w:rPr>
          <w:rFonts w:ascii="Times New Roman" w:hAnsi="Times New Roman" w:cs="Times New Roman"/>
        </w:rPr>
        <w:t>Segment Weighting Factors</w:t>
      </w:r>
    </w:p>
    <w:p w:rsidR="008C26EB" w:rsidRPr="0086724A" w:rsidRDefault="008C26EB" w:rsidP="008C26EB">
      <w:pPr>
        <w:pStyle w:val="ListParagraph"/>
        <w:numPr>
          <w:ilvl w:val="0"/>
          <w:numId w:val="7"/>
        </w:numPr>
        <w:spacing w:before="120" w:after="120"/>
        <w:ind w:left="1080" w:right="360"/>
        <w:contextualSpacing w:val="0"/>
        <w:rPr>
          <w:rFonts w:ascii="Times New Roman" w:hAnsi="Times New Roman" w:cs="Times New Roman"/>
        </w:rPr>
      </w:pPr>
      <w:r w:rsidRPr="0086724A">
        <w:rPr>
          <w:rFonts w:ascii="Times New Roman" w:hAnsi="Times New Roman" w:cs="Times New Roman"/>
        </w:rPr>
        <w:t xml:space="preserve">The Segment Weighting Factors </w:t>
      </w:r>
      <w:proofErr w:type="gramStart"/>
      <w:r w:rsidRPr="0086724A">
        <w:rPr>
          <w:rFonts w:ascii="Times New Roman" w:hAnsi="Times New Roman" w:cs="Times New Roman"/>
        </w:rPr>
        <w:t>are shown</w:t>
      </w:r>
      <w:proofErr w:type="gramEnd"/>
      <w:r w:rsidRPr="0086724A">
        <w:rPr>
          <w:rFonts w:ascii="Times New Roman" w:hAnsi="Times New Roman" w:cs="Times New Roman"/>
        </w:rPr>
        <w:t xml:space="preserve"> in Table D in Section 5 of this Appendix 6.</w:t>
      </w:r>
    </w:p>
    <w:p w:rsidR="008C26EB" w:rsidRPr="0086724A" w:rsidRDefault="008C26EB" w:rsidP="008C26EB">
      <w:pPr>
        <w:pStyle w:val="ListParagraph"/>
        <w:numPr>
          <w:ilvl w:val="0"/>
          <w:numId w:val="7"/>
        </w:numPr>
        <w:spacing w:before="120" w:after="120"/>
        <w:ind w:left="1080" w:right="360"/>
        <w:contextualSpacing w:val="0"/>
        <w:rPr>
          <w:rFonts w:ascii="Times New Roman" w:hAnsi="Times New Roman" w:cs="Times New Roman"/>
        </w:rPr>
      </w:pPr>
      <w:r w:rsidRPr="0086724A">
        <w:rPr>
          <w:rFonts w:ascii="Times New Roman" w:hAnsi="Times New Roman" w:cs="Times New Roman"/>
        </w:rPr>
        <w:t xml:space="preserve">At FDOT’s discretion after consultation with Concessionaire, the Segment Weighting Factors </w:t>
      </w:r>
      <w:proofErr w:type="gramStart"/>
      <w:r w:rsidRPr="0086724A">
        <w:rPr>
          <w:rFonts w:ascii="Times New Roman" w:hAnsi="Times New Roman" w:cs="Times New Roman"/>
        </w:rPr>
        <w:t>may be changed</w:t>
      </w:r>
      <w:proofErr w:type="gramEnd"/>
      <w:r w:rsidRPr="0086724A">
        <w:rPr>
          <w:rFonts w:ascii="Times New Roman" w:hAnsi="Times New Roman" w:cs="Times New Roman"/>
        </w:rPr>
        <w:t xml:space="preserve"> to reflect changes in the relative traffic utilization of the Segment and/or, the level of revenue generated from Express Lanes tolls. However, Segment Weighting Factors must always equal the sum of 1.00, and </w:t>
      </w:r>
      <w:proofErr w:type="gramStart"/>
      <w:r w:rsidRPr="0086724A">
        <w:rPr>
          <w:rFonts w:ascii="Times New Roman" w:hAnsi="Times New Roman" w:cs="Times New Roman"/>
        </w:rPr>
        <w:t>may not be changed</w:t>
      </w:r>
      <w:proofErr w:type="gramEnd"/>
      <w:r w:rsidRPr="0086724A">
        <w:rPr>
          <w:rFonts w:ascii="Times New Roman" w:hAnsi="Times New Roman" w:cs="Times New Roman"/>
        </w:rPr>
        <w:t xml:space="preserve"> more than once in any five-year interval. FDOT will provide Concessionaire with notice of any changes at least 120 days prior to the effective date of the changes.</w:t>
      </w:r>
    </w:p>
    <w:p w:rsidR="008C26EB" w:rsidRPr="0086724A" w:rsidRDefault="008C26EB" w:rsidP="008C26EB">
      <w:pPr>
        <w:pStyle w:val="ListParagraph"/>
        <w:numPr>
          <w:ilvl w:val="1"/>
          <w:numId w:val="5"/>
        </w:numPr>
        <w:spacing w:before="120" w:after="120"/>
        <w:ind w:left="360" w:firstLine="0"/>
        <w:contextualSpacing w:val="0"/>
        <w:rPr>
          <w:rFonts w:ascii="Times New Roman" w:hAnsi="Times New Roman" w:cs="Times New Roman"/>
        </w:rPr>
      </w:pPr>
      <w:r w:rsidRPr="0086724A">
        <w:rPr>
          <w:rFonts w:ascii="Times New Roman" w:hAnsi="Times New Roman" w:cs="Times New Roman"/>
        </w:rPr>
        <w:t>Time Weighting Factors</w:t>
      </w:r>
    </w:p>
    <w:p w:rsidR="008C26EB" w:rsidRPr="0086724A" w:rsidRDefault="008C26EB" w:rsidP="008C26EB">
      <w:pPr>
        <w:pStyle w:val="ListParagraph"/>
        <w:numPr>
          <w:ilvl w:val="0"/>
          <w:numId w:val="10"/>
        </w:numPr>
        <w:spacing w:before="120" w:after="120"/>
        <w:ind w:left="1080" w:right="360"/>
        <w:contextualSpacing w:val="0"/>
        <w:rPr>
          <w:rFonts w:ascii="Times New Roman" w:hAnsi="Times New Roman" w:cs="Times New Roman"/>
        </w:rPr>
      </w:pPr>
      <w:r w:rsidRPr="0086724A">
        <w:rPr>
          <w:rFonts w:ascii="Times New Roman" w:hAnsi="Times New Roman" w:cs="Times New Roman"/>
        </w:rPr>
        <w:t xml:space="preserve">Time Weighting Factors </w:t>
      </w:r>
      <w:proofErr w:type="gramStart"/>
      <w:r w:rsidRPr="0086724A">
        <w:rPr>
          <w:rFonts w:ascii="Times New Roman" w:hAnsi="Times New Roman" w:cs="Times New Roman"/>
        </w:rPr>
        <w:t>will be assigned</w:t>
      </w:r>
      <w:proofErr w:type="gramEnd"/>
      <w:r w:rsidRPr="0086724A">
        <w:rPr>
          <w:rFonts w:ascii="Times New Roman" w:hAnsi="Times New Roman" w:cs="Times New Roman"/>
        </w:rPr>
        <w:t xml:space="preserve"> to each Segment for every Hour of the Operating Period.</w:t>
      </w:r>
    </w:p>
    <w:p w:rsidR="008C26EB" w:rsidRPr="0086724A" w:rsidRDefault="008C26EB" w:rsidP="008C26EB">
      <w:pPr>
        <w:pStyle w:val="ListParagraph"/>
        <w:numPr>
          <w:ilvl w:val="0"/>
          <w:numId w:val="10"/>
        </w:numPr>
        <w:spacing w:before="120" w:after="120"/>
        <w:ind w:left="1080" w:right="360"/>
        <w:contextualSpacing w:val="0"/>
        <w:rPr>
          <w:rFonts w:ascii="Times New Roman" w:hAnsi="Times New Roman" w:cs="Times New Roman"/>
        </w:rPr>
      </w:pPr>
      <w:r w:rsidRPr="0086724A">
        <w:rPr>
          <w:rFonts w:ascii="Times New Roman" w:hAnsi="Times New Roman" w:cs="Times New Roman"/>
        </w:rPr>
        <w:t xml:space="preserve">The current Time Weighting Factor assignments for each Segment </w:t>
      </w:r>
      <w:proofErr w:type="gramStart"/>
      <w:r w:rsidRPr="0086724A">
        <w:rPr>
          <w:rFonts w:ascii="Times New Roman" w:hAnsi="Times New Roman" w:cs="Times New Roman"/>
        </w:rPr>
        <w:t>are shown</w:t>
      </w:r>
      <w:proofErr w:type="gramEnd"/>
      <w:r w:rsidRPr="0086724A">
        <w:rPr>
          <w:rFonts w:ascii="Times New Roman" w:hAnsi="Times New Roman" w:cs="Times New Roman"/>
        </w:rPr>
        <w:t xml:space="preserve"> on Table E to this Appendix. At FDOT’s discretion after consultation with Concessionaire, the Time Weighting Factor may be changed, provided that (i) the annual average Time Weighting Factor for each Segment equal seven (when rounded to the nearest second decimal), as determined by adding together the Time Weighting Factors assigned to each Hour of the year for a given Segment, and then dividing the sum by the number of hours in the year; (ii) the Time Weighting Factor assigned to any category of Low Priority Hours does not exceed two; (iii) the Time Weighting Factor assigned to any category of Mid Priority Hours does not exceed 15; (iv) the Time Weighting Factor assigned to any category of High Priority Hours does not exceed 20; (v) on each day, there are at least six Low Priority Hours and a combined total of at least ten Low Priority Hours and Mid Priority Hours; (vi) during every 48 Hour period, there are at least six contiguous Low Priority Hours and Mid Priority Hours; (vii) changes may not be made more than once per three year period; and (viii) Concessionaire receives notice of proposed changes 120 days prior to the effective date of the proposed changes and is provided with a reasonable opportunity to comment on the proposed changes.</w:t>
      </w:r>
    </w:p>
    <w:p w:rsidR="008C26EB" w:rsidRDefault="008C26EB" w:rsidP="008C26EB">
      <w:pPr>
        <w:ind w:left="360"/>
        <w:rPr>
          <w:b/>
        </w:rPr>
      </w:pPr>
      <w:proofErr w:type="gramStart"/>
      <w:r>
        <w:rPr>
          <w:b/>
        </w:rPr>
        <w:t>Section 3.</w:t>
      </w:r>
      <w:proofErr w:type="gramEnd"/>
      <w:r>
        <w:rPr>
          <w:b/>
        </w:rPr>
        <w:t xml:space="preserve"> O&amp;M Violation Adjustments</w:t>
      </w:r>
    </w:p>
    <w:p w:rsidR="008C26EB" w:rsidRPr="0024231F" w:rsidRDefault="008C26EB" w:rsidP="008C26EB">
      <w:pPr>
        <w:ind w:left="360" w:right="360"/>
      </w:pPr>
      <w:r>
        <w:t xml:space="preserve">Concessionaire will be required to operate maintain and renew the facility in accordance with Section 4 of Division II. O&amp;M Violations </w:t>
      </w:r>
      <w:proofErr w:type="gramStart"/>
      <w:r>
        <w:t>are triggered</w:t>
      </w:r>
      <w:proofErr w:type="gramEnd"/>
      <w:r>
        <w:t xml:space="preserve"> by noncompliance of certain contractual obligations set forth therein. </w:t>
      </w:r>
    </w:p>
    <w:p w:rsidR="008C26EB" w:rsidRPr="0086724A" w:rsidRDefault="008C26EB" w:rsidP="008C26EB">
      <w:pPr>
        <w:pStyle w:val="ListParagraph"/>
        <w:numPr>
          <w:ilvl w:val="1"/>
          <w:numId w:val="8"/>
        </w:numPr>
        <w:spacing w:before="120" w:after="120"/>
        <w:ind w:left="720"/>
        <w:contextualSpacing w:val="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10050302" wp14:editId="2B5117CE">
                <wp:simplePos x="0" y="0"/>
                <wp:positionH relativeFrom="margin">
                  <wp:align>center</wp:align>
                </wp:positionH>
                <wp:positionV relativeFrom="margin">
                  <wp:align>bottom</wp:align>
                </wp:positionV>
                <wp:extent cx="5943600" cy="82296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ED9D5" id="Rectangle 99" o:spid="_x0000_s1026" style="position:absolute;margin-left:0;margin-top:0;width:468pt;height:9in;z-index:25166336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UlQIAAIcFAAAOAAAAZHJzL2Uyb0RvYy54bWysVE1v2zAMvQ/YfxB0X+1kadcYdYogRYYB&#10;RVv0Az2rshQbkEVNUuJkv36UZDtBV+wwzAdZFMlH8oni1fW+VWQnrGtAl3RyllMiNIeq0ZuSvjyv&#10;v1xS4jzTFVOgRUkPwtHrxedPV50pxBRqUJWwBEG0KzpT0tp7U2SZ47VomTsDIzQqJdiWeRTtJqss&#10;6xC9Vdk0zy+yDmxlLHDhHJ7eJCVdRHwpBff3UjrhiSop5ubjauP6FtZsccWKjWWmbnifBvuHLFrW&#10;aAw6Qt0wz8jWNn9AtQ234ED6Mw5tBlI2XMQasJpJ/q6ap5oZEWtBcpwZaXL/D5bf7R4saaqSzueU&#10;aNbiHT0ia0xvlCB4hgR1xhVo92QebC853IZq99K24Y91kH0k9TCSKvaecDw8n8++XuTIPUfd5XQ6&#10;DwLiZEd3Y53/LqAlYVNSi/EjmWx363wyHUxCNA3rRik8Z4XSYXWgmiqcRSG0jlgpS3YML93vJ320&#10;EyuMHTyzUFmqJe78QYmE+igkkoLZT2MisR2PmIxzof0kqWpWiRTqPMdvCDZkEQtVGgEDssQkR+we&#10;YLBMIAN2Kru3D64idvPonP8tseQ8esTIoP3o3DYa7EcACqvqIyf7gaRETWDpDaoDtoyF9Jac4esG&#10;r+2WOf/ALD4evGocCP4eF6mgKyn0O0pqsL8+Og/22NOopaTDx1hS93PLrKBE/dDY7fPJbBZebxRm&#10;59+mKNhTzdupRm/bFeDVT3D0GB63wd6rYSsttK84N5YhKqqY5hi7pNzbQVj5NCRw8nCxXEYzfLGG&#10;+Vv9ZHgAD6yGtnzevzJr+t712PZ3MDxcVrxr4WQbPDUstx5kE/v7yGvPN7722Dj9ZArj5FSOVsf5&#10;ufgN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DQL6lS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86724A">
        <w:rPr>
          <w:rFonts w:ascii="Times New Roman" w:hAnsi="Times New Roman" w:cs="Times New Roman"/>
        </w:rPr>
        <w:t xml:space="preserve"> Quarterly O&amp;M Violations Adjustments</w:t>
      </w:r>
    </w:p>
    <w:p w:rsidR="008C26EB" w:rsidRDefault="008C26EB" w:rsidP="008C26EB">
      <w:pPr>
        <w:pStyle w:val="Bullets"/>
        <w:numPr>
          <w:ilvl w:val="0"/>
          <w:numId w:val="0"/>
        </w:numPr>
        <w:ind w:left="360" w:right="360"/>
      </w:pPr>
      <w:r>
        <w:t xml:space="preserve">The Quarterly O&amp;M Violations Adjustment to the Quarterly Payment </w:t>
      </w:r>
      <w:proofErr w:type="gramStart"/>
      <w:r>
        <w:t>shall be calculated</w:t>
      </w:r>
      <w:proofErr w:type="gramEnd"/>
      <w:r>
        <w:t xml:space="preserve"> as follows</w:t>
      </w:r>
    </w:p>
    <w:p w:rsidR="008C26EB" w:rsidRPr="0024231F" w:rsidRDefault="008C26EB" w:rsidP="008C26EB">
      <w:pPr>
        <w:pStyle w:val="Bullets"/>
        <w:numPr>
          <w:ilvl w:val="0"/>
          <w:numId w:val="0"/>
        </w:numPr>
        <w:ind w:left="360" w:right="360"/>
        <w:rPr>
          <w:rFonts w:eastAsiaTheme="minorEastAsia"/>
        </w:rPr>
      </w:pPr>
      <m:oMathPara>
        <m:oMath>
          <m:r>
            <w:rPr>
              <w:rFonts w:ascii="Cambria Math" w:hAnsi="Cambria Math"/>
            </w:rPr>
            <m:t>QV</m:t>
          </m:r>
          <m:sSub>
            <m:sSubPr>
              <m:ctrlPr>
                <w:rPr>
                  <w:rFonts w:ascii="Cambria Math" w:hAnsi="Cambria Math"/>
                </w:rPr>
              </m:ctrlPr>
            </m:sSubPr>
            <m:e>
              <m:r>
                <w:rPr>
                  <w:rFonts w:ascii="Cambria Math" w:hAnsi="Cambria Math"/>
                </w:rPr>
                <m:t>A</m:t>
              </m:r>
            </m:e>
            <m:sub>
              <m:r>
                <w:rPr>
                  <w:rFonts w:ascii="Cambria Math" w:hAnsi="Cambria Math"/>
                </w:rPr>
                <m:t>q</m:t>
              </m:r>
              <m:r>
                <m:rPr>
                  <m:sty m:val="p"/>
                </m:rPr>
                <w:rPr>
                  <w:rFonts w:ascii="Cambria Math" w:hAnsi="Cambria Math"/>
                </w:rPr>
                <m:t>,</m:t>
              </m:r>
              <m:r>
                <w:rPr>
                  <w:rFonts w:ascii="Cambria Math" w:hAnsi="Cambria Math"/>
                </w:rPr>
                <m:t>y</m:t>
              </m:r>
            </m:sub>
          </m:sSub>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OMV</m:t>
              </m:r>
              <m:r>
                <m:rPr>
                  <m:sty m:val="p"/>
                </m:rPr>
                <w:rPr>
                  <w:rFonts w:ascii="Cambria Math" w:hAnsi="Cambria Math"/>
                </w:rPr>
                <m:t xml:space="preserve"> </m:t>
              </m:r>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V</m:t>
              </m:r>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q</m:t>
                  </m:r>
                </m:sub>
              </m:sSub>
            </m:e>
          </m:nary>
        </m:oMath>
      </m:oMathPara>
    </w:p>
    <w:p w:rsidR="008C26EB" w:rsidRDefault="008C26EB" w:rsidP="008C26EB">
      <w:pPr>
        <w:pStyle w:val="Bullets"/>
        <w:numPr>
          <w:ilvl w:val="0"/>
          <w:numId w:val="0"/>
        </w:numPr>
        <w:ind w:left="360" w:right="360"/>
      </w:pPr>
      <w:r>
        <w:t>Where:</w:t>
      </w:r>
    </w:p>
    <w:p w:rsidR="008C26EB" w:rsidRDefault="008C26EB" w:rsidP="008C26EB">
      <w:pPr>
        <w:pStyle w:val="Bullets"/>
        <w:numPr>
          <w:ilvl w:val="0"/>
          <w:numId w:val="0"/>
        </w:numPr>
        <w:ind w:left="360" w:right="360"/>
      </w:pPr>
      <w:proofErr w:type="spellStart"/>
      <w:r>
        <w:t>QVA</w:t>
      </w:r>
      <w:r>
        <w:rPr>
          <w:vertAlign w:val="subscript"/>
        </w:rPr>
        <w:t>q</w:t>
      </w:r>
      <w:proofErr w:type="gramStart"/>
      <w:r>
        <w:rPr>
          <w:vertAlign w:val="subscript"/>
        </w:rPr>
        <w:t>,y</w:t>
      </w:r>
      <w:proofErr w:type="spellEnd"/>
      <w:proofErr w:type="gramEnd"/>
      <w:r>
        <w:t xml:space="preserve"> = Quarterly O&amp;M Violations Adjustment for the Quarter “q” in Fiscal Year “y;”</w:t>
      </w:r>
    </w:p>
    <w:p w:rsidR="008C26EB" w:rsidRDefault="008C26EB" w:rsidP="008C26EB">
      <w:pPr>
        <w:pStyle w:val="Bullets"/>
        <w:numPr>
          <w:ilvl w:val="0"/>
          <w:numId w:val="0"/>
        </w:numPr>
        <w:ind w:left="360" w:right="360"/>
      </w:pPr>
      <w:proofErr w:type="spellStart"/>
      <w:r>
        <w:t>VA</w:t>
      </w:r>
      <w:r>
        <w:rPr>
          <w:vertAlign w:val="subscript"/>
        </w:rPr>
        <w:t>i</w:t>
      </w:r>
      <w:proofErr w:type="gramStart"/>
      <w:r>
        <w:rPr>
          <w:vertAlign w:val="subscript"/>
        </w:rPr>
        <w:t>,q</w:t>
      </w:r>
      <w:proofErr w:type="spellEnd"/>
      <w:proofErr w:type="gramEnd"/>
      <w:r>
        <w:t xml:space="preserve"> = O&amp;M Violations Adjustment for each applicable O&amp;M Violations “i” in Quarter “q”.</w:t>
      </w:r>
    </w:p>
    <w:p w:rsidR="008C26EB" w:rsidRPr="0086724A" w:rsidRDefault="008C26EB" w:rsidP="008C26EB">
      <w:pPr>
        <w:pStyle w:val="ListParagraph"/>
        <w:numPr>
          <w:ilvl w:val="1"/>
          <w:numId w:val="8"/>
        </w:numPr>
        <w:spacing w:before="120" w:after="120"/>
        <w:ind w:left="720" w:right="360"/>
        <w:contextualSpacing w:val="0"/>
        <w:rPr>
          <w:rFonts w:ascii="Times New Roman" w:hAnsi="Times New Roman" w:cs="Times New Roman"/>
        </w:rPr>
      </w:pPr>
      <w:r w:rsidRPr="0086724A">
        <w:rPr>
          <w:rFonts w:ascii="Times New Roman" w:hAnsi="Times New Roman" w:cs="Times New Roman"/>
        </w:rPr>
        <w:t>O&amp;M Violation Adjustments and O&amp;M Violation Classifications</w:t>
      </w:r>
    </w:p>
    <w:p w:rsidR="008C26EB" w:rsidRDefault="008C26EB" w:rsidP="008C26EB">
      <w:pPr>
        <w:pStyle w:val="Bullets"/>
        <w:numPr>
          <w:ilvl w:val="0"/>
          <w:numId w:val="0"/>
        </w:numPr>
        <w:ind w:left="360" w:right="360"/>
      </w:pPr>
      <w:r>
        <w:t xml:space="preserve">O&amp;M Violation Classifications </w:t>
      </w:r>
      <w:proofErr w:type="gramStart"/>
      <w:r>
        <w:t>are set</w:t>
      </w:r>
      <w:proofErr w:type="gramEnd"/>
      <w:r>
        <w:t xml:space="preserve"> forth in Section 4 of Division II for each O&amp;M violation. Each O&amp;M violation Classification has an associated O&amp;M Violation Adjustment amount as shown in Table F in Section 5 of this Appendix 6.</w:t>
      </w:r>
    </w:p>
    <w:p w:rsidR="008C26EB" w:rsidRDefault="008C26EB" w:rsidP="008C26EB">
      <w:pPr>
        <w:pStyle w:val="Bullets"/>
        <w:numPr>
          <w:ilvl w:val="0"/>
          <w:numId w:val="0"/>
        </w:numPr>
        <w:ind w:left="360" w:right="360"/>
      </w:pPr>
      <w:r>
        <w:t xml:space="preserve">Each O&amp;M Violation has the cure period and an Interval Recurrence as described in Section 4, Table 4.2 of Division II. After the cure period, any O&amp;M Violation that </w:t>
      </w:r>
      <w:proofErr w:type="gramStart"/>
      <w:r>
        <w:t>is not cured</w:t>
      </w:r>
      <w:proofErr w:type="gramEnd"/>
      <w:r>
        <w:t xml:space="preserve"> within its respective Interval of Recurrence will be deemed to occur anew and assessed another O&amp;M Violation Adjustment, and such new occurrence shall have no cure period.</w:t>
      </w:r>
    </w:p>
    <w:p w:rsidR="008C26EB" w:rsidRDefault="008C26EB" w:rsidP="008C26EB">
      <w:pPr>
        <w:ind w:left="360"/>
        <w:rPr>
          <w:b/>
        </w:rPr>
      </w:pPr>
      <w:proofErr w:type="gramStart"/>
      <w:r>
        <w:rPr>
          <w:b/>
        </w:rPr>
        <w:t>Section 5.</w:t>
      </w:r>
      <w:proofErr w:type="gramEnd"/>
      <w:r>
        <w:rPr>
          <w:b/>
        </w:rPr>
        <w:t xml:space="preserve"> Tables</w:t>
      </w:r>
    </w:p>
    <w:p w:rsidR="008C26EB" w:rsidRDefault="008C26EB" w:rsidP="008C26EB">
      <w:pPr>
        <w:spacing w:after="0"/>
        <w:jc w:val="center"/>
        <w:rPr>
          <w:b/>
        </w:rPr>
      </w:pPr>
      <w:r>
        <w:rPr>
          <w:b/>
        </w:rPr>
        <w:t xml:space="preserve">Table </w:t>
      </w:r>
      <w:proofErr w:type="gramStart"/>
      <w:r>
        <w:rPr>
          <w:b/>
        </w:rPr>
        <w:t>A</w:t>
      </w:r>
      <w:proofErr w:type="gramEnd"/>
      <w:r>
        <w:rPr>
          <w:b/>
        </w:rPr>
        <w:t xml:space="preserve"> – Hourly Unavailability Factors</w:t>
      </w:r>
    </w:p>
    <w:tbl>
      <w:tblPr>
        <w:tblStyle w:val="GridTable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391"/>
      </w:tblGrid>
      <w:tr w:rsidR="008C26EB" w:rsidRPr="00AE6027" w:rsidTr="009536E0">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left w:val="none" w:sz="0" w:space="0" w:color="auto"/>
              <w:bottom w:val="double" w:sz="4" w:space="0" w:color="auto"/>
              <w:right w:val="none" w:sz="0" w:space="0" w:color="auto"/>
            </w:tcBorders>
            <w:shd w:val="clear" w:color="auto" w:fill="auto"/>
            <w:vAlign w:val="center"/>
          </w:tcPr>
          <w:p w:rsidR="008C26EB" w:rsidRPr="00AE6027" w:rsidRDefault="008C26EB" w:rsidP="009536E0">
            <w:pPr>
              <w:pStyle w:val="TableHeading"/>
              <w:rPr>
                <w:b/>
                <w:color w:val="auto"/>
              </w:rPr>
            </w:pPr>
            <w:r w:rsidRPr="00AE6027">
              <w:rPr>
                <w:b/>
                <w:color w:val="auto"/>
              </w:rPr>
              <w:t>Availability Classification</w:t>
            </w:r>
          </w:p>
        </w:tc>
        <w:tc>
          <w:tcPr>
            <w:tcW w:w="0" w:type="auto"/>
            <w:tcBorders>
              <w:top w:val="single" w:sz="18" w:space="0" w:color="auto"/>
              <w:bottom w:val="double" w:sz="4" w:space="0" w:color="auto"/>
              <w:right w:val="none" w:sz="0" w:space="0" w:color="auto"/>
            </w:tcBorders>
            <w:shd w:val="clear" w:color="auto" w:fill="auto"/>
            <w:vAlign w:val="center"/>
          </w:tcPr>
          <w:p w:rsidR="008C26EB" w:rsidRPr="00AE6027" w:rsidRDefault="008C26EB" w:rsidP="009536E0">
            <w:pPr>
              <w:pStyle w:val="TableHeading"/>
              <w:cnfStyle w:val="100000000000" w:firstRow="1" w:lastRow="0" w:firstColumn="0" w:lastColumn="0" w:oddVBand="0" w:evenVBand="0" w:oddHBand="0" w:evenHBand="0" w:firstRowFirstColumn="0" w:firstRowLastColumn="0" w:lastRowFirstColumn="0" w:lastRowLastColumn="0"/>
              <w:rPr>
                <w:b/>
                <w:color w:val="auto"/>
              </w:rPr>
            </w:pPr>
            <w:r w:rsidRPr="00AE6027">
              <w:rPr>
                <w:b/>
                <w:color w:val="auto"/>
              </w:rPr>
              <w:t>Hourly Unavailability Factor</w:t>
            </w:r>
          </w:p>
        </w:tc>
      </w:tr>
      <w:tr w:rsidR="008C26EB" w:rsidRPr="00A835A5" w:rsidTr="009536E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auto"/>
            </w:tcBorders>
            <w:shd w:val="clear" w:color="auto" w:fill="auto"/>
            <w:vAlign w:val="center"/>
          </w:tcPr>
          <w:p w:rsidR="008C26EB" w:rsidRPr="00A835A5" w:rsidRDefault="008C26EB" w:rsidP="009536E0">
            <w:pPr>
              <w:pStyle w:val="tbldescription"/>
              <w:jc w:val="center"/>
              <w:rPr>
                <w:b w:val="0"/>
              </w:rPr>
            </w:pPr>
            <w:r w:rsidRPr="00A835A5">
              <w:rPr>
                <w:b w:val="0"/>
              </w:rPr>
              <w:t>A</w:t>
            </w:r>
          </w:p>
        </w:tc>
        <w:tc>
          <w:tcPr>
            <w:tcW w:w="0" w:type="auto"/>
            <w:tcBorders>
              <w:top w:val="double" w:sz="4" w:space="0" w:color="auto"/>
            </w:tcBorders>
            <w:shd w:val="clear" w:color="auto" w:fill="auto"/>
            <w:vAlign w:val="center"/>
          </w:tcPr>
          <w:p w:rsidR="008C26EB" w:rsidRPr="00A835A5" w:rsidRDefault="008C26EB" w:rsidP="009536E0">
            <w:pPr>
              <w:pStyle w:val="tbldescription"/>
              <w:jc w:val="center"/>
              <w:cnfStyle w:val="000000100000" w:firstRow="0" w:lastRow="0" w:firstColumn="0" w:lastColumn="0" w:oddVBand="0" w:evenVBand="0" w:oddHBand="1" w:evenHBand="0" w:firstRowFirstColumn="0" w:firstRowLastColumn="0" w:lastRowFirstColumn="0" w:lastRowLastColumn="0"/>
            </w:pPr>
            <w:r w:rsidRPr="00A835A5">
              <w:t>0.1</w:t>
            </w:r>
          </w:p>
        </w:tc>
      </w:tr>
      <w:tr w:rsidR="008C26EB" w:rsidRPr="00A835A5" w:rsidTr="009536E0">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C26EB" w:rsidRPr="00A835A5" w:rsidRDefault="008C26EB" w:rsidP="009536E0">
            <w:pPr>
              <w:pStyle w:val="tbldescription"/>
              <w:jc w:val="center"/>
              <w:rPr>
                <w:b w:val="0"/>
              </w:rPr>
            </w:pPr>
            <w:r w:rsidRPr="00A835A5">
              <w:rPr>
                <w:b w:val="0"/>
              </w:rPr>
              <w:t>B</w:t>
            </w:r>
          </w:p>
        </w:tc>
        <w:tc>
          <w:tcPr>
            <w:tcW w:w="0" w:type="auto"/>
            <w:shd w:val="clear" w:color="auto" w:fill="auto"/>
            <w:vAlign w:val="center"/>
          </w:tcPr>
          <w:p w:rsidR="008C26EB" w:rsidRPr="00A835A5" w:rsidRDefault="008C26EB" w:rsidP="009536E0">
            <w:pPr>
              <w:pStyle w:val="tbldescription"/>
              <w:jc w:val="center"/>
              <w:cnfStyle w:val="000000000000" w:firstRow="0" w:lastRow="0" w:firstColumn="0" w:lastColumn="0" w:oddVBand="0" w:evenVBand="0" w:oddHBand="0" w:evenHBand="0" w:firstRowFirstColumn="0" w:firstRowLastColumn="0" w:lastRowFirstColumn="0" w:lastRowLastColumn="0"/>
            </w:pPr>
            <w:r w:rsidRPr="00A835A5">
              <w:t>0.2</w:t>
            </w:r>
          </w:p>
        </w:tc>
      </w:tr>
      <w:tr w:rsidR="008C26EB" w:rsidRPr="00A835A5" w:rsidTr="009536E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C26EB" w:rsidRPr="00A835A5" w:rsidRDefault="008C26EB" w:rsidP="009536E0">
            <w:pPr>
              <w:pStyle w:val="tbldescription"/>
              <w:jc w:val="center"/>
              <w:rPr>
                <w:b w:val="0"/>
              </w:rPr>
            </w:pPr>
            <w:r w:rsidRPr="00A835A5">
              <w:rPr>
                <w:b w:val="0"/>
              </w:rPr>
              <w:t>C</w:t>
            </w:r>
          </w:p>
        </w:tc>
        <w:tc>
          <w:tcPr>
            <w:tcW w:w="0" w:type="auto"/>
            <w:shd w:val="clear" w:color="auto" w:fill="auto"/>
            <w:vAlign w:val="center"/>
          </w:tcPr>
          <w:p w:rsidR="008C26EB" w:rsidRPr="00A835A5" w:rsidRDefault="008C26EB" w:rsidP="009536E0">
            <w:pPr>
              <w:pStyle w:val="tbldescription"/>
              <w:jc w:val="center"/>
              <w:cnfStyle w:val="000000100000" w:firstRow="0" w:lastRow="0" w:firstColumn="0" w:lastColumn="0" w:oddVBand="0" w:evenVBand="0" w:oddHBand="1" w:evenHBand="0" w:firstRowFirstColumn="0" w:firstRowLastColumn="0" w:lastRowFirstColumn="0" w:lastRowLastColumn="0"/>
            </w:pPr>
            <w:r w:rsidRPr="00A835A5">
              <w:t>0.4</w:t>
            </w:r>
          </w:p>
        </w:tc>
      </w:tr>
      <w:tr w:rsidR="008C26EB" w:rsidRPr="00A835A5" w:rsidTr="009536E0">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C26EB" w:rsidRPr="00A835A5" w:rsidRDefault="008C26EB" w:rsidP="009536E0">
            <w:pPr>
              <w:pStyle w:val="tbldescription"/>
              <w:jc w:val="center"/>
              <w:rPr>
                <w:b w:val="0"/>
              </w:rPr>
            </w:pPr>
            <w:r w:rsidRPr="00A835A5">
              <w:rPr>
                <w:b w:val="0"/>
              </w:rPr>
              <w:t>D</w:t>
            </w:r>
          </w:p>
        </w:tc>
        <w:tc>
          <w:tcPr>
            <w:tcW w:w="0" w:type="auto"/>
            <w:shd w:val="clear" w:color="auto" w:fill="auto"/>
            <w:vAlign w:val="center"/>
          </w:tcPr>
          <w:p w:rsidR="008C26EB" w:rsidRPr="00A835A5" w:rsidRDefault="008C26EB" w:rsidP="009536E0">
            <w:pPr>
              <w:pStyle w:val="tbldescription"/>
              <w:jc w:val="center"/>
              <w:cnfStyle w:val="000000000000" w:firstRow="0" w:lastRow="0" w:firstColumn="0" w:lastColumn="0" w:oddVBand="0" w:evenVBand="0" w:oddHBand="0" w:evenHBand="0" w:firstRowFirstColumn="0" w:firstRowLastColumn="0" w:lastRowFirstColumn="0" w:lastRowLastColumn="0"/>
            </w:pPr>
            <w:r w:rsidRPr="00A835A5">
              <w:t>0.6</w:t>
            </w:r>
          </w:p>
        </w:tc>
      </w:tr>
      <w:tr w:rsidR="008C26EB" w:rsidRPr="00A835A5" w:rsidTr="009536E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C26EB" w:rsidRPr="00A835A5" w:rsidRDefault="008C26EB" w:rsidP="009536E0">
            <w:pPr>
              <w:pStyle w:val="tbldescription"/>
              <w:jc w:val="center"/>
              <w:rPr>
                <w:b w:val="0"/>
              </w:rPr>
            </w:pPr>
            <w:r w:rsidRPr="00A835A5">
              <w:rPr>
                <w:b w:val="0"/>
              </w:rPr>
              <w:t>E</w:t>
            </w:r>
          </w:p>
        </w:tc>
        <w:tc>
          <w:tcPr>
            <w:tcW w:w="0" w:type="auto"/>
            <w:shd w:val="clear" w:color="auto" w:fill="auto"/>
            <w:vAlign w:val="center"/>
          </w:tcPr>
          <w:p w:rsidR="008C26EB" w:rsidRPr="00A835A5" w:rsidRDefault="008C26EB" w:rsidP="009536E0">
            <w:pPr>
              <w:pStyle w:val="tbldescription"/>
              <w:jc w:val="center"/>
              <w:cnfStyle w:val="000000100000" w:firstRow="0" w:lastRow="0" w:firstColumn="0" w:lastColumn="0" w:oddVBand="0" w:evenVBand="0" w:oddHBand="1" w:evenHBand="0" w:firstRowFirstColumn="0" w:firstRowLastColumn="0" w:lastRowFirstColumn="0" w:lastRowLastColumn="0"/>
            </w:pPr>
            <w:r w:rsidRPr="00A835A5">
              <w:t>0.7</w:t>
            </w:r>
          </w:p>
        </w:tc>
      </w:tr>
      <w:tr w:rsidR="008C26EB" w:rsidRPr="00A835A5" w:rsidTr="009536E0">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C26EB" w:rsidRPr="00A835A5" w:rsidRDefault="008C26EB" w:rsidP="009536E0">
            <w:pPr>
              <w:pStyle w:val="tbldescription"/>
              <w:jc w:val="center"/>
              <w:rPr>
                <w:b w:val="0"/>
              </w:rPr>
            </w:pPr>
            <w:r w:rsidRPr="00A835A5">
              <w:rPr>
                <w:b w:val="0"/>
              </w:rPr>
              <w:t>F</w:t>
            </w:r>
          </w:p>
        </w:tc>
        <w:tc>
          <w:tcPr>
            <w:tcW w:w="0" w:type="auto"/>
            <w:shd w:val="clear" w:color="auto" w:fill="auto"/>
            <w:vAlign w:val="center"/>
          </w:tcPr>
          <w:p w:rsidR="008C26EB" w:rsidRPr="00A835A5" w:rsidRDefault="008C26EB" w:rsidP="009536E0">
            <w:pPr>
              <w:pStyle w:val="tbldescription"/>
              <w:jc w:val="center"/>
              <w:cnfStyle w:val="000000000000" w:firstRow="0" w:lastRow="0" w:firstColumn="0" w:lastColumn="0" w:oddVBand="0" w:evenVBand="0" w:oddHBand="0" w:evenHBand="0" w:firstRowFirstColumn="0" w:firstRowLastColumn="0" w:lastRowFirstColumn="0" w:lastRowLastColumn="0"/>
            </w:pPr>
            <w:r w:rsidRPr="00A835A5">
              <w:t>0.8</w:t>
            </w:r>
          </w:p>
        </w:tc>
      </w:tr>
      <w:tr w:rsidR="008C26EB" w:rsidRPr="00A835A5" w:rsidTr="009536E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auto"/>
            </w:tcBorders>
            <w:shd w:val="clear" w:color="auto" w:fill="auto"/>
            <w:vAlign w:val="center"/>
          </w:tcPr>
          <w:p w:rsidR="008C26EB" w:rsidRPr="00A835A5" w:rsidRDefault="008C26EB" w:rsidP="009536E0">
            <w:pPr>
              <w:pStyle w:val="tbldescription"/>
              <w:jc w:val="center"/>
              <w:rPr>
                <w:b w:val="0"/>
              </w:rPr>
            </w:pPr>
            <w:r w:rsidRPr="00A835A5">
              <w:rPr>
                <w:b w:val="0"/>
              </w:rPr>
              <w:t>G</w:t>
            </w:r>
          </w:p>
        </w:tc>
        <w:tc>
          <w:tcPr>
            <w:tcW w:w="0" w:type="auto"/>
            <w:tcBorders>
              <w:bottom w:val="single" w:sz="18" w:space="0" w:color="auto"/>
            </w:tcBorders>
            <w:shd w:val="clear" w:color="auto" w:fill="auto"/>
            <w:vAlign w:val="center"/>
          </w:tcPr>
          <w:p w:rsidR="008C26EB" w:rsidRPr="00A835A5" w:rsidRDefault="008C26EB" w:rsidP="009536E0">
            <w:pPr>
              <w:pStyle w:val="tbldescription"/>
              <w:jc w:val="center"/>
              <w:cnfStyle w:val="000000100000" w:firstRow="0" w:lastRow="0" w:firstColumn="0" w:lastColumn="0" w:oddVBand="0" w:evenVBand="0" w:oddHBand="1" w:evenHBand="0" w:firstRowFirstColumn="0" w:firstRowLastColumn="0" w:lastRowFirstColumn="0" w:lastRowLastColumn="0"/>
            </w:pPr>
            <w:r w:rsidRPr="00A835A5">
              <w:t>1.0</w:t>
            </w:r>
          </w:p>
        </w:tc>
      </w:tr>
    </w:tbl>
    <w:p w:rsidR="008C26EB" w:rsidRDefault="008C26EB" w:rsidP="008C26EB">
      <w:pPr>
        <w:spacing w:after="0"/>
      </w:pPr>
    </w:p>
    <w:p w:rsidR="008C26EB" w:rsidRDefault="008C26EB" w:rsidP="008C26EB">
      <w:pPr>
        <w:spacing w:line="259" w:lineRule="auto"/>
        <w:rPr>
          <w:b/>
        </w:rPr>
      </w:pPr>
      <w:r>
        <w:rPr>
          <w:b/>
        </w:rPr>
        <w:br w:type="page"/>
      </w:r>
    </w:p>
    <w:p w:rsidR="008C26EB" w:rsidRPr="00887648" w:rsidRDefault="008C26EB" w:rsidP="008C26EB">
      <w:pPr>
        <w:spacing w:after="0"/>
        <w:jc w:val="center"/>
      </w:pPr>
      <w:r>
        <w:rPr>
          <w:noProof/>
        </w:rPr>
        <w:lastRenderedPageBreak/>
        <mc:AlternateContent>
          <mc:Choice Requires="wps">
            <w:drawing>
              <wp:anchor distT="0" distB="0" distL="114300" distR="114300" simplePos="0" relativeHeight="251664384" behindDoc="0" locked="0" layoutInCell="1" allowOverlap="1" wp14:anchorId="610AF687" wp14:editId="7CA077D3">
                <wp:simplePos x="0" y="0"/>
                <wp:positionH relativeFrom="margin">
                  <wp:align>center</wp:align>
                </wp:positionH>
                <wp:positionV relativeFrom="margin">
                  <wp:align>bottom</wp:align>
                </wp:positionV>
                <wp:extent cx="5943600" cy="82296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60F79" id="Rectangle 100" o:spid="_x0000_s1026" style="position:absolute;margin-left:0;margin-top:0;width:468pt;height:9in;z-index:2516643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4xlAIAAIkFAAAOAAAAZHJzL2Uyb0RvYy54bWysVFFv2yAQfp+0/4B4X+1kaddadaqoVadJ&#10;VVe1nfpMMcSWgGNA4mS/fgfYTtRVe5jmB8xxd9/dfRx3ebXTimyF8x2Yms5OSkqE4dB0Zl3TH8+3&#10;n84p8YGZhikwoqZ74enV8uOHy95WYg4tqEY4giDGV72taRuCrYrC81Zo5k/ACoNKCU6zgKJbF41j&#10;PaJrVczL8qzowTXWARfe4+lNVtJlwpdS8PBdSi8CUTXF3EJaXVpf41osL1m1dsy2HR/SYP+QhWad&#10;waAT1A0LjGxc9weU7rgDDzKccNAFSNlxkWrAamblm2qeWmZFqgXJ8Xaiyf8/WH6/fXCka/DuSuTH&#10;MI2X9Ii0MbNWgsRDpKi3vkLLJ/vgBsnjNta7k07HP1ZCdonW/USr2AXC8fD0YvH5LKJz1J3P5xdR&#10;QJzi4G6dD18FaBI3NXWYQKKTbe98yKajSYxm4LZTCs9ZpUxcPaiuiWdJiM0jrpUjW4bXHnazIdqR&#10;FcaOnkWsLNeSdmGvREZ9FBJpweznKZHUkAdMxrkwYZZVLWtEDnVa4jcGG7NIhSqDgBFZYpIT9gAw&#10;WmaQETuXPdhHV5H6eXIu/5ZYdp48UmQwYXLWnQH3HoDCqobI2X4kKVMTWXqFZo9N4yC/Jm/5bYfX&#10;dsd8eGAOnw9eNY6E8B0XqaCvKQw7Slpwv947j/bY1ailpMfnWFP/c8OcoER9M9jvF7PFIr7fJCxO&#10;v8xRcMea12ON2ehrwKuf4fCxPG2jfVDjVjrQLzg5VjEqqpjhGLumPLhRuA55TODs4WK1Smb4Zi0L&#10;d+bJ8ggeWY1t+bx7Yc4OvRuw7e9hfLqsetPC2TZ6GlhtAsgu9feB14FvfO+pcYbZFAfKsZysDhN0&#10;+RsAAP//AwBQSwMEFAAGAAgAAAAhANexIjrcAAAABgEAAA8AAABkcnMvZG93bnJldi54bWxMj0FL&#10;w0AQhe+C/2EZwUuxm1YoNmZTRFF6EMFqD71NsmM2NrsbstM2/ntHL3oZ5vEeb74pVqPv1JGG1MZg&#10;YDbNQFGoo21DY+D97fHqBlRiDBa7GMjAFyVYlednBeY2nsIrHTfcKCkJKUcDjrnPtU61I49pGnsK&#10;4n3EwSOLHBptBzxJue/0PMsW2mMb5ILDnu4d1fvNwRvYrUduPmdP/LzHyXaydlX98lAZc3kx3t2C&#10;Yhr5Lww/+IIOpTBV8RBsUp0BeYR/p3jL64XISkLzpWy6LPR//PIbAAD//wMAUEsBAi0AFAAGAAgA&#10;AAAhALaDOJL+AAAA4QEAABMAAAAAAAAAAAAAAAAAAAAAAFtDb250ZW50X1R5cGVzXS54bWxQSwEC&#10;LQAUAAYACAAAACEAOP0h/9YAAACUAQAACwAAAAAAAAAAAAAAAAAvAQAAX3JlbHMvLnJlbHNQSwEC&#10;LQAUAAYACAAAACEATsr+MZQCAACJBQAADgAAAAAAAAAAAAAAAAAuAgAAZHJzL2Uyb0RvYy54bWxQ&#10;SwECLQAUAAYACAAAACEA17EiOtwAAAAGAQAADwAAAAAAAAAAAAAAAADuBAAAZHJzL2Rvd25yZXYu&#10;eG1sUEsFBgAAAAAEAAQA8wAAAPcFAAAAAA==&#10;" filled="f" strokecolor="black [3213]" strokeweight="1pt">
                <w10:wrap anchorx="margin" anchory="margin"/>
              </v:rect>
            </w:pict>
          </mc:Fallback>
        </mc:AlternateContent>
      </w:r>
      <w:r>
        <w:rPr>
          <w:b/>
        </w:rPr>
        <w:t>Table B – Classification of Closures during Mid and High-Priority Hours</w:t>
      </w:r>
    </w:p>
    <w:tbl>
      <w:tblPr>
        <w:tblStyle w:val="GridTable4"/>
        <w:tblW w:w="8640" w:type="dxa"/>
        <w:tblInd w:w="36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1777"/>
        <w:gridCol w:w="3427"/>
      </w:tblGrid>
      <w:tr w:rsidR="008C26EB" w:rsidRPr="00AE6027" w:rsidTr="009536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Borders>
              <w:top w:val="single" w:sz="18" w:space="0" w:color="auto"/>
              <w:left w:val="nil"/>
              <w:bottom w:val="double" w:sz="4" w:space="0" w:color="auto"/>
            </w:tcBorders>
            <w:shd w:val="clear" w:color="auto" w:fill="auto"/>
            <w:vAlign w:val="center"/>
          </w:tcPr>
          <w:p w:rsidR="008C26EB" w:rsidRPr="00AE6027" w:rsidRDefault="008C26EB" w:rsidP="009536E0">
            <w:pPr>
              <w:pStyle w:val="TableHeading"/>
              <w:rPr>
                <w:b/>
                <w:color w:val="auto"/>
              </w:rPr>
            </w:pPr>
            <w:r w:rsidRPr="00AE6027">
              <w:rPr>
                <w:b/>
                <w:color w:val="auto"/>
              </w:rPr>
              <w:t>I-595 Corridor Segments (Segments 1, 2, 3, and 4)</w:t>
            </w:r>
          </w:p>
        </w:tc>
        <w:tc>
          <w:tcPr>
            <w:tcW w:w="1699" w:type="dxa"/>
            <w:tcBorders>
              <w:top w:val="single" w:sz="18" w:space="0" w:color="auto"/>
              <w:bottom w:val="double" w:sz="4" w:space="0" w:color="auto"/>
            </w:tcBorders>
            <w:shd w:val="clear" w:color="auto" w:fill="auto"/>
            <w:vAlign w:val="center"/>
          </w:tcPr>
          <w:p w:rsidR="008C26EB" w:rsidRPr="00AE6027" w:rsidRDefault="008C26EB" w:rsidP="009536E0">
            <w:pPr>
              <w:pStyle w:val="TableHeading"/>
              <w:cnfStyle w:val="100000000000" w:firstRow="1" w:lastRow="0" w:firstColumn="0" w:lastColumn="0" w:oddVBand="0" w:evenVBand="0" w:oddHBand="0" w:evenHBand="0" w:firstRowFirstColumn="0" w:firstRowLastColumn="0" w:lastRowFirstColumn="0" w:lastRowLastColumn="0"/>
              <w:rPr>
                <w:b/>
                <w:color w:val="auto"/>
              </w:rPr>
            </w:pPr>
            <w:r w:rsidRPr="00AE6027">
              <w:rPr>
                <w:b/>
                <w:color w:val="auto"/>
              </w:rPr>
              <w:t>Availability Classification</w:t>
            </w:r>
          </w:p>
        </w:tc>
        <w:tc>
          <w:tcPr>
            <w:tcW w:w="3830" w:type="dxa"/>
            <w:tcBorders>
              <w:top w:val="single" w:sz="18" w:space="0" w:color="auto"/>
              <w:bottom w:val="double" w:sz="4" w:space="0" w:color="auto"/>
              <w:right w:val="nil"/>
            </w:tcBorders>
            <w:shd w:val="clear" w:color="auto" w:fill="auto"/>
            <w:vAlign w:val="center"/>
          </w:tcPr>
          <w:p w:rsidR="008C26EB" w:rsidRPr="00AE6027" w:rsidRDefault="008C26EB" w:rsidP="009536E0">
            <w:pPr>
              <w:pStyle w:val="TableHeading"/>
              <w:cnfStyle w:val="100000000000" w:firstRow="1" w:lastRow="0" w:firstColumn="0" w:lastColumn="0" w:oddVBand="0" w:evenVBand="0" w:oddHBand="0" w:evenHBand="0" w:firstRowFirstColumn="0" w:firstRowLastColumn="0" w:lastRowFirstColumn="0" w:lastRowLastColumn="0"/>
              <w:rPr>
                <w:b/>
                <w:color w:val="auto"/>
              </w:rPr>
            </w:pPr>
            <w:r w:rsidRPr="00AE6027">
              <w:rPr>
                <w:b/>
                <w:color w:val="auto"/>
              </w:rPr>
              <w:t>Express Lanes Segment (Segment 5)</w:t>
            </w:r>
          </w:p>
        </w:tc>
      </w:tr>
      <w:tr w:rsidR="008C26EB" w:rsidRPr="00A0334C" w:rsidTr="00953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Borders>
              <w:top w:val="double" w:sz="4" w:space="0" w:color="auto"/>
              <w:bottom w:val="single" w:sz="4" w:space="0" w:color="auto"/>
            </w:tcBorders>
            <w:shd w:val="clear" w:color="auto" w:fill="auto"/>
            <w:vAlign w:val="center"/>
          </w:tcPr>
          <w:p w:rsidR="008C26EB" w:rsidRPr="00A0334C" w:rsidRDefault="008C26EB" w:rsidP="009536E0">
            <w:pPr>
              <w:ind w:left="360"/>
              <w:rPr>
                <w:sz w:val="20"/>
              </w:rPr>
            </w:pPr>
          </w:p>
        </w:tc>
        <w:tc>
          <w:tcPr>
            <w:tcW w:w="1699" w:type="dxa"/>
            <w:tcBorders>
              <w:top w:val="double" w:sz="4" w:space="0" w:color="auto"/>
              <w:bottom w:val="single" w:sz="4" w:space="0" w:color="auto"/>
            </w:tcBorders>
            <w:shd w:val="clear" w:color="auto" w:fill="auto"/>
            <w:vAlign w:val="center"/>
          </w:tcPr>
          <w:p w:rsidR="008C26EB" w:rsidRPr="00A0334C" w:rsidRDefault="008C26EB" w:rsidP="009536E0">
            <w:pPr>
              <w:pStyle w:val="tbldescription"/>
              <w:jc w:val="center"/>
              <w:cnfStyle w:val="000000100000" w:firstRow="0" w:lastRow="0" w:firstColumn="0" w:lastColumn="0" w:oddVBand="0" w:evenVBand="0" w:oddHBand="1" w:evenHBand="0" w:firstRowFirstColumn="0" w:firstRowLastColumn="0" w:lastRowFirstColumn="0" w:lastRowLastColumn="0"/>
            </w:pPr>
            <w:r w:rsidRPr="00A0334C">
              <w:t>A</w:t>
            </w:r>
          </w:p>
        </w:tc>
        <w:tc>
          <w:tcPr>
            <w:tcW w:w="3830" w:type="dxa"/>
            <w:tcBorders>
              <w:top w:val="double" w:sz="4" w:space="0" w:color="auto"/>
              <w:bottom w:val="single" w:sz="4" w:space="0" w:color="auto"/>
            </w:tcBorders>
            <w:shd w:val="clear" w:color="auto" w:fill="auto"/>
            <w:vAlign w:val="center"/>
          </w:tcPr>
          <w:p w:rsidR="008C26EB" w:rsidRPr="00A0334C" w:rsidRDefault="008C26EB" w:rsidP="009536E0">
            <w:pPr>
              <w:ind w:left="360"/>
              <w:cnfStyle w:val="000000100000" w:firstRow="0" w:lastRow="0" w:firstColumn="0" w:lastColumn="0" w:oddVBand="0" w:evenVBand="0" w:oddHBand="1" w:evenHBand="0" w:firstRowFirstColumn="0" w:firstRowLastColumn="0" w:lastRowFirstColumn="0" w:lastRowLastColumn="0"/>
              <w:rPr>
                <w:sz w:val="20"/>
              </w:rPr>
            </w:pPr>
          </w:p>
        </w:tc>
      </w:tr>
      <w:tr w:rsidR="008C26EB" w:rsidRPr="00A0334C" w:rsidTr="009536E0">
        <w:tc>
          <w:tcPr>
            <w:cnfStyle w:val="001000000000" w:firstRow="0" w:lastRow="0" w:firstColumn="1" w:lastColumn="0" w:oddVBand="0" w:evenVBand="0" w:oddHBand="0" w:evenHBand="0" w:firstRowFirstColumn="0" w:firstRowLastColumn="0" w:lastRowFirstColumn="0" w:lastRowLastColumn="0"/>
            <w:tcW w:w="3816" w:type="dxa"/>
            <w:tcBorders>
              <w:top w:val="single" w:sz="4" w:space="0" w:color="auto"/>
              <w:bottom w:val="single" w:sz="4" w:space="0" w:color="auto"/>
            </w:tcBorders>
            <w:shd w:val="clear" w:color="auto" w:fill="auto"/>
            <w:vAlign w:val="center"/>
          </w:tcPr>
          <w:p w:rsidR="008C26EB" w:rsidRPr="00A0334C" w:rsidRDefault="008C26EB" w:rsidP="009536E0">
            <w:pPr>
              <w:ind w:left="360"/>
              <w:rPr>
                <w:sz w:val="20"/>
              </w:rPr>
            </w:pPr>
          </w:p>
        </w:tc>
        <w:tc>
          <w:tcPr>
            <w:tcW w:w="1699" w:type="dxa"/>
            <w:tcBorders>
              <w:top w:val="single" w:sz="4" w:space="0" w:color="auto"/>
              <w:bottom w:val="single" w:sz="4" w:space="0" w:color="auto"/>
            </w:tcBorders>
            <w:shd w:val="clear" w:color="auto" w:fill="auto"/>
            <w:vAlign w:val="center"/>
          </w:tcPr>
          <w:p w:rsidR="008C26EB" w:rsidRPr="00A0334C" w:rsidRDefault="008C26EB" w:rsidP="009536E0">
            <w:pPr>
              <w:pStyle w:val="tbldescription"/>
              <w:jc w:val="center"/>
              <w:cnfStyle w:val="000000000000" w:firstRow="0" w:lastRow="0" w:firstColumn="0" w:lastColumn="0" w:oddVBand="0" w:evenVBand="0" w:oddHBand="0" w:evenHBand="0" w:firstRowFirstColumn="0" w:firstRowLastColumn="0" w:lastRowFirstColumn="0" w:lastRowLastColumn="0"/>
            </w:pPr>
            <w:r w:rsidRPr="00A0334C">
              <w:t>B</w:t>
            </w:r>
          </w:p>
        </w:tc>
        <w:tc>
          <w:tcPr>
            <w:tcW w:w="3830" w:type="dxa"/>
            <w:tcBorders>
              <w:top w:val="single" w:sz="4" w:space="0" w:color="auto"/>
              <w:bottom w:val="single" w:sz="4" w:space="0" w:color="auto"/>
            </w:tcBorders>
            <w:shd w:val="clear" w:color="auto" w:fill="auto"/>
            <w:vAlign w:val="center"/>
          </w:tcPr>
          <w:p w:rsidR="008C26EB" w:rsidRPr="00A0334C" w:rsidRDefault="008C26EB" w:rsidP="009536E0">
            <w:pPr>
              <w:ind w:left="360"/>
              <w:cnfStyle w:val="000000000000" w:firstRow="0" w:lastRow="0" w:firstColumn="0" w:lastColumn="0" w:oddVBand="0" w:evenVBand="0" w:oddHBand="0" w:evenHBand="0" w:firstRowFirstColumn="0" w:firstRowLastColumn="0" w:lastRowFirstColumn="0" w:lastRowLastColumn="0"/>
              <w:rPr>
                <w:sz w:val="20"/>
              </w:rPr>
            </w:pPr>
          </w:p>
        </w:tc>
      </w:tr>
      <w:tr w:rsidR="008C26EB" w:rsidRPr="00A0334C" w:rsidTr="00953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Borders>
              <w:top w:val="single" w:sz="4" w:space="0" w:color="auto"/>
              <w:bottom w:val="single" w:sz="4" w:space="0" w:color="auto"/>
            </w:tcBorders>
            <w:shd w:val="clear" w:color="auto" w:fill="auto"/>
            <w:vAlign w:val="center"/>
          </w:tcPr>
          <w:p w:rsidR="008C26EB" w:rsidRPr="00F06BDC" w:rsidRDefault="008C26EB" w:rsidP="009536E0">
            <w:pPr>
              <w:pStyle w:val="TableBullets"/>
              <w:tabs>
                <w:tab w:val="clear" w:pos="720"/>
              </w:tabs>
              <w:ind w:left="365"/>
              <w:rPr>
                <w:b w:val="0"/>
              </w:rPr>
            </w:pPr>
            <w:r w:rsidRPr="00F06BDC">
              <w:rPr>
                <w:b w:val="0"/>
              </w:rPr>
              <w:t>1 lane of a 3 lane part of SR-84 or</w:t>
            </w:r>
          </w:p>
          <w:p w:rsidR="008C26EB" w:rsidRPr="00F06BDC" w:rsidRDefault="008C26EB" w:rsidP="009536E0">
            <w:pPr>
              <w:pStyle w:val="TableBullets"/>
              <w:tabs>
                <w:tab w:val="clear" w:pos="720"/>
              </w:tabs>
              <w:ind w:left="365"/>
              <w:rPr>
                <w:b w:val="0"/>
              </w:rPr>
            </w:pPr>
            <w:r w:rsidRPr="00F06BDC">
              <w:rPr>
                <w:b w:val="0"/>
              </w:rPr>
              <w:t>1 lane of a 6 lane part of I-595 or</w:t>
            </w:r>
          </w:p>
          <w:p w:rsidR="008C26EB" w:rsidRPr="00F06BDC" w:rsidRDefault="008C26EB" w:rsidP="009536E0">
            <w:pPr>
              <w:pStyle w:val="TableBullets"/>
              <w:tabs>
                <w:tab w:val="clear" w:pos="720"/>
              </w:tabs>
              <w:ind w:left="365"/>
              <w:rPr>
                <w:b w:val="0"/>
              </w:rPr>
            </w:pPr>
            <w:r w:rsidRPr="00F06BDC">
              <w:rPr>
                <w:b w:val="0"/>
              </w:rPr>
              <w:t>1 lane of a 2 lane Ramp or</w:t>
            </w:r>
          </w:p>
          <w:p w:rsidR="008C26EB" w:rsidRPr="00A0334C" w:rsidRDefault="008C26EB" w:rsidP="009536E0">
            <w:pPr>
              <w:pStyle w:val="TableBullets"/>
              <w:tabs>
                <w:tab w:val="clear" w:pos="720"/>
              </w:tabs>
              <w:ind w:left="365"/>
            </w:pPr>
            <w:r w:rsidRPr="00F06BDC">
              <w:rPr>
                <w:b w:val="0"/>
              </w:rPr>
              <w:t>any lane of a crossroad</w:t>
            </w:r>
            <w:r>
              <w:rPr>
                <w:b w:val="0"/>
              </w:rPr>
              <w:t xml:space="preserve"> </w:t>
            </w:r>
            <w:r w:rsidRPr="00F06BDC">
              <w:rPr>
                <w:b w:val="0"/>
              </w:rPr>
              <w:t>is not available at some time during the Hour</w:t>
            </w:r>
          </w:p>
        </w:tc>
        <w:tc>
          <w:tcPr>
            <w:tcW w:w="1699" w:type="dxa"/>
            <w:tcBorders>
              <w:top w:val="single" w:sz="4" w:space="0" w:color="auto"/>
              <w:bottom w:val="single" w:sz="4" w:space="0" w:color="auto"/>
            </w:tcBorders>
            <w:shd w:val="clear" w:color="auto" w:fill="auto"/>
            <w:vAlign w:val="center"/>
          </w:tcPr>
          <w:p w:rsidR="008C26EB" w:rsidRPr="00A0334C" w:rsidRDefault="008C26EB" w:rsidP="009536E0">
            <w:pPr>
              <w:pStyle w:val="tbldescription"/>
              <w:jc w:val="center"/>
              <w:cnfStyle w:val="000000100000" w:firstRow="0" w:lastRow="0" w:firstColumn="0" w:lastColumn="0" w:oddVBand="0" w:evenVBand="0" w:oddHBand="1" w:evenHBand="0" w:firstRowFirstColumn="0" w:firstRowLastColumn="0" w:lastRowFirstColumn="0" w:lastRowLastColumn="0"/>
            </w:pPr>
            <w:r w:rsidRPr="00A0334C">
              <w:t>C</w:t>
            </w:r>
          </w:p>
        </w:tc>
        <w:tc>
          <w:tcPr>
            <w:tcW w:w="3830" w:type="dxa"/>
            <w:tcBorders>
              <w:top w:val="single" w:sz="4" w:space="0" w:color="auto"/>
              <w:bottom w:val="single" w:sz="4" w:space="0" w:color="auto"/>
            </w:tcBorders>
            <w:shd w:val="clear" w:color="auto" w:fill="auto"/>
            <w:vAlign w:val="center"/>
          </w:tcPr>
          <w:p w:rsidR="008C26EB" w:rsidRPr="00A0334C" w:rsidRDefault="008C26EB" w:rsidP="009536E0">
            <w:pPr>
              <w:ind w:left="360"/>
              <w:cnfStyle w:val="000000100000" w:firstRow="0" w:lastRow="0" w:firstColumn="0" w:lastColumn="0" w:oddVBand="0" w:evenVBand="0" w:oddHBand="1" w:evenHBand="0" w:firstRowFirstColumn="0" w:firstRowLastColumn="0" w:lastRowFirstColumn="0" w:lastRowLastColumn="0"/>
              <w:rPr>
                <w:sz w:val="20"/>
              </w:rPr>
            </w:pPr>
          </w:p>
        </w:tc>
      </w:tr>
      <w:tr w:rsidR="008C26EB" w:rsidRPr="00A0334C" w:rsidTr="009536E0">
        <w:tc>
          <w:tcPr>
            <w:cnfStyle w:val="001000000000" w:firstRow="0" w:lastRow="0" w:firstColumn="1" w:lastColumn="0" w:oddVBand="0" w:evenVBand="0" w:oddHBand="0" w:evenHBand="0" w:firstRowFirstColumn="0" w:firstRowLastColumn="0" w:lastRowFirstColumn="0" w:lastRowLastColumn="0"/>
            <w:tcW w:w="3816" w:type="dxa"/>
            <w:tcBorders>
              <w:top w:val="single" w:sz="4" w:space="0" w:color="auto"/>
              <w:bottom w:val="single" w:sz="4" w:space="0" w:color="auto"/>
            </w:tcBorders>
            <w:shd w:val="clear" w:color="auto" w:fill="auto"/>
            <w:vAlign w:val="center"/>
          </w:tcPr>
          <w:p w:rsidR="008C26EB" w:rsidRPr="00F06BDC" w:rsidRDefault="008C26EB" w:rsidP="009536E0">
            <w:pPr>
              <w:pStyle w:val="TableBullets"/>
              <w:tabs>
                <w:tab w:val="clear" w:pos="720"/>
              </w:tabs>
              <w:ind w:left="365"/>
              <w:rPr>
                <w:b w:val="0"/>
              </w:rPr>
            </w:pPr>
            <w:r w:rsidRPr="00F06BDC">
              <w:rPr>
                <w:b w:val="0"/>
              </w:rPr>
              <w:t>1 lane of a 3, 4, or 5 lane part of I-595 or</w:t>
            </w:r>
          </w:p>
          <w:p w:rsidR="008C26EB" w:rsidRPr="00F06BDC" w:rsidRDefault="008C26EB" w:rsidP="009536E0">
            <w:pPr>
              <w:pStyle w:val="TableBullets"/>
              <w:tabs>
                <w:tab w:val="clear" w:pos="720"/>
              </w:tabs>
              <w:ind w:left="365"/>
              <w:rPr>
                <w:b w:val="0"/>
              </w:rPr>
            </w:pPr>
            <w:r w:rsidRPr="00F06BDC">
              <w:rPr>
                <w:b w:val="0"/>
              </w:rPr>
              <w:t>lanes of a 6 lane part of I-595 or</w:t>
            </w:r>
          </w:p>
          <w:p w:rsidR="008C26EB" w:rsidRPr="00F06BDC" w:rsidRDefault="008C26EB" w:rsidP="009536E0">
            <w:pPr>
              <w:pStyle w:val="TableBullets"/>
              <w:tabs>
                <w:tab w:val="clear" w:pos="720"/>
              </w:tabs>
              <w:ind w:left="365"/>
              <w:rPr>
                <w:b w:val="0"/>
              </w:rPr>
            </w:pPr>
            <w:r w:rsidRPr="00F06BDC">
              <w:rPr>
                <w:b w:val="0"/>
              </w:rPr>
              <w:t>1 lane of 2 lane part of SR-84 or</w:t>
            </w:r>
          </w:p>
          <w:p w:rsidR="008C26EB" w:rsidRPr="00F06BDC" w:rsidRDefault="008C26EB" w:rsidP="009536E0">
            <w:pPr>
              <w:pStyle w:val="TableBullets"/>
              <w:tabs>
                <w:tab w:val="clear" w:pos="720"/>
              </w:tabs>
              <w:ind w:left="365"/>
              <w:rPr>
                <w:b w:val="0"/>
              </w:rPr>
            </w:pPr>
            <w:r w:rsidRPr="00F06BDC">
              <w:rPr>
                <w:b w:val="0"/>
              </w:rPr>
              <w:t>lanes of a 3 lane part of SR-84 or</w:t>
            </w:r>
          </w:p>
          <w:p w:rsidR="008C26EB" w:rsidRPr="00F06BDC" w:rsidRDefault="008C26EB" w:rsidP="009536E0">
            <w:pPr>
              <w:pStyle w:val="TableBullets"/>
              <w:tabs>
                <w:tab w:val="clear" w:pos="720"/>
              </w:tabs>
              <w:ind w:left="365"/>
              <w:rPr>
                <w:b w:val="0"/>
              </w:rPr>
            </w:pPr>
            <w:r w:rsidRPr="00F06BDC">
              <w:rPr>
                <w:b w:val="0"/>
              </w:rPr>
              <w:t>1 lane of a 2 lane High Impact Ramp or</w:t>
            </w:r>
          </w:p>
          <w:p w:rsidR="008C26EB" w:rsidRPr="00F06BDC" w:rsidRDefault="008C26EB" w:rsidP="009536E0">
            <w:pPr>
              <w:pStyle w:val="TableBullets"/>
              <w:tabs>
                <w:tab w:val="clear" w:pos="720"/>
              </w:tabs>
              <w:ind w:left="365"/>
              <w:rPr>
                <w:b w:val="0"/>
              </w:rPr>
            </w:pPr>
            <w:r w:rsidRPr="00F06BDC">
              <w:rPr>
                <w:b w:val="0"/>
              </w:rPr>
              <w:t>All lanes of a Ramp or</w:t>
            </w:r>
          </w:p>
          <w:p w:rsidR="008C26EB" w:rsidRPr="00A0334C" w:rsidRDefault="008C26EB" w:rsidP="009536E0">
            <w:pPr>
              <w:pStyle w:val="TableBullets"/>
              <w:tabs>
                <w:tab w:val="clear" w:pos="720"/>
              </w:tabs>
              <w:ind w:left="365"/>
            </w:pPr>
            <w:r w:rsidRPr="00F06BDC">
              <w:rPr>
                <w:b w:val="0"/>
              </w:rPr>
              <w:t>more than 1 lane of crossroad is not available at some time during the Hours</w:t>
            </w:r>
          </w:p>
        </w:tc>
        <w:tc>
          <w:tcPr>
            <w:tcW w:w="1699" w:type="dxa"/>
            <w:tcBorders>
              <w:top w:val="single" w:sz="4" w:space="0" w:color="auto"/>
              <w:bottom w:val="single" w:sz="4" w:space="0" w:color="auto"/>
            </w:tcBorders>
            <w:shd w:val="clear" w:color="auto" w:fill="auto"/>
            <w:vAlign w:val="center"/>
          </w:tcPr>
          <w:p w:rsidR="008C26EB" w:rsidRPr="00A0334C" w:rsidRDefault="008C26EB" w:rsidP="009536E0">
            <w:pPr>
              <w:pStyle w:val="tbldescription"/>
              <w:jc w:val="center"/>
              <w:cnfStyle w:val="000000000000" w:firstRow="0" w:lastRow="0" w:firstColumn="0" w:lastColumn="0" w:oddVBand="0" w:evenVBand="0" w:oddHBand="0" w:evenHBand="0" w:firstRowFirstColumn="0" w:firstRowLastColumn="0" w:lastRowFirstColumn="0" w:lastRowLastColumn="0"/>
            </w:pPr>
            <w:r w:rsidRPr="00A0334C">
              <w:t>D</w:t>
            </w:r>
          </w:p>
        </w:tc>
        <w:tc>
          <w:tcPr>
            <w:tcW w:w="3830" w:type="dxa"/>
            <w:tcBorders>
              <w:top w:val="single" w:sz="4" w:space="0" w:color="auto"/>
              <w:bottom w:val="single" w:sz="4" w:space="0" w:color="auto"/>
            </w:tcBorders>
            <w:shd w:val="clear" w:color="auto" w:fill="auto"/>
            <w:vAlign w:val="center"/>
          </w:tcPr>
          <w:p w:rsidR="008C26EB" w:rsidRPr="00A0334C" w:rsidRDefault="008C26EB" w:rsidP="009536E0">
            <w:pPr>
              <w:pStyle w:val="TableBullets"/>
              <w:tabs>
                <w:tab w:val="clear" w:pos="720"/>
              </w:tabs>
              <w:ind w:left="340"/>
              <w:cnfStyle w:val="000000000000" w:firstRow="0" w:lastRow="0" w:firstColumn="0" w:lastColumn="0" w:oddVBand="0" w:evenVBand="0" w:oddHBand="0" w:evenHBand="0" w:firstRowFirstColumn="0" w:firstRowLastColumn="0" w:lastRowFirstColumn="0" w:lastRowLastColumn="0"/>
            </w:pPr>
            <w:r w:rsidRPr="00A0334C">
              <w:t>1 lane of a 3 lane part or 1 lane of a 4 lane part of the Express Lanes or</w:t>
            </w:r>
          </w:p>
          <w:p w:rsidR="008C26EB" w:rsidRPr="00A0334C" w:rsidRDefault="008C26EB" w:rsidP="009536E0">
            <w:pPr>
              <w:pStyle w:val="TableBullets"/>
              <w:tabs>
                <w:tab w:val="clear" w:pos="720"/>
              </w:tabs>
              <w:ind w:left="340"/>
              <w:cnfStyle w:val="000000000000" w:firstRow="0" w:lastRow="0" w:firstColumn="0" w:lastColumn="0" w:oddVBand="0" w:evenVBand="0" w:oddHBand="0" w:evenHBand="0" w:firstRowFirstColumn="0" w:firstRowLastColumn="0" w:lastRowFirstColumn="0" w:lastRowLastColumn="0"/>
            </w:pPr>
            <w:r w:rsidRPr="00A0334C">
              <w:t>1 or more lanes of an ingress Express Lanes Ramp</w:t>
            </w:r>
            <w:r>
              <w:t xml:space="preserve"> </w:t>
            </w:r>
            <w:r w:rsidRPr="00A0334C">
              <w:t>Are not available some time during the Hour</w:t>
            </w:r>
          </w:p>
        </w:tc>
      </w:tr>
      <w:tr w:rsidR="008C26EB" w:rsidRPr="00A0334C" w:rsidTr="00953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Borders>
              <w:top w:val="single" w:sz="4" w:space="0" w:color="auto"/>
              <w:bottom w:val="single" w:sz="4" w:space="0" w:color="auto"/>
            </w:tcBorders>
            <w:shd w:val="clear" w:color="auto" w:fill="auto"/>
            <w:vAlign w:val="center"/>
          </w:tcPr>
          <w:p w:rsidR="008C26EB" w:rsidRPr="00F06BDC" w:rsidRDefault="008C26EB" w:rsidP="009536E0">
            <w:pPr>
              <w:pStyle w:val="TableBullets"/>
              <w:tabs>
                <w:tab w:val="clear" w:pos="720"/>
              </w:tabs>
              <w:ind w:left="365"/>
              <w:rPr>
                <w:b w:val="0"/>
              </w:rPr>
            </w:pPr>
            <w:r w:rsidRPr="00F06BDC">
              <w:rPr>
                <w:b w:val="0"/>
              </w:rPr>
              <w:t>lanes of a 4 or 5 lane part of I-595 or</w:t>
            </w:r>
          </w:p>
          <w:p w:rsidR="008C26EB" w:rsidRPr="00A0334C" w:rsidRDefault="008C26EB" w:rsidP="009536E0">
            <w:pPr>
              <w:pStyle w:val="TableBullets"/>
              <w:tabs>
                <w:tab w:val="clear" w:pos="720"/>
              </w:tabs>
              <w:ind w:left="365"/>
            </w:pPr>
            <w:r w:rsidRPr="00F06BDC">
              <w:rPr>
                <w:b w:val="0"/>
              </w:rPr>
              <w:t>lanes of a 6 lane part of I-595 is not available at some time during the Hour</w:t>
            </w:r>
          </w:p>
        </w:tc>
        <w:tc>
          <w:tcPr>
            <w:tcW w:w="1699" w:type="dxa"/>
            <w:tcBorders>
              <w:top w:val="single" w:sz="4" w:space="0" w:color="auto"/>
              <w:bottom w:val="single" w:sz="4" w:space="0" w:color="auto"/>
            </w:tcBorders>
            <w:shd w:val="clear" w:color="auto" w:fill="auto"/>
            <w:vAlign w:val="center"/>
          </w:tcPr>
          <w:p w:rsidR="008C26EB" w:rsidRPr="00A0334C" w:rsidRDefault="008C26EB" w:rsidP="009536E0">
            <w:pPr>
              <w:pStyle w:val="tbldescription"/>
              <w:jc w:val="center"/>
              <w:cnfStyle w:val="000000100000" w:firstRow="0" w:lastRow="0" w:firstColumn="0" w:lastColumn="0" w:oddVBand="0" w:evenVBand="0" w:oddHBand="1" w:evenHBand="0" w:firstRowFirstColumn="0" w:firstRowLastColumn="0" w:lastRowFirstColumn="0" w:lastRowLastColumn="0"/>
            </w:pPr>
            <w:r w:rsidRPr="00A0334C">
              <w:t>E</w:t>
            </w:r>
          </w:p>
        </w:tc>
        <w:tc>
          <w:tcPr>
            <w:tcW w:w="3830" w:type="dxa"/>
            <w:tcBorders>
              <w:top w:val="single" w:sz="4" w:space="0" w:color="auto"/>
              <w:bottom w:val="single" w:sz="4" w:space="0" w:color="auto"/>
            </w:tcBorders>
            <w:shd w:val="clear" w:color="auto" w:fill="auto"/>
            <w:vAlign w:val="center"/>
          </w:tcPr>
          <w:p w:rsidR="008C26EB" w:rsidRPr="00A0334C" w:rsidRDefault="008C26EB" w:rsidP="009536E0">
            <w:pPr>
              <w:ind w:left="360"/>
              <w:cnfStyle w:val="000000100000" w:firstRow="0" w:lastRow="0" w:firstColumn="0" w:lastColumn="0" w:oddVBand="0" w:evenVBand="0" w:oddHBand="1" w:evenHBand="0" w:firstRowFirstColumn="0" w:firstRowLastColumn="0" w:lastRowFirstColumn="0" w:lastRowLastColumn="0"/>
              <w:rPr>
                <w:sz w:val="20"/>
              </w:rPr>
            </w:pPr>
          </w:p>
        </w:tc>
      </w:tr>
      <w:tr w:rsidR="008C26EB" w:rsidRPr="00A0334C" w:rsidTr="009536E0">
        <w:tc>
          <w:tcPr>
            <w:cnfStyle w:val="001000000000" w:firstRow="0" w:lastRow="0" w:firstColumn="1" w:lastColumn="0" w:oddVBand="0" w:evenVBand="0" w:oddHBand="0" w:evenHBand="0" w:firstRowFirstColumn="0" w:firstRowLastColumn="0" w:lastRowFirstColumn="0" w:lastRowLastColumn="0"/>
            <w:tcW w:w="3816" w:type="dxa"/>
            <w:tcBorders>
              <w:top w:val="single" w:sz="4" w:space="0" w:color="auto"/>
              <w:bottom w:val="single" w:sz="4" w:space="0" w:color="auto"/>
            </w:tcBorders>
            <w:shd w:val="clear" w:color="auto" w:fill="auto"/>
            <w:vAlign w:val="center"/>
          </w:tcPr>
          <w:p w:rsidR="008C26EB" w:rsidRPr="00F06BDC" w:rsidRDefault="008C26EB" w:rsidP="009536E0">
            <w:pPr>
              <w:pStyle w:val="TableBullets"/>
              <w:tabs>
                <w:tab w:val="clear" w:pos="720"/>
              </w:tabs>
              <w:ind w:left="365"/>
              <w:rPr>
                <w:b w:val="0"/>
              </w:rPr>
            </w:pPr>
            <w:r w:rsidRPr="00F06BDC">
              <w:rPr>
                <w:b w:val="0"/>
              </w:rPr>
              <w:t>lanes of a 3 lane part of I-595 or</w:t>
            </w:r>
          </w:p>
          <w:p w:rsidR="008C26EB" w:rsidRPr="00F06BDC" w:rsidRDefault="008C26EB" w:rsidP="009536E0">
            <w:pPr>
              <w:pStyle w:val="TableBullets"/>
              <w:tabs>
                <w:tab w:val="clear" w:pos="720"/>
              </w:tabs>
              <w:ind w:left="365"/>
              <w:rPr>
                <w:b w:val="0"/>
              </w:rPr>
            </w:pPr>
            <w:r w:rsidRPr="00F06BDC">
              <w:rPr>
                <w:b w:val="0"/>
              </w:rPr>
              <w:t>lanes of a 4 lane part or 5 lane part of I-595</w:t>
            </w:r>
          </w:p>
          <w:p w:rsidR="008C26EB" w:rsidRPr="00F06BDC" w:rsidRDefault="008C26EB" w:rsidP="009536E0">
            <w:pPr>
              <w:pStyle w:val="TableBullets"/>
              <w:tabs>
                <w:tab w:val="clear" w:pos="720"/>
              </w:tabs>
              <w:ind w:left="365"/>
              <w:rPr>
                <w:b w:val="0"/>
              </w:rPr>
            </w:pPr>
            <w:r w:rsidRPr="00F06BDC">
              <w:rPr>
                <w:b w:val="0"/>
              </w:rPr>
              <w:t>lanes of a 5 lane part or 6 lane part of I-595 or</w:t>
            </w:r>
          </w:p>
          <w:p w:rsidR="008C26EB" w:rsidRPr="00F06BDC" w:rsidRDefault="008C26EB" w:rsidP="009536E0">
            <w:pPr>
              <w:pStyle w:val="TableBullets"/>
              <w:tabs>
                <w:tab w:val="clear" w:pos="720"/>
              </w:tabs>
              <w:ind w:left="365"/>
              <w:rPr>
                <w:b w:val="0"/>
              </w:rPr>
            </w:pPr>
            <w:r w:rsidRPr="00F06BDC">
              <w:rPr>
                <w:b w:val="0"/>
              </w:rPr>
              <w:t>lanes of a 6 lane part of I-595 or</w:t>
            </w:r>
          </w:p>
          <w:p w:rsidR="008C26EB" w:rsidRPr="00F06BDC" w:rsidRDefault="008C26EB" w:rsidP="009536E0">
            <w:pPr>
              <w:pStyle w:val="TableBullets"/>
              <w:tabs>
                <w:tab w:val="clear" w:pos="720"/>
              </w:tabs>
              <w:ind w:left="365"/>
              <w:rPr>
                <w:b w:val="0"/>
              </w:rPr>
            </w:pPr>
            <w:r w:rsidRPr="00F06BDC">
              <w:rPr>
                <w:b w:val="0"/>
              </w:rPr>
              <w:t>All lanes of SR-84 or</w:t>
            </w:r>
          </w:p>
          <w:p w:rsidR="008C26EB" w:rsidRPr="00A0334C" w:rsidRDefault="008C26EB" w:rsidP="009536E0">
            <w:pPr>
              <w:pStyle w:val="TableBullets"/>
              <w:tabs>
                <w:tab w:val="clear" w:pos="720"/>
              </w:tabs>
              <w:ind w:left="365"/>
            </w:pPr>
            <w:r w:rsidRPr="00F06BDC">
              <w:rPr>
                <w:b w:val="0"/>
              </w:rPr>
              <w:t>All lanes of a High Impact Ramp are not available at some time during the Hour</w:t>
            </w:r>
          </w:p>
        </w:tc>
        <w:tc>
          <w:tcPr>
            <w:tcW w:w="1699" w:type="dxa"/>
            <w:tcBorders>
              <w:top w:val="single" w:sz="4" w:space="0" w:color="auto"/>
              <w:bottom w:val="single" w:sz="4" w:space="0" w:color="auto"/>
            </w:tcBorders>
            <w:shd w:val="clear" w:color="auto" w:fill="auto"/>
            <w:vAlign w:val="center"/>
          </w:tcPr>
          <w:p w:rsidR="008C26EB" w:rsidRPr="00A0334C" w:rsidRDefault="008C26EB" w:rsidP="009536E0">
            <w:pPr>
              <w:pStyle w:val="tbldescription"/>
              <w:jc w:val="center"/>
              <w:cnfStyle w:val="000000000000" w:firstRow="0" w:lastRow="0" w:firstColumn="0" w:lastColumn="0" w:oddVBand="0" w:evenVBand="0" w:oddHBand="0" w:evenHBand="0" w:firstRowFirstColumn="0" w:firstRowLastColumn="0" w:lastRowFirstColumn="0" w:lastRowLastColumn="0"/>
            </w:pPr>
            <w:r w:rsidRPr="00A0334C">
              <w:t>F</w:t>
            </w:r>
          </w:p>
        </w:tc>
        <w:tc>
          <w:tcPr>
            <w:tcW w:w="3830" w:type="dxa"/>
            <w:tcBorders>
              <w:top w:val="single" w:sz="4" w:space="0" w:color="auto"/>
              <w:bottom w:val="single" w:sz="4" w:space="0" w:color="auto"/>
            </w:tcBorders>
            <w:shd w:val="clear" w:color="auto" w:fill="auto"/>
            <w:vAlign w:val="center"/>
          </w:tcPr>
          <w:p w:rsidR="008C26EB" w:rsidRPr="00A0334C" w:rsidRDefault="008C26EB" w:rsidP="009536E0">
            <w:pPr>
              <w:pStyle w:val="TableBullets"/>
              <w:tabs>
                <w:tab w:val="clear" w:pos="720"/>
              </w:tabs>
              <w:ind w:left="340"/>
              <w:cnfStyle w:val="000000000000" w:firstRow="0" w:lastRow="0" w:firstColumn="0" w:lastColumn="0" w:oddVBand="0" w:evenVBand="0" w:oddHBand="0" w:evenHBand="0" w:firstRowFirstColumn="0" w:firstRowLastColumn="0" w:lastRowFirstColumn="0" w:lastRowLastColumn="0"/>
            </w:pPr>
            <w:r w:rsidRPr="00A0334C">
              <w:t>1 lane of a 2 lane part, 2 lanes of 3 lane part, or 2 lanes of 4 lane part of the Express Lane or</w:t>
            </w:r>
          </w:p>
          <w:p w:rsidR="008C26EB" w:rsidRPr="00A0334C" w:rsidRDefault="008C26EB" w:rsidP="009536E0">
            <w:pPr>
              <w:pStyle w:val="TableBullets"/>
              <w:tabs>
                <w:tab w:val="clear" w:pos="720"/>
              </w:tabs>
              <w:ind w:left="340"/>
              <w:cnfStyle w:val="000000000000" w:firstRow="0" w:lastRow="0" w:firstColumn="0" w:lastColumn="0" w:oddVBand="0" w:evenVBand="0" w:oddHBand="0" w:evenHBand="0" w:firstRowFirstColumn="0" w:firstRowLastColumn="0" w:lastRowFirstColumn="0" w:lastRowLastColumn="0"/>
            </w:pPr>
            <w:r w:rsidRPr="00A0334C">
              <w:t>1 or more lanes of an egress Express Lanes Ramp</w:t>
            </w:r>
            <w:r>
              <w:t xml:space="preserve"> </w:t>
            </w:r>
            <w:r w:rsidRPr="00A0334C">
              <w:t>are not available some time during the Hour</w:t>
            </w:r>
          </w:p>
        </w:tc>
      </w:tr>
      <w:tr w:rsidR="008C26EB" w:rsidRPr="00A0334C" w:rsidTr="00953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Borders>
              <w:top w:val="single" w:sz="4" w:space="0" w:color="auto"/>
            </w:tcBorders>
            <w:shd w:val="clear" w:color="auto" w:fill="auto"/>
            <w:vAlign w:val="center"/>
          </w:tcPr>
          <w:p w:rsidR="008C26EB" w:rsidRPr="00F06BDC" w:rsidRDefault="008C26EB" w:rsidP="009536E0">
            <w:pPr>
              <w:pStyle w:val="TableBullets"/>
              <w:tabs>
                <w:tab w:val="clear" w:pos="720"/>
              </w:tabs>
              <w:ind w:left="365"/>
              <w:rPr>
                <w:b w:val="0"/>
              </w:rPr>
            </w:pPr>
            <w:r w:rsidRPr="00F06BDC">
              <w:rPr>
                <w:b w:val="0"/>
              </w:rPr>
              <w:t>All lanes of I-595 are not available during the Hour</w:t>
            </w:r>
          </w:p>
        </w:tc>
        <w:tc>
          <w:tcPr>
            <w:tcW w:w="1699" w:type="dxa"/>
            <w:tcBorders>
              <w:top w:val="single" w:sz="4" w:space="0" w:color="auto"/>
            </w:tcBorders>
            <w:shd w:val="clear" w:color="auto" w:fill="auto"/>
            <w:vAlign w:val="center"/>
          </w:tcPr>
          <w:p w:rsidR="008C26EB" w:rsidRPr="00A0334C" w:rsidRDefault="008C26EB" w:rsidP="009536E0">
            <w:pPr>
              <w:pStyle w:val="tbldescription"/>
              <w:jc w:val="center"/>
              <w:cnfStyle w:val="000000100000" w:firstRow="0" w:lastRow="0" w:firstColumn="0" w:lastColumn="0" w:oddVBand="0" w:evenVBand="0" w:oddHBand="1" w:evenHBand="0" w:firstRowFirstColumn="0" w:firstRowLastColumn="0" w:lastRowFirstColumn="0" w:lastRowLastColumn="0"/>
            </w:pPr>
            <w:r w:rsidRPr="00A0334C">
              <w:t>G</w:t>
            </w:r>
          </w:p>
        </w:tc>
        <w:tc>
          <w:tcPr>
            <w:tcW w:w="3830" w:type="dxa"/>
            <w:tcBorders>
              <w:top w:val="single" w:sz="4" w:space="0" w:color="auto"/>
            </w:tcBorders>
            <w:shd w:val="clear" w:color="auto" w:fill="auto"/>
            <w:vAlign w:val="center"/>
          </w:tcPr>
          <w:p w:rsidR="008C26EB" w:rsidRPr="00A0334C" w:rsidRDefault="008C26EB" w:rsidP="009536E0">
            <w:pPr>
              <w:pStyle w:val="TableBullets"/>
              <w:tabs>
                <w:tab w:val="clear" w:pos="720"/>
              </w:tabs>
              <w:ind w:left="340"/>
              <w:cnfStyle w:val="000000100000" w:firstRow="0" w:lastRow="0" w:firstColumn="0" w:lastColumn="0" w:oddVBand="0" w:evenVBand="0" w:oddHBand="1" w:evenHBand="0" w:firstRowFirstColumn="0" w:firstRowLastColumn="0" w:lastRowFirstColumn="0" w:lastRowLastColumn="0"/>
            </w:pPr>
            <w:r w:rsidRPr="00A0334C">
              <w:t>All Express Lanes are not available at some time during the Hour</w:t>
            </w:r>
          </w:p>
        </w:tc>
      </w:tr>
    </w:tbl>
    <w:p w:rsidR="008C26EB" w:rsidRDefault="008C26EB" w:rsidP="008C26EB">
      <w:pPr>
        <w:spacing w:after="0"/>
      </w:pPr>
    </w:p>
    <w:p w:rsidR="008C26EB" w:rsidRDefault="008C26EB" w:rsidP="008C26EB">
      <w:pPr>
        <w:spacing w:after="120"/>
        <w:jc w:val="center"/>
        <w:rPr>
          <w:b/>
        </w:rPr>
      </w:pPr>
    </w:p>
    <w:p w:rsidR="008C26EB" w:rsidRDefault="008C26EB" w:rsidP="008C26EB">
      <w:pPr>
        <w:spacing w:after="120"/>
        <w:jc w:val="center"/>
        <w:rPr>
          <w:b/>
        </w:rPr>
      </w:pPr>
    </w:p>
    <w:p w:rsidR="008C26EB" w:rsidRDefault="008C26EB" w:rsidP="008C26EB">
      <w:pPr>
        <w:spacing w:after="120"/>
        <w:jc w:val="center"/>
        <w:rPr>
          <w:b/>
        </w:rPr>
      </w:pPr>
    </w:p>
    <w:p w:rsidR="008C26EB" w:rsidRDefault="008C26EB" w:rsidP="008C26EB">
      <w:pPr>
        <w:spacing w:after="120"/>
        <w:jc w:val="center"/>
        <w:rPr>
          <w:b/>
        </w:rPr>
      </w:pPr>
    </w:p>
    <w:p w:rsidR="008C26EB" w:rsidRDefault="008C26EB" w:rsidP="008C26EB">
      <w:pPr>
        <w:spacing w:after="120"/>
        <w:jc w:val="center"/>
        <w:rPr>
          <w:b/>
        </w:rPr>
      </w:pPr>
    </w:p>
    <w:p w:rsidR="008C26EB" w:rsidRDefault="008C26EB" w:rsidP="008C26EB">
      <w:pPr>
        <w:spacing w:after="120"/>
        <w:jc w:val="center"/>
        <w:rPr>
          <w:b/>
        </w:rPr>
      </w:pPr>
    </w:p>
    <w:p w:rsidR="008C26EB" w:rsidRPr="00310D90" w:rsidRDefault="008C26EB" w:rsidP="008C26EB">
      <w:pPr>
        <w:spacing w:after="120"/>
        <w:jc w:val="center"/>
        <w:rPr>
          <w:b/>
        </w:rPr>
      </w:pPr>
      <w:r>
        <w:rPr>
          <w:noProof/>
        </w:rPr>
        <w:lastRenderedPageBreak/>
        <mc:AlternateContent>
          <mc:Choice Requires="wps">
            <w:drawing>
              <wp:anchor distT="0" distB="0" distL="114300" distR="114300" simplePos="0" relativeHeight="251665408" behindDoc="0" locked="0" layoutInCell="1" allowOverlap="1" wp14:anchorId="3321D13D" wp14:editId="3364E71B">
                <wp:simplePos x="0" y="0"/>
                <wp:positionH relativeFrom="margin">
                  <wp:posOffset>0</wp:posOffset>
                </wp:positionH>
                <wp:positionV relativeFrom="margin">
                  <wp:posOffset>0</wp:posOffset>
                </wp:positionV>
                <wp:extent cx="5943600" cy="82296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E8FE2" id="Rectangle 101" o:spid="_x0000_s1026" style="position:absolute;margin-left:0;margin-top:0;width:468pt;height:9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x+SlQIAAIkFAAAOAAAAZHJzL2Uyb0RvYy54bWysVFFv2yAQfp+0/4B4X+1kaddadaqoVadJ&#10;VRu1nfpMMcSWgGNA4mS/fgc4TtZVe5jmB8xxd9/dfdxxebXVimyE8x2Ymk5OSkqE4dB0ZlXT78+3&#10;n84p8YGZhikwoqY74enV/OOHy95WYgotqEY4giDGV72taRuCrYrC81Zo5k/ACoNKCU6zgKJbFY1j&#10;PaJrVUzL8qzowTXWARfe4+lNVtJ5wpdS8PAgpReBqJpibiGtLq2vcS3ml6xaOWbbjg9psH/IQrPO&#10;YNAR6oYFRtau+wNKd9yBBxlOOOgCpOy4SDVgNZPyTTVPLbMi1YLkeDvS5P8fLL/fLB3pGry7ckKJ&#10;YRov6RFpY2alBImHSFFvfYWWT3bpBsnjNta7lU7HP1ZCtonW3Uir2AbC8fD0Yvb5rET2OerOp9OL&#10;KCBOcXC3zoevAjSJm5o6TCDRyTZ3PmTTvUmMZuC2UwrPWaVMXD2orolnSYjNI66VIxuG1x62qQaM&#10;dmSFUvQsYmW5lrQLOyUy6qOQSAtmP02JpIY8YDLOhQmTrGpZI3Ko0xK/obTRIxWqDAJGZIlJjtgD&#10;wO/57rFz2YN9dBWpn0fn8m+JZefRI0UGE0Zn3Rlw7wEorGqInO33JGVqIkuv0OywaRzkafKW33Z4&#10;bXfMhyVzOD541fgkhAdcpIK+pjDsKGnB/XzvPNpjV6OWkh7Hsab+x5o5QYn6ZrDfLyazWZzfJMxO&#10;v0xRcMea12ONWetrwKvHjsbs0jbaB7XfSgf6BV+ORYyKKmY4xq4pD24vXIf8TODbw8VikcxwZi0L&#10;d+bJ8ggeWY1t+bx9Yc4OvRuw7e9hP7qsetPC2TZ6GlisA8gu9feB14FvnPfUOMPbFB+UYzlZHV7Q&#10;+S8A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Df3H5KVAgAAiQ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Pr>
          <w:b/>
        </w:rPr>
        <w:t>Table C – Classification of Closures during Low-Priority Hours</w:t>
      </w:r>
    </w:p>
    <w:tbl>
      <w:tblPr>
        <w:tblStyle w:val="GridTable4"/>
        <w:tblW w:w="8640" w:type="dxa"/>
        <w:tblInd w:w="36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1777"/>
        <w:gridCol w:w="3433"/>
      </w:tblGrid>
      <w:tr w:rsidR="008C26EB" w:rsidRPr="00AE6027" w:rsidTr="009536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pct"/>
            <w:tcBorders>
              <w:top w:val="single" w:sz="18" w:space="0" w:color="auto"/>
              <w:left w:val="nil"/>
              <w:bottom w:val="double" w:sz="4" w:space="0" w:color="auto"/>
            </w:tcBorders>
            <w:shd w:val="clear" w:color="auto" w:fill="auto"/>
            <w:vAlign w:val="center"/>
          </w:tcPr>
          <w:p w:rsidR="008C26EB" w:rsidRPr="00AE6027" w:rsidRDefault="008C26EB" w:rsidP="009536E0">
            <w:pPr>
              <w:pStyle w:val="TableHeading"/>
              <w:rPr>
                <w:b/>
                <w:color w:val="auto"/>
              </w:rPr>
            </w:pPr>
            <w:r w:rsidRPr="00AE6027">
              <w:rPr>
                <w:b/>
                <w:color w:val="auto"/>
              </w:rPr>
              <w:t>I-595 Corridor Segments (Segments 1,2,3 and 4)</w:t>
            </w:r>
          </w:p>
        </w:tc>
        <w:tc>
          <w:tcPr>
            <w:tcW w:w="910" w:type="pct"/>
            <w:tcBorders>
              <w:top w:val="single" w:sz="18" w:space="0" w:color="auto"/>
              <w:bottom w:val="double" w:sz="4" w:space="0" w:color="auto"/>
            </w:tcBorders>
            <w:shd w:val="clear" w:color="auto" w:fill="auto"/>
            <w:vAlign w:val="center"/>
          </w:tcPr>
          <w:p w:rsidR="008C26EB" w:rsidRPr="00AE6027" w:rsidRDefault="008C26EB" w:rsidP="009536E0">
            <w:pPr>
              <w:pStyle w:val="TableHeading"/>
              <w:cnfStyle w:val="100000000000" w:firstRow="1" w:lastRow="0" w:firstColumn="0" w:lastColumn="0" w:oddVBand="0" w:evenVBand="0" w:oddHBand="0" w:evenHBand="0" w:firstRowFirstColumn="0" w:firstRowLastColumn="0" w:lastRowFirstColumn="0" w:lastRowLastColumn="0"/>
              <w:rPr>
                <w:b/>
                <w:color w:val="auto"/>
              </w:rPr>
            </w:pPr>
            <w:r w:rsidRPr="00AE6027">
              <w:rPr>
                <w:b/>
                <w:color w:val="auto"/>
              </w:rPr>
              <w:t>Availability Classification</w:t>
            </w:r>
          </w:p>
        </w:tc>
        <w:tc>
          <w:tcPr>
            <w:tcW w:w="2046" w:type="pct"/>
            <w:tcBorders>
              <w:top w:val="single" w:sz="18" w:space="0" w:color="auto"/>
              <w:bottom w:val="double" w:sz="4" w:space="0" w:color="auto"/>
              <w:right w:val="nil"/>
            </w:tcBorders>
            <w:shd w:val="clear" w:color="auto" w:fill="auto"/>
            <w:vAlign w:val="center"/>
          </w:tcPr>
          <w:p w:rsidR="008C26EB" w:rsidRPr="00AE6027" w:rsidRDefault="008C26EB" w:rsidP="009536E0">
            <w:pPr>
              <w:pStyle w:val="TableHeading"/>
              <w:cnfStyle w:val="100000000000" w:firstRow="1" w:lastRow="0" w:firstColumn="0" w:lastColumn="0" w:oddVBand="0" w:evenVBand="0" w:oddHBand="0" w:evenHBand="0" w:firstRowFirstColumn="0" w:firstRowLastColumn="0" w:lastRowFirstColumn="0" w:lastRowLastColumn="0"/>
              <w:rPr>
                <w:b/>
                <w:color w:val="auto"/>
              </w:rPr>
            </w:pPr>
            <w:r w:rsidRPr="00AE6027">
              <w:rPr>
                <w:b/>
                <w:color w:val="auto"/>
              </w:rPr>
              <w:t>Express Lanes Segment (Segment 5)</w:t>
            </w:r>
          </w:p>
        </w:tc>
      </w:tr>
      <w:tr w:rsidR="008C26EB" w:rsidRPr="00A0334C" w:rsidTr="009536E0">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2044" w:type="pct"/>
            <w:tcBorders>
              <w:top w:val="double" w:sz="4" w:space="0" w:color="auto"/>
              <w:bottom w:val="single" w:sz="4" w:space="0" w:color="auto"/>
            </w:tcBorders>
            <w:shd w:val="clear" w:color="auto" w:fill="auto"/>
            <w:vAlign w:val="center"/>
          </w:tcPr>
          <w:p w:rsidR="008C26EB" w:rsidRPr="00F06BDC" w:rsidRDefault="008C26EB" w:rsidP="009536E0">
            <w:pPr>
              <w:pStyle w:val="TableBullets"/>
              <w:tabs>
                <w:tab w:val="clear" w:pos="720"/>
              </w:tabs>
              <w:ind w:left="337"/>
              <w:rPr>
                <w:b w:val="0"/>
              </w:rPr>
            </w:pPr>
            <w:r w:rsidRPr="00F06BDC">
              <w:rPr>
                <w:b w:val="0"/>
              </w:rPr>
              <w:t>1 lane of a 3,4,5 or 6 lane part of I-595</w:t>
            </w:r>
          </w:p>
          <w:p w:rsidR="008C26EB" w:rsidRPr="00F06BDC" w:rsidRDefault="008C26EB" w:rsidP="009536E0">
            <w:pPr>
              <w:pStyle w:val="TableBullets"/>
              <w:tabs>
                <w:tab w:val="clear" w:pos="720"/>
              </w:tabs>
              <w:ind w:left="337"/>
              <w:rPr>
                <w:b w:val="0"/>
              </w:rPr>
            </w:pPr>
            <w:r w:rsidRPr="00F06BDC">
              <w:rPr>
                <w:b w:val="0"/>
              </w:rPr>
              <w:t>2 lanes of a 4,5, or 6 lane part of I-595 or</w:t>
            </w:r>
          </w:p>
          <w:p w:rsidR="008C26EB" w:rsidRPr="00F06BDC" w:rsidRDefault="008C26EB" w:rsidP="009536E0">
            <w:pPr>
              <w:pStyle w:val="TableBullets"/>
              <w:tabs>
                <w:tab w:val="clear" w:pos="720"/>
              </w:tabs>
              <w:ind w:left="337"/>
              <w:rPr>
                <w:b w:val="0"/>
              </w:rPr>
            </w:pPr>
            <w:r w:rsidRPr="00F06BDC">
              <w:rPr>
                <w:b w:val="0"/>
              </w:rPr>
              <w:t>1 lane of a 3 lane part of SR-84 or</w:t>
            </w:r>
          </w:p>
          <w:p w:rsidR="008C26EB" w:rsidRPr="00F06BDC" w:rsidRDefault="008C26EB" w:rsidP="009536E0">
            <w:pPr>
              <w:pStyle w:val="TableBullets"/>
              <w:tabs>
                <w:tab w:val="clear" w:pos="720"/>
              </w:tabs>
              <w:ind w:left="337"/>
            </w:pPr>
            <w:r w:rsidRPr="00F06BDC">
              <w:rPr>
                <w:b w:val="0"/>
              </w:rPr>
              <w:t>any 1 lane of a crossroad is not available at some time during the Hour</w:t>
            </w:r>
          </w:p>
        </w:tc>
        <w:tc>
          <w:tcPr>
            <w:tcW w:w="910" w:type="pct"/>
            <w:tcBorders>
              <w:top w:val="double" w:sz="4" w:space="0" w:color="auto"/>
              <w:bottom w:val="single" w:sz="4" w:space="0" w:color="auto"/>
            </w:tcBorders>
            <w:shd w:val="clear" w:color="auto" w:fill="auto"/>
            <w:vAlign w:val="center"/>
          </w:tcPr>
          <w:p w:rsidR="008C26EB" w:rsidRPr="00F06BDC" w:rsidRDefault="008C26EB" w:rsidP="009536E0">
            <w:pPr>
              <w:pStyle w:val="tbldescription"/>
              <w:jc w:val="center"/>
              <w:cnfStyle w:val="000000100000" w:firstRow="0" w:lastRow="0" w:firstColumn="0" w:lastColumn="0" w:oddVBand="0" w:evenVBand="0" w:oddHBand="1" w:evenHBand="0" w:firstRowFirstColumn="0" w:firstRowLastColumn="0" w:lastRowFirstColumn="0" w:lastRowLastColumn="0"/>
            </w:pPr>
            <w:r w:rsidRPr="00F06BDC">
              <w:t>A</w:t>
            </w:r>
          </w:p>
        </w:tc>
        <w:tc>
          <w:tcPr>
            <w:tcW w:w="2046" w:type="pct"/>
            <w:tcBorders>
              <w:top w:val="double" w:sz="4" w:space="0" w:color="auto"/>
              <w:bottom w:val="single" w:sz="4" w:space="0" w:color="auto"/>
            </w:tcBorders>
            <w:shd w:val="clear" w:color="auto" w:fill="auto"/>
            <w:vAlign w:val="center"/>
          </w:tcPr>
          <w:p w:rsidR="008C26EB" w:rsidRPr="00F06BDC" w:rsidRDefault="008C26EB" w:rsidP="009536E0">
            <w:pPr>
              <w:cnfStyle w:val="000000100000" w:firstRow="0" w:lastRow="0" w:firstColumn="0" w:lastColumn="0" w:oddVBand="0" w:evenVBand="0" w:oddHBand="1" w:evenHBand="0" w:firstRowFirstColumn="0" w:firstRowLastColumn="0" w:lastRowFirstColumn="0" w:lastRowLastColumn="0"/>
              <w:rPr>
                <w:sz w:val="20"/>
                <w:szCs w:val="20"/>
              </w:rPr>
            </w:pPr>
          </w:p>
        </w:tc>
      </w:tr>
      <w:tr w:rsidR="008C26EB" w:rsidRPr="00A0334C" w:rsidTr="009536E0">
        <w:trPr>
          <w:trHeight w:val="1296"/>
        </w:trPr>
        <w:tc>
          <w:tcPr>
            <w:cnfStyle w:val="001000000000" w:firstRow="0" w:lastRow="0" w:firstColumn="1" w:lastColumn="0" w:oddVBand="0" w:evenVBand="0" w:oddHBand="0" w:evenHBand="0" w:firstRowFirstColumn="0" w:firstRowLastColumn="0" w:lastRowFirstColumn="0" w:lastRowLastColumn="0"/>
            <w:tcW w:w="2044" w:type="pct"/>
            <w:tcBorders>
              <w:top w:val="single" w:sz="4" w:space="0" w:color="auto"/>
              <w:bottom w:val="single" w:sz="4" w:space="0" w:color="auto"/>
            </w:tcBorders>
            <w:shd w:val="clear" w:color="auto" w:fill="auto"/>
            <w:vAlign w:val="center"/>
          </w:tcPr>
          <w:p w:rsidR="008C26EB" w:rsidRPr="00F06BDC" w:rsidRDefault="008C26EB" w:rsidP="009536E0">
            <w:pPr>
              <w:pStyle w:val="TableBullets"/>
              <w:tabs>
                <w:tab w:val="clear" w:pos="720"/>
              </w:tabs>
              <w:ind w:left="337"/>
              <w:rPr>
                <w:b w:val="0"/>
              </w:rPr>
            </w:pPr>
            <w:r w:rsidRPr="00F06BDC">
              <w:rPr>
                <w:b w:val="0"/>
              </w:rPr>
              <w:t>2 lanes out of 3 lane part of I-595 or</w:t>
            </w:r>
          </w:p>
          <w:p w:rsidR="008C26EB" w:rsidRPr="00F06BDC" w:rsidRDefault="008C26EB" w:rsidP="009536E0">
            <w:pPr>
              <w:pStyle w:val="TableBullets"/>
              <w:tabs>
                <w:tab w:val="clear" w:pos="720"/>
              </w:tabs>
              <w:ind w:left="337"/>
              <w:rPr>
                <w:b w:val="0"/>
              </w:rPr>
            </w:pPr>
            <w:r w:rsidRPr="00F06BDC">
              <w:rPr>
                <w:b w:val="0"/>
              </w:rPr>
              <w:t>1 lane of a 2 lane part of Sr-84 or</w:t>
            </w:r>
          </w:p>
          <w:p w:rsidR="008C26EB" w:rsidRPr="00F06BDC" w:rsidRDefault="008C26EB" w:rsidP="009536E0">
            <w:pPr>
              <w:pStyle w:val="TableBullets"/>
              <w:tabs>
                <w:tab w:val="clear" w:pos="720"/>
              </w:tabs>
              <w:ind w:left="337"/>
              <w:rPr>
                <w:b w:val="0"/>
              </w:rPr>
            </w:pPr>
            <w:r w:rsidRPr="00F06BDC">
              <w:rPr>
                <w:b w:val="0"/>
              </w:rPr>
              <w:t>1 lane of a 2 lane Ramp or</w:t>
            </w:r>
          </w:p>
          <w:p w:rsidR="008C26EB" w:rsidRPr="00F06BDC" w:rsidRDefault="008C26EB" w:rsidP="009536E0">
            <w:pPr>
              <w:pStyle w:val="TableBullets"/>
              <w:tabs>
                <w:tab w:val="clear" w:pos="720"/>
              </w:tabs>
              <w:ind w:left="337"/>
            </w:pPr>
            <w:r w:rsidRPr="00F06BDC">
              <w:rPr>
                <w:b w:val="0"/>
              </w:rPr>
              <w:t>more than 1 lane of a crossroad is not available at some time during the Hour</w:t>
            </w:r>
          </w:p>
        </w:tc>
        <w:tc>
          <w:tcPr>
            <w:tcW w:w="910" w:type="pct"/>
            <w:tcBorders>
              <w:top w:val="single" w:sz="4" w:space="0" w:color="auto"/>
              <w:bottom w:val="single" w:sz="4" w:space="0" w:color="auto"/>
            </w:tcBorders>
            <w:shd w:val="clear" w:color="auto" w:fill="auto"/>
            <w:vAlign w:val="center"/>
          </w:tcPr>
          <w:p w:rsidR="008C26EB" w:rsidRPr="00F06BDC" w:rsidRDefault="008C26EB" w:rsidP="009536E0">
            <w:pPr>
              <w:pStyle w:val="tbldescription"/>
              <w:jc w:val="center"/>
              <w:cnfStyle w:val="000000000000" w:firstRow="0" w:lastRow="0" w:firstColumn="0" w:lastColumn="0" w:oddVBand="0" w:evenVBand="0" w:oddHBand="0" w:evenHBand="0" w:firstRowFirstColumn="0" w:firstRowLastColumn="0" w:lastRowFirstColumn="0" w:lastRowLastColumn="0"/>
            </w:pPr>
            <w:r w:rsidRPr="00F06BDC">
              <w:t>B</w:t>
            </w:r>
          </w:p>
        </w:tc>
        <w:tc>
          <w:tcPr>
            <w:tcW w:w="2046" w:type="pct"/>
            <w:tcBorders>
              <w:top w:val="single" w:sz="4" w:space="0" w:color="auto"/>
              <w:bottom w:val="single" w:sz="4" w:space="0" w:color="auto"/>
            </w:tcBorders>
            <w:shd w:val="clear" w:color="auto" w:fill="auto"/>
            <w:vAlign w:val="center"/>
          </w:tcPr>
          <w:p w:rsidR="008C26EB" w:rsidRPr="00F06BDC" w:rsidRDefault="008C26EB" w:rsidP="009536E0">
            <w:pPr>
              <w:cnfStyle w:val="000000000000" w:firstRow="0" w:lastRow="0" w:firstColumn="0" w:lastColumn="0" w:oddVBand="0" w:evenVBand="0" w:oddHBand="0" w:evenHBand="0" w:firstRowFirstColumn="0" w:firstRowLastColumn="0" w:lastRowFirstColumn="0" w:lastRowLastColumn="0"/>
              <w:rPr>
                <w:sz w:val="20"/>
                <w:szCs w:val="20"/>
              </w:rPr>
            </w:pPr>
          </w:p>
        </w:tc>
      </w:tr>
      <w:tr w:rsidR="008C26EB" w:rsidRPr="00A0334C" w:rsidTr="009536E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044" w:type="pct"/>
            <w:tcBorders>
              <w:top w:val="single" w:sz="4" w:space="0" w:color="auto"/>
              <w:bottom w:val="single" w:sz="4" w:space="0" w:color="auto"/>
            </w:tcBorders>
            <w:shd w:val="clear" w:color="auto" w:fill="auto"/>
            <w:vAlign w:val="center"/>
          </w:tcPr>
          <w:p w:rsidR="008C26EB" w:rsidRPr="00F06BDC" w:rsidRDefault="008C26EB" w:rsidP="009536E0">
            <w:pPr>
              <w:pStyle w:val="TableBullets"/>
              <w:tabs>
                <w:tab w:val="clear" w:pos="720"/>
              </w:tabs>
              <w:ind w:left="337"/>
              <w:rPr>
                <w:b w:val="0"/>
              </w:rPr>
            </w:pPr>
            <w:r w:rsidRPr="00F06BDC">
              <w:rPr>
                <w:b w:val="0"/>
              </w:rPr>
              <w:t>2 lanes of a 3 lane part of SR-84 or</w:t>
            </w:r>
          </w:p>
          <w:p w:rsidR="008C26EB" w:rsidRPr="00F06BDC" w:rsidRDefault="008C26EB" w:rsidP="009536E0">
            <w:pPr>
              <w:pStyle w:val="TableBullets"/>
              <w:tabs>
                <w:tab w:val="clear" w:pos="720"/>
              </w:tabs>
              <w:ind w:left="337"/>
              <w:rPr>
                <w:b w:val="0"/>
              </w:rPr>
            </w:pPr>
            <w:r w:rsidRPr="00F06BDC">
              <w:rPr>
                <w:b w:val="0"/>
              </w:rPr>
              <w:t>1 lane of a 2 lane High Impact Ramp or</w:t>
            </w:r>
          </w:p>
          <w:p w:rsidR="008C26EB" w:rsidRPr="00F06BDC" w:rsidRDefault="008C26EB" w:rsidP="009536E0">
            <w:pPr>
              <w:pStyle w:val="TableBullets"/>
              <w:tabs>
                <w:tab w:val="clear" w:pos="720"/>
              </w:tabs>
              <w:ind w:left="337"/>
            </w:pPr>
            <w:r w:rsidRPr="00F06BDC">
              <w:rPr>
                <w:b w:val="0"/>
              </w:rPr>
              <w:t>All lanes of a Ramp are not available at some time during the Hour</w:t>
            </w:r>
          </w:p>
        </w:tc>
        <w:tc>
          <w:tcPr>
            <w:tcW w:w="910" w:type="pct"/>
            <w:tcBorders>
              <w:top w:val="single" w:sz="4" w:space="0" w:color="auto"/>
              <w:bottom w:val="single" w:sz="4" w:space="0" w:color="auto"/>
            </w:tcBorders>
            <w:shd w:val="clear" w:color="auto" w:fill="auto"/>
            <w:vAlign w:val="center"/>
          </w:tcPr>
          <w:p w:rsidR="008C26EB" w:rsidRPr="00F06BDC" w:rsidRDefault="008C26EB" w:rsidP="009536E0">
            <w:pPr>
              <w:pStyle w:val="tbldescription"/>
              <w:jc w:val="center"/>
              <w:cnfStyle w:val="000000100000" w:firstRow="0" w:lastRow="0" w:firstColumn="0" w:lastColumn="0" w:oddVBand="0" w:evenVBand="0" w:oddHBand="1" w:evenHBand="0" w:firstRowFirstColumn="0" w:firstRowLastColumn="0" w:lastRowFirstColumn="0" w:lastRowLastColumn="0"/>
            </w:pPr>
            <w:r w:rsidRPr="00F06BDC">
              <w:t>C</w:t>
            </w:r>
          </w:p>
        </w:tc>
        <w:tc>
          <w:tcPr>
            <w:tcW w:w="2046" w:type="pct"/>
            <w:tcBorders>
              <w:top w:val="single" w:sz="4" w:space="0" w:color="auto"/>
              <w:bottom w:val="single" w:sz="4" w:space="0" w:color="auto"/>
            </w:tcBorders>
            <w:shd w:val="clear" w:color="auto" w:fill="auto"/>
            <w:vAlign w:val="center"/>
          </w:tcPr>
          <w:p w:rsidR="008C26EB" w:rsidRPr="00F06BDC" w:rsidRDefault="008C26EB" w:rsidP="009536E0">
            <w:pPr>
              <w:pStyle w:val="TableBullets"/>
              <w:tabs>
                <w:tab w:val="clear" w:pos="720"/>
              </w:tabs>
              <w:ind w:left="303"/>
              <w:cnfStyle w:val="000000100000" w:firstRow="0" w:lastRow="0" w:firstColumn="0" w:lastColumn="0" w:oddVBand="0" w:evenVBand="0" w:oddHBand="1" w:evenHBand="0" w:firstRowFirstColumn="0" w:firstRowLastColumn="0" w:lastRowFirstColumn="0" w:lastRowLastColumn="0"/>
            </w:pPr>
            <w:r w:rsidRPr="00F06BDC">
              <w:t>1 or more lanes of an ingress Express Lanes Ramp are not available some time during the Hour</w:t>
            </w:r>
          </w:p>
        </w:tc>
      </w:tr>
      <w:tr w:rsidR="008C26EB" w:rsidRPr="00A0334C" w:rsidTr="009536E0">
        <w:trPr>
          <w:trHeight w:val="1296"/>
        </w:trPr>
        <w:tc>
          <w:tcPr>
            <w:cnfStyle w:val="001000000000" w:firstRow="0" w:lastRow="0" w:firstColumn="1" w:lastColumn="0" w:oddVBand="0" w:evenVBand="0" w:oddHBand="0" w:evenHBand="0" w:firstRowFirstColumn="0" w:firstRowLastColumn="0" w:lastRowFirstColumn="0" w:lastRowLastColumn="0"/>
            <w:tcW w:w="2044" w:type="pct"/>
            <w:tcBorders>
              <w:top w:val="single" w:sz="4" w:space="0" w:color="auto"/>
              <w:bottom w:val="single" w:sz="4" w:space="0" w:color="auto"/>
            </w:tcBorders>
            <w:shd w:val="clear" w:color="auto" w:fill="auto"/>
            <w:vAlign w:val="center"/>
          </w:tcPr>
          <w:p w:rsidR="008C26EB" w:rsidRPr="00F06BDC" w:rsidRDefault="008C26EB" w:rsidP="009536E0">
            <w:pPr>
              <w:pStyle w:val="TableBullets"/>
              <w:tabs>
                <w:tab w:val="clear" w:pos="720"/>
              </w:tabs>
              <w:ind w:left="337"/>
              <w:rPr>
                <w:b w:val="0"/>
              </w:rPr>
            </w:pPr>
            <w:r w:rsidRPr="00F06BDC">
              <w:rPr>
                <w:b w:val="0"/>
              </w:rPr>
              <w:t>3 lanes of a 5 or 6 lane part of I-595 or</w:t>
            </w:r>
          </w:p>
          <w:p w:rsidR="008C26EB" w:rsidRPr="00F06BDC" w:rsidRDefault="008C26EB" w:rsidP="009536E0">
            <w:pPr>
              <w:pStyle w:val="TableBullets"/>
              <w:tabs>
                <w:tab w:val="clear" w:pos="720"/>
              </w:tabs>
              <w:ind w:left="337"/>
            </w:pPr>
            <w:r w:rsidRPr="00F06BDC">
              <w:rPr>
                <w:b w:val="0"/>
              </w:rPr>
              <w:t>All lanes of a High Impact Ramp are not available at some time during the Hour</w:t>
            </w:r>
          </w:p>
        </w:tc>
        <w:tc>
          <w:tcPr>
            <w:tcW w:w="910" w:type="pct"/>
            <w:tcBorders>
              <w:top w:val="single" w:sz="4" w:space="0" w:color="auto"/>
              <w:bottom w:val="single" w:sz="4" w:space="0" w:color="auto"/>
            </w:tcBorders>
            <w:shd w:val="clear" w:color="auto" w:fill="auto"/>
            <w:vAlign w:val="center"/>
          </w:tcPr>
          <w:p w:rsidR="008C26EB" w:rsidRPr="00F06BDC" w:rsidRDefault="008C26EB" w:rsidP="009536E0">
            <w:pPr>
              <w:pStyle w:val="tbldescription"/>
              <w:jc w:val="center"/>
              <w:cnfStyle w:val="000000000000" w:firstRow="0" w:lastRow="0" w:firstColumn="0" w:lastColumn="0" w:oddVBand="0" w:evenVBand="0" w:oddHBand="0" w:evenHBand="0" w:firstRowFirstColumn="0" w:firstRowLastColumn="0" w:lastRowFirstColumn="0" w:lastRowLastColumn="0"/>
            </w:pPr>
            <w:r w:rsidRPr="00F06BDC">
              <w:t>D</w:t>
            </w:r>
          </w:p>
        </w:tc>
        <w:tc>
          <w:tcPr>
            <w:tcW w:w="2046" w:type="pct"/>
            <w:tcBorders>
              <w:top w:val="single" w:sz="4" w:space="0" w:color="auto"/>
              <w:bottom w:val="single" w:sz="4" w:space="0" w:color="auto"/>
            </w:tcBorders>
            <w:shd w:val="clear" w:color="auto" w:fill="auto"/>
            <w:vAlign w:val="center"/>
          </w:tcPr>
          <w:p w:rsidR="008C26EB" w:rsidRPr="00F06BDC" w:rsidRDefault="008C26EB" w:rsidP="009536E0">
            <w:pPr>
              <w:pStyle w:val="TableBullets"/>
              <w:tabs>
                <w:tab w:val="clear" w:pos="720"/>
              </w:tabs>
              <w:ind w:left="303"/>
              <w:cnfStyle w:val="000000000000" w:firstRow="0" w:lastRow="0" w:firstColumn="0" w:lastColumn="0" w:oddVBand="0" w:evenVBand="0" w:oddHBand="0" w:evenHBand="0" w:firstRowFirstColumn="0" w:firstRowLastColumn="0" w:lastRowFirstColumn="0" w:lastRowLastColumn="0"/>
            </w:pPr>
            <w:r w:rsidRPr="00F06BDC">
              <w:t>1 lane of a 3 lane part or 1 lane of a 4 lane part of the Express Lanes or</w:t>
            </w:r>
          </w:p>
          <w:p w:rsidR="008C26EB" w:rsidRPr="00F06BDC" w:rsidRDefault="008C26EB" w:rsidP="009536E0">
            <w:pPr>
              <w:pStyle w:val="TableBullets"/>
              <w:tabs>
                <w:tab w:val="clear" w:pos="720"/>
              </w:tabs>
              <w:ind w:left="303"/>
              <w:cnfStyle w:val="000000000000" w:firstRow="0" w:lastRow="0" w:firstColumn="0" w:lastColumn="0" w:oddVBand="0" w:evenVBand="0" w:oddHBand="0" w:evenHBand="0" w:firstRowFirstColumn="0" w:firstRowLastColumn="0" w:lastRowFirstColumn="0" w:lastRowLastColumn="0"/>
            </w:pPr>
            <w:r w:rsidRPr="00F06BDC">
              <w:t>1 or more lanes of an egress Express Lane are not available some time during the Hour</w:t>
            </w:r>
          </w:p>
        </w:tc>
      </w:tr>
      <w:tr w:rsidR="008C26EB" w:rsidRPr="00A0334C" w:rsidTr="00953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pct"/>
            <w:tcBorders>
              <w:top w:val="single" w:sz="4" w:space="0" w:color="auto"/>
              <w:bottom w:val="single" w:sz="4" w:space="0" w:color="auto"/>
            </w:tcBorders>
            <w:shd w:val="clear" w:color="auto" w:fill="auto"/>
            <w:vAlign w:val="center"/>
          </w:tcPr>
          <w:p w:rsidR="008C26EB" w:rsidRPr="00F06BDC" w:rsidRDefault="008C26EB" w:rsidP="009536E0">
            <w:pPr>
              <w:rPr>
                <w:b w:val="0"/>
                <w:sz w:val="20"/>
                <w:szCs w:val="20"/>
              </w:rPr>
            </w:pPr>
          </w:p>
        </w:tc>
        <w:tc>
          <w:tcPr>
            <w:tcW w:w="910" w:type="pct"/>
            <w:tcBorders>
              <w:top w:val="single" w:sz="4" w:space="0" w:color="auto"/>
              <w:bottom w:val="single" w:sz="4" w:space="0" w:color="auto"/>
            </w:tcBorders>
            <w:shd w:val="clear" w:color="auto" w:fill="auto"/>
            <w:vAlign w:val="center"/>
          </w:tcPr>
          <w:p w:rsidR="008C26EB" w:rsidRPr="00F06BDC" w:rsidRDefault="008C26EB" w:rsidP="009536E0">
            <w:pPr>
              <w:pStyle w:val="tbldescription"/>
              <w:jc w:val="center"/>
              <w:cnfStyle w:val="000000100000" w:firstRow="0" w:lastRow="0" w:firstColumn="0" w:lastColumn="0" w:oddVBand="0" w:evenVBand="0" w:oddHBand="1" w:evenHBand="0" w:firstRowFirstColumn="0" w:firstRowLastColumn="0" w:lastRowFirstColumn="0" w:lastRowLastColumn="0"/>
            </w:pPr>
            <w:r w:rsidRPr="00F06BDC">
              <w:t>E</w:t>
            </w:r>
          </w:p>
        </w:tc>
        <w:tc>
          <w:tcPr>
            <w:tcW w:w="2046" w:type="pct"/>
            <w:tcBorders>
              <w:top w:val="single" w:sz="4" w:space="0" w:color="auto"/>
              <w:bottom w:val="single" w:sz="4" w:space="0" w:color="auto"/>
            </w:tcBorders>
            <w:shd w:val="clear" w:color="auto" w:fill="auto"/>
            <w:vAlign w:val="center"/>
          </w:tcPr>
          <w:p w:rsidR="008C26EB" w:rsidRPr="00F06BDC" w:rsidRDefault="008C26EB" w:rsidP="009536E0">
            <w:pPr>
              <w:cnfStyle w:val="000000100000" w:firstRow="0" w:lastRow="0" w:firstColumn="0" w:lastColumn="0" w:oddVBand="0" w:evenVBand="0" w:oddHBand="1" w:evenHBand="0" w:firstRowFirstColumn="0" w:firstRowLastColumn="0" w:lastRowFirstColumn="0" w:lastRowLastColumn="0"/>
              <w:rPr>
                <w:sz w:val="20"/>
                <w:szCs w:val="20"/>
              </w:rPr>
            </w:pPr>
          </w:p>
        </w:tc>
      </w:tr>
      <w:tr w:rsidR="008C26EB" w:rsidRPr="00A0334C" w:rsidTr="009536E0">
        <w:trPr>
          <w:trHeight w:val="1296"/>
        </w:trPr>
        <w:tc>
          <w:tcPr>
            <w:cnfStyle w:val="001000000000" w:firstRow="0" w:lastRow="0" w:firstColumn="1" w:lastColumn="0" w:oddVBand="0" w:evenVBand="0" w:oddHBand="0" w:evenHBand="0" w:firstRowFirstColumn="0" w:firstRowLastColumn="0" w:lastRowFirstColumn="0" w:lastRowLastColumn="0"/>
            <w:tcW w:w="2044" w:type="pct"/>
            <w:tcBorders>
              <w:top w:val="single" w:sz="4" w:space="0" w:color="auto"/>
              <w:bottom w:val="single" w:sz="4" w:space="0" w:color="auto"/>
            </w:tcBorders>
            <w:shd w:val="clear" w:color="auto" w:fill="auto"/>
            <w:vAlign w:val="center"/>
          </w:tcPr>
          <w:p w:rsidR="008C26EB" w:rsidRPr="00F06BDC" w:rsidRDefault="008C26EB" w:rsidP="009536E0">
            <w:pPr>
              <w:pStyle w:val="TableBullets"/>
              <w:tabs>
                <w:tab w:val="clear" w:pos="720"/>
              </w:tabs>
              <w:ind w:left="337"/>
              <w:rPr>
                <w:b w:val="0"/>
              </w:rPr>
            </w:pPr>
            <w:r w:rsidRPr="00F06BDC">
              <w:rPr>
                <w:b w:val="0"/>
              </w:rPr>
              <w:t>3 lanes of a 4 lane part of I-595 or</w:t>
            </w:r>
          </w:p>
          <w:p w:rsidR="008C26EB" w:rsidRPr="00F06BDC" w:rsidRDefault="008C26EB" w:rsidP="009536E0">
            <w:pPr>
              <w:pStyle w:val="TableBullets"/>
              <w:tabs>
                <w:tab w:val="clear" w:pos="720"/>
              </w:tabs>
              <w:ind w:left="337"/>
              <w:rPr>
                <w:b w:val="0"/>
              </w:rPr>
            </w:pPr>
            <w:r w:rsidRPr="00F06BDC">
              <w:rPr>
                <w:b w:val="0"/>
              </w:rPr>
              <w:t>4 lanes of a 5 or 6 lane part of I-595 or</w:t>
            </w:r>
          </w:p>
          <w:p w:rsidR="008C26EB" w:rsidRPr="00F06BDC" w:rsidRDefault="008C26EB" w:rsidP="009536E0">
            <w:pPr>
              <w:pStyle w:val="TableBullets"/>
              <w:tabs>
                <w:tab w:val="clear" w:pos="720"/>
              </w:tabs>
              <w:ind w:left="337"/>
              <w:rPr>
                <w:b w:val="0"/>
              </w:rPr>
            </w:pPr>
            <w:r w:rsidRPr="00F06BDC">
              <w:rPr>
                <w:b w:val="0"/>
              </w:rPr>
              <w:t>5 lanes of a 6 lane part of I-595 or</w:t>
            </w:r>
          </w:p>
          <w:p w:rsidR="008C26EB" w:rsidRPr="00F06BDC" w:rsidRDefault="008C26EB" w:rsidP="009536E0">
            <w:pPr>
              <w:pStyle w:val="TableBullets"/>
              <w:tabs>
                <w:tab w:val="clear" w:pos="720"/>
              </w:tabs>
              <w:ind w:left="337"/>
            </w:pPr>
            <w:r w:rsidRPr="00F06BDC">
              <w:rPr>
                <w:b w:val="0"/>
              </w:rPr>
              <w:t>All lanes of SR-84 are not available at some time during the Hour</w:t>
            </w:r>
          </w:p>
        </w:tc>
        <w:tc>
          <w:tcPr>
            <w:tcW w:w="910" w:type="pct"/>
            <w:tcBorders>
              <w:top w:val="single" w:sz="4" w:space="0" w:color="auto"/>
              <w:bottom w:val="single" w:sz="4" w:space="0" w:color="auto"/>
            </w:tcBorders>
            <w:shd w:val="clear" w:color="auto" w:fill="auto"/>
            <w:vAlign w:val="center"/>
          </w:tcPr>
          <w:p w:rsidR="008C26EB" w:rsidRPr="00F06BDC" w:rsidRDefault="008C26EB" w:rsidP="009536E0">
            <w:pPr>
              <w:pStyle w:val="tbldescription"/>
              <w:jc w:val="center"/>
              <w:cnfStyle w:val="000000000000" w:firstRow="0" w:lastRow="0" w:firstColumn="0" w:lastColumn="0" w:oddVBand="0" w:evenVBand="0" w:oddHBand="0" w:evenHBand="0" w:firstRowFirstColumn="0" w:firstRowLastColumn="0" w:lastRowFirstColumn="0" w:lastRowLastColumn="0"/>
            </w:pPr>
            <w:r w:rsidRPr="00F06BDC">
              <w:t>F</w:t>
            </w:r>
          </w:p>
        </w:tc>
        <w:tc>
          <w:tcPr>
            <w:tcW w:w="2046" w:type="pct"/>
            <w:tcBorders>
              <w:top w:val="single" w:sz="4" w:space="0" w:color="auto"/>
              <w:bottom w:val="single" w:sz="4" w:space="0" w:color="auto"/>
            </w:tcBorders>
            <w:shd w:val="clear" w:color="auto" w:fill="auto"/>
            <w:vAlign w:val="center"/>
          </w:tcPr>
          <w:p w:rsidR="008C26EB" w:rsidRPr="00F06BDC" w:rsidRDefault="008C26EB" w:rsidP="009536E0">
            <w:pPr>
              <w:pStyle w:val="TableBullets"/>
              <w:tabs>
                <w:tab w:val="clear" w:pos="720"/>
              </w:tabs>
              <w:ind w:left="303"/>
              <w:cnfStyle w:val="000000000000" w:firstRow="0" w:lastRow="0" w:firstColumn="0" w:lastColumn="0" w:oddVBand="0" w:evenVBand="0" w:oddHBand="0" w:evenHBand="0" w:firstRowFirstColumn="0" w:firstRowLastColumn="0" w:lastRowFirstColumn="0" w:lastRowLastColumn="0"/>
            </w:pPr>
            <w:r w:rsidRPr="00F06BDC">
              <w:t>2 lanes of a 3 lane part or 2 lanes of a 4 lane part of the Express Lanes</w:t>
            </w:r>
            <w:r>
              <w:t xml:space="preserve"> </w:t>
            </w:r>
            <w:r w:rsidRPr="00F06BDC">
              <w:t>are not available some time during the Hour</w:t>
            </w:r>
          </w:p>
        </w:tc>
      </w:tr>
      <w:tr w:rsidR="008C26EB" w:rsidRPr="00A0334C" w:rsidTr="009536E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44" w:type="pct"/>
            <w:tcBorders>
              <w:top w:val="single" w:sz="4" w:space="0" w:color="auto"/>
            </w:tcBorders>
            <w:shd w:val="clear" w:color="auto" w:fill="auto"/>
            <w:vAlign w:val="center"/>
          </w:tcPr>
          <w:p w:rsidR="008C26EB" w:rsidRPr="00F06BDC" w:rsidRDefault="008C26EB" w:rsidP="009536E0">
            <w:pPr>
              <w:pStyle w:val="TableBullets"/>
              <w:tabs>
                <w:tab w:val="clear" w:pos="720"/>
              </w:tabs>
              <w:ind w:left="337"/>
              <w:rPr>
                <w:b w:val="0"/>
              </w:rPr>
            </w:pPr>
            <w:r w:rsidRPr="00F06BDC">
              <w:rPr>
                <w:b w:val="0"/>
              </w:rPr>
              <w:t>All lanes of I-595 are not available at some time during the Hour</w:t>
            </w:r>
          </w:p>
        </w:tc>
        <w:tc>
          <w:tcPr>
            <w:tcW w:w="910" w:type="pct"/>
            <w:tcBorders>
              <w:top w:val="single" w:sz="4" w:space="0" w:color="auto"/>
            </w:tcBorders>
            <w:shd w:val="clear" w:color="auto" w:fill="auto"/>
            <w:vAlign w:val="center"/>
          </w:tcPr>
          <w:p w:rsidR="008C26EB" w:rsidRPr="00F06BDC" w:rsidRDefault="008C26EB" w:rsidP="009536E0">
            <w:pPr>
              <w:pStyle w:val="tbldescription"/>
              <w:jc w:val="center"/>
              <w:cnfStyle w:val="000000100000" w:firstRow="0" w:lastRow="0" w:firstColumn="0" w:lastColumn="0" w:oddVBand="0" w:evenVBand="0" w:oddHBand="1" w:evenHBand="0" w:firstRowFirstColumn="0" w:firstRowLastColumn="0" w:lastRowFirstColumn="0" w:lastRowLastColumn="0"/>
            </w:pPr>
            <w:r w:rsidRPr="00F06BDC">
              <w:t>G</w:t>
            </w:r>
          </w:p>
        </w:tc>
        <w:tc>
          <w:tcPr>
            <w:tcW w:w="2046" w:type="pct"/>
            <w:tcBorders>
              <w:top w:val="single" w:sz="4" w:space="0" w:color="auto"/>
            </w:tcBorders>
            <w:shd w:val="clear" w:color="auto" w:fill="auto"/>
            <w:vAlign w:val="center"/>
          </w:tcPr>
          <w:p w:rsidR="008C26EB" w:rsidRPr="00F06BDC" w:rsidRDefault="008C26EB" w:rsidP="009536E0">
            <w:pPr>
              <w:pStyle w:val="TableBullets"/>
              <w:tabs>
                <w:tab w:val="clear" w:pos="720"/>
              </w:tabs>
              <w:ind w:left="303"/>
              <w:cnfStyle w:val="000000100000" w:firstRow="0" w:lastRow="0" w:firstColumn="0" w:lastColumn="0" w:oddVBand="0" w:evenVBand="0" w:oddHBand="1" w:evenHBand="0" w:firstRowFirstColumn="0" w:firstRowLastColumn="0" w:lastRowFirstColumn="0" w:lastRowLastColumn="0"/>
            </w:pPr>
            <w:r w:rsidRPr="00F06BDC">
              <w:t>All Express Lanes are not available at some time during the Hour</w:t>
            </w:r>
          </w:p>
        </w:tc>
      </w:tr>
    </w:tbl>
    <w:p w:rsidR="008C26EB" w:rsidRDefault="008C26EB" w:rsidP="008C26EB">
      <w:pPr>
        <w:spacing w:after="0"/>
      </w:pPr>
    </w:p>
    <w:p w:rsidR="008C26EB" w:rsidRDefault="008C26EB" w:rsidP="008C26EB">
      <w:pPr>
        <w:spacing w:after="0"/>
      </w:pPr>
    </w:p>
    <w:p w:rsidR="008C26EB" w:rsidRDefault="008C26EB" w:rsidP="008C26EB">
      <w:pPr>
        <w:jc w:val="center"/>
        <w:rPr>
          <w:b/>
        </w:rPr>
      </w:pPr>
    </w:p>
    <w:p w:rsidR="008C26EB" w:rsidRDefault="008C26EB" w:rsidP="008C26EB">
      <w:pPr>
        <w:jc w:val="center"/>
        <w:rPr>
          <w:b/>
        </w:rPr>
      </w:pPr>
    </w:p>
    <w:p w:rsidR="008C26EB" w:rsidRDefault="008C26EB" w:rsidP="008C26EB">
      <w:pPr>
        <w:jc w:val="center"/>
        <w:rPr>
          <w:b/>
        </w:rPr>
      </w:pPr>
    </w:p>
    <w:p w:rsidR="008C26EB" w:rsidRDefault="008C26EB" w:rsidP="008C26EB">
      <w:pPr>
        <w:jc w:val="center"/>
        <w:rPr>
          <w:b/>
        </w:rPr>
      </w:pPr>
    </w:p>
    <w:p w:rsidR="008C26EB" w:rsidRDefault="008C26EB" w:rsidP="008C26EB">
      <w:pPr>
        <w:jc w:val="center"/>
        <w:rPr>
          <w:b/>
        </w:rPr>
      </w:pPr>
    </w:p>
    <w:p w:rsidR="008C26EB" w:rsidRPr="00310D90" w:rsidRDefault="008C26EB" w:rsidP="008C26EB">
      <w:pPr>
        <w:spacing w:after="0"/>
        <w:jc w:val="center"/>
        <w:rPr>
          <w:b/>
        </w:rPr>
      </w:pPr>
      <w:r>
        <w:rPr>
          <w:noProof/>
        </w:rPr>
        <w:lastRenderedPageBreak/>
        <mc:AlternateContent>
          <mc:Choice Requires="wps">
            <w:drawing>
              <wp:anchor distT="0" distB="0" distL="114300" distR="114300" simplePos="0" relativeHeight="251666432" behindDoc="0" locked="0" layoutInCell="1" allowOverlap="1" wp14:anchorId="4102B766" wp14:editId="20428D90">
                <wp:simplePos x="0" y="0"/>
                <wp:positionH relativeFrom="margin">
                  <wp:align>center</wp:align>
                </wp:positionH>
                <wp:positionV relativeFrom="margin">
                  <wp:align>bottom</wp:align>
                </wp:positionV>
                <wp:extent cx="5943600" cy="82296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AAD65" id="Rectangle 102" o:spid="_x0000_s1026" style="position:absolute;margin-left:0;margin-top:0;width:468pt;height:9in;z-index:25166643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2tlgIAAIkFAAAOAAAAZHJzL2Uyb0RvYy54bWysVE1v2zAMvQ/YfxB0X+14adcadYqgRYcB&#10;RRv0Az2rshQbkEVNUuJkv36UZDtBV+wwzAdZFMlH8oni5dWuU2QrrGtBV3R2klMiNIe61euKvjzf&#10;fjmnxHmma6ZAi4ruhaNXi8+fLntTigIaULWwBEG0K3tT0cZ7U2aZ443omDsBIzQqJdiOeRTtOqst&#10;6xG9U1mR52dZD7Y2FrhwDk9vkpIuIr6UgvsHKZ3wRFUUc/NxtXF9C2u2uGTl2jLTtHxIg/1DFh1r&#10;NQadoG6YZ2Rj2z+gupZbcCD9CYcuAylbLmINWM0sf1fNU8OMiLUgOc5MNLn/B8vvtytL2hrvLi8o&#10;0azDS3pE2pheK0HCIVLUG1ei5ZNZ2UFyuA317qTtwh8rIbtI636iVew84Xh4ejH/epYj+xx150Vx&#10;EQTEyQ7uxjr/XUBHwqaiFhOIdLLtnfPJdDQJ0TTctkrhOSuVDqsD1dbhLAqhecS1smTL8Nr9bjZE&#10;O7LC2MEzC5WlWuLO75VIqI9CIi2YfRETiQ15wGScC+1nSdWwWqRQpzl+Y7Axi1io0ggYkCUmOWEP&#10;AKNlAhmxU9mDfXAVsZ8n5/xviSXnySNGBu0n567VYD8CUFjVEDnZjyQlagJLb1DvsWkspNfkDL9t&#10;8drumPMrZvH54FXjSPAPuEgFfUVh2FHSgP310Xmwx65GLSU9PseKup8bZgUl6ofGfr+Yzefh/UZh&#10;fvqtQMEea96ONXrTXQNe/QyHj+FxG+y9GrfSQveKk2MZoqKKaY6xK8q9HYVrn8YEzh4ulstohm/W&#10;MH+nnwwP4IHV0JbPu1dmzdC7Htv+Hsany8p3LZxsg6eG5caDbGN/H3gd+Mb3HhtnmE1hoBzL0eow&#10;QRe/AQAA//8DAFBLAwQUAAYACAAAACEA17EiOtwAAAAGAQAADwAAAGRycy9kb3ducmV2LnhtbEyP&#10;QUvDQBCF74L/YRnBS7GbVig2ZlNEUXoQwWoPvU2yYzY2uxuy0zb+e0cvehnm8R5vvilWo+/UkYbU&#10;xmBgNs1AUaijbUNj4P3t8eoGVGIMFrsYyMAXJViV52cF5jaewisdN9woKQkpRwOOuc+1TrUjj2ka&#10;ewrifcTBI4scGm0HPEm57/Q8yxbaYxvkgsOe7h3V+83BG9itR24+Z0/8vMfJdrJ2Vf3yUBlzeTHe&#10;3YJiGvkvDD/4gg6lMFXxEGxSnQF5hH+neMvrhchKQvOlbLos9H/88hsAAP//AwBQSwECLQAUAAYA&#10;CAAAACEAtoM4kv4AAADhAQAAEwAAAAAAAAAAAAAAAAAAAAAAW0NvbnRlbnRfVHlwZXNdLnhtbFBL&#10;AQItABQABgAIAAAAIQA4/SH/1gAAAJQBAAALAAAAAAAAAAAAAAAAAC8BAABfcmVscy8ucmVsc1BL&#10;AQItABQABgAIAAAAIQD9tk2tlgIAAIkFAAAOAAAAAAAAAAAAAAAAAC4CAABkcnMvZTJvRG9jLnht&#10;bFBLAQItABQABgAIAAAAIQDXsSI63AAAAAYBAAAPAAAAAAAAAAAAAAAAAPAEAABkcnMvZG93bnJl&#10;di54bWxQSwUGAAAAAAQABADzAAAA+QUAAAAA&#10;" filled="f" strokecolor="black [3213]" strokeweight="1pt">
                <w10:wrap anchorx="margin" anchory="margin"/>
              </v:rect>
            </w:pict>
          </mc:Fallback>
        </mc:AlternateContent>
      </w:r>
      <w:r>
        <w:rPr>
          <w:b/>
        </w:rPr>
        <w:t>Table D – Segment Weighting Factors</w:t>
      </w:r>
    </w:p>
    <w:tbl>
      <w:tblPr>
        <w:tblStyle w:val="GridTable4"/>
        <w:tblW w:w="8640" w:type="dxa"/>
        <w:tblInd w:w="36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4903"/>
        <w:gridCol w:w="2121"/>
      </w:tblGrid>
      <w:tr w:rsidR="008C26EB" w:rsidRPr="00AE6027" w:rsidTr="009536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left w:val="nil"/>
              <w:bottom w:val="double" w:sz="4" w:space="0" w:color="auto"/>
            </w:tcBorders>
            <w:shd w:val="clear" w:color="auto" w:fill="auto"/>
            <w:vAlign w:val="center"/>
          </w:tcPr>
          <w:p w:rsidR="008C26EB" w:rsidRPr="00AE6027" w:rsidRDefault="008C26EB" w:rsidP="009536E0">
            <w:pPr>
              <w:pStyle w:val="TableHeading"/>
              <w:rPr>
                <w:b/>
                <w:color w:val="auto"/>
              </w:rPr>
            </w:pPr>
            <w:r w:rsidRPr="00AE6027">
              <w:rPr>
                <w:b/>
                <w:color w:val="auto"/>
              </w:rPr>
              <w:t>Segment Number</w:t>
            </w:r>
          </w:p>
        </w:tc>
        <w:tc>
          <w:tcPr>
            <w:tcW w:w="0" w:type="auto"/>
            <w:tcBorders>
              <w:top w:val="single" w:sz="18" w:space="0" w:color="auto"/>
              <w:bottom w:val="double" w:sz="4" w:space="0" w:color="auto"/>
            </w:tcBorders>
            <w:shd w:val="clear" w:color="auto" w:fill="auto"/>
            <w:vAlign w:val="center"/>
          </w:tcPr>
          <w:p w:rsidR="008C26EB" w:rsidRPr="00AE6027" w:rsidRDefault="008C26EB" w:rsidP="009536E0">
            <w:pPr>
              <w:pStyle w:val="TableHeading"/>
              <w:cnfStyle w:val="100000000000" w:firstRow="1" w:lastRow="0" w:firstColumn="0" w:lastColumn="0" w:oddVBand="0" w:evenVBand="0" w:oddHBand="0" w:evenHBand="0" w:firstRowFirstColumn="0" w:firstRowLastColumn="0" w:lastRowFirstColumn="0" w:lastRowLastColumn="0"/>
              <w:rPr>
                <w:b/>
                <w:color w:val="auto"/>
              </w:rPr>
            </w:pPr>
            <w:r w:rsidRPr="00AE6027">
              <w:rPr>
                <w:b/>
                <w:color w:val="auto"/>
              </w:rPr>
              <w:t>Segment</w:t>
            </w:r>
          </w:p>
        </w:tc>
        <w:tc>
          <w:tcPr>
            <w:tcW w:w="0" w:type="auto"/>
            <w:tcBorders>
              <w:top w:val="single" w:sz="18" w:space="0" w:color="auto"/>
              <w:bottom w:val="double" w:sz="4" w:space="0" w:color="auto"/>
              <w:right w:val="nil"/>
            </w:tcBorders>
            <w:shd w:val="clear" w:color="auto" w:fill="auto"/>
            <w:vAlign w:val="center"/>
          </w:tcPr>
          <w:p w:rsidR="008C26EB" w:rsidRPr="00AE6027" w:rsidRDefault="008C26EB" w:rsidP="009536E0">
            <w:pPr>
              <w:pStyle w:val="TableHeading"/>
              <w:cnfStyle w:val="100000000000" w:firstRow="1" w:lastRow="0" w:firstColumn="0" w:lastColumn="0" w:oddVBand="0" w:evenVBand="0" w:oddHBand="0" w:evenHBand="0" w:firstRowFirstColumn="0" w:firstRowLastColumn="0" w:lastRowFirstColumn="0" w:lastRowLastColumn="0"/>
              <w:rPr>
                <w:b/>
                <w:color w:val="auto"/>
              </w:rPr>
            </w:pPr>
            <w:r w:rsidRPr="00AE6027">
              <w:rPr>
                <w:b/>
                <w:color w:val="auto"/>
              </w:rPr>
              <w:t>Segment Weighting Factor</w:t>
            </w:r>
          </w:p>
        </w:tc>
      </w:tr>
      <w:tr w:rsidR="008C26EB" w:rsidTr="009536E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auto"/>
            </w:tcBorders>
            <w:shd w:val="clear" w:color="auto" w:fill="auto"/>
            <w:vAlign w:val="center"/>
          </w:tcPr>
          <w:p w:rsidR="008C26EB" w:rsidRPr="00310D90" w:rsidRDefault="008C26EB" w:rsidP="009536E0">
            <w:pPr>
              <w:pStyle w:val="tbldescription"/>
              <w:jc w:val="center"/>
            </w:pPr>
            <w:r w:rsidRPr="00310D90">
              <w:t>1</w:t>
            </w:r>
          </w:p>
        </w:tc>
        <w:tc>
          <w:tcPr>
            <w:tcW w:w="0" w:type="auto"/>
            <w:tcBorders>
              <w:top w:val="double" w:sz="4" w:space="0" w:color="auto"/>
            </w:tcBorders>
            <w:shd w:val="clear" w:color="auto" w:fill="auto"/>
            <w:vAlign w:val="center"/>
          </w:tcPr>
          <w:p w:rsidR="008C26EB" w:rsidRDefault="008C26EB" w:rsidP="009536E0">
            <w:pPr>
              <w:pStyle w:val="tbldescription"/>
              <w:jc w:val="both"/>
              <w:cnfStyle w:val="000000100000" w:firstRow="0" w:lastRow="0" w:firstColumn="0" w:lastColumn="0" w:oddVBand="0" w:evenVBand="0" w:oddHBand="1" w:evenHBand="0" w:firstRowFirstColumn="0" w:firstRowLastColumn="0" w:lastRowFirstColumn="0" w:lastRowLastColumn="0"/>
            </w:pPr>
            <w:r>
              <w:t>I-595 eastbound and SR-84 eastbound west of Sewell Lock, including crossroads, High impact Ramps, and Ramps</w:t>
            </w:r>
          </w:p>
        </w:tc>
        <w:tc>
          <w:tcPr>
            <w:tcW w:w="0" w:type="auto"/>
            <w:tcBorders>
              <w:top w:val="double" w:sz="4" w:space="0" w:color="auto"/>
            </w:tcBorders>
            <w:shd w:val="clear" w:color="auto" w:fill="auto"/>
            <w:vAlign w:val="center"/>
          </w:tcPr>
          <w:p w:rsidR="008C26EB" w:rsidRDefault="008C26EB" w:rsidP="009536E0">
            <w:pPr>
              <w:pStyle w:val="tbldescription"/>
              <w:jc w:val="center"/>
              <w:cnfStyle w:val="000000100000" w:firstRow="0" w:lastRow="0" w:firstColumn="0" w:lastColumn="0" w:oddVBand="0" w:evenVBand="0" w:oddHBand="1" w:evenHBand="0" w:firstRowFirstColumn="0" w:firstRowLastColumn="0" w:lastRowFirstColumn="0" w:lastRowLastColumn="0"/>
            </w:pPr>
            <w:r>
              <w:t>0.2</w:t>
            </w:r>
          </w:p>
        </w:tc>
      </w:tr>
      <w:tr w:rsidR="008C26EB" w:rsidTr="009536E0">
        <w:trPr>
          <w:trHeight w:val="86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C26EB" w:rsidRDefault="008C26EB" w:rsidP="009536E0">
            <w:pPr>
              <w:pStyle w:val="tbldescription"/>
              <w:jc w:val="center"/>
            </w:pPr>
            <w:r>
              <w:t>2</w:t>
            </w:r>
          </w:p>
        </w:tc>
        <w:tc>
          <w:tcPr>
            <w:tcW w:w="0" w:type="auto"/>
            <w:shd w:val="clear" w:color="auto" w:fill="auto"/>
            <w:vAlign w:val="center"/>
          </w:tcPr>
          <w:p w:rsidR="008C26EB" w:rsidRDefault="008C26EB" w:rsidP="009536E0">
            <w:pPr>
              <w:pStyle w:val="tbldescription"/>
              <w:jc w:val="both"/>
              <w:cnfStyle w:val="000000000000" w:firstRow="0" w:lastRow="0" w:firstColumn="0" w:lastColumn="0" w:oddVBand="0" w:evenVBand="0" w:oddHBand="0" w:evenHBand="0" w:firstRowFirstColumn="0" w:firstRowLastColumn="0" w:lastRowFirstColumn="0" w:lastRowLastColumn="0"/>
            </w:pPr>
            <w:r>
              <w:t>I-595 eastbound and SR-84 eastbound east of Sewell Lock, including crossroads, High Impact Ramps, and Ramps</w:t>
            </w:r>
          </w:p>
        </w:tc>
        <w:tc>
          <w:tcPr>
            <w:tcW w:w="0" w:type="auto"/>
            <w:shd w:val="clear" w:color="auto" w:fill="auto"/>
            <w:vAlign w:val="center"/>
          </w:tcPr>
          <w:p w:rsidR="008C26EB" w:rsidRDefault="008C26EB" w:rsidP="009536E0">
            <w:pPr>
              <w:pStyle w:val="tbldescription"/>
              <w:jc w:val="center"/>
              <w:cnfStyle w:val="000000000000" w:firstRow="0" w:lastRow="0" w:firstColumn="0" w:lastColumn="0" w:oddVBand="0" w:evenVBand="0" w:oddHBand="0" w:evenHBand="0" w:firstRowFirstColumn="0" w:firstRowLastColumn="0" w:lastRowFirstColumn="0" w:lastRowLastColumn="0"/>
            </w:pPr>
            <w:r>
              <w:t>0.2</w:t>
            </w:r>
          </w:p>
        </w:tc>
      </w:tr>
      <w:tr w:rsidR="008C26EB" w:rsidTr="009536E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C26EB" w:rsidRDefault="008C26EB" w:rsidP="009536E0">
            <w:pPr>
              <w:pStyle w:val="tbldescription"/>
              <w:jc w:val="center"/>
            </w:pPr>
            <w:r>
              <w:t>3</w:t>
            </w:r>
          </w:p>
        </w:tc>
        <w:tc>
          <w:tcPr>
            <w:tcW w:w="0" w:type="auto"/>
            <w:shd w:val="clear" w:color="auto" w:fill="auto"/>
            <w:vAlign w:val="center"/>
          </w:tcPr>
          <w:p w:rsidR="008C26EB" w:rsidRDefault="008C26EB" w:rsidP="009536E0">
            <w:pPr>
              <w:pStyle w:val="tbldescription"/>
              <w:jc w:val="both"/>
              <w:cnfStyle w:val="000000100000" w:firstRow="0" w:lastRow="0" w:firstColumn="0" w:lastColumn="0" w:oddVBand="0" w:evenVBand="0" w:oddHBand="1" w:evenHBand="0" w:firstRowFirstColumn="0" w:firstRowLastColumn="0" w:lastRowFirstColumn="0" w:lastRowLastColumn="0"/>
            </w:pPr>
            <w:r>
              <w:t>I-595 westbound and SR-84 westbound west of Sewell Lock, including crossroads, High impact Ramps, and Ramps</w:t>
            </w:r>
          </w:p>
        </w:tc>
        <w:tc>
          <w:tcPr>
            <w:tcW w:w="0" w:type="auto"/>
            <w:shd w:val="clear" w:color="auto" w:fill="auto"/>
            <w:vAlign w:val="center"/>
          </w:tcPr>
          <w:p w:rsidR="008C26EB" w:rsidRDefault="008C26EB" w:rsidP="009536E0">
            <w:pPr>
              <w:pStyle w:val="tbldescription"/>
              <w:jc w:val="center"/>
              <w:cnfStyle w:val="000000100000" w:firstRow="0" w:lastRow="0" w:firstColumn="0" w:lastColumn="0" w:oddVBand="0" w:evenVBand="0" w:oddHBand="1" w:evenHBand="0" w:firstRowFirstColumn="0" w:firstRowLastColumn="0" w:lastRowFirstColumn="0" w:lastRowLastColumn="0"/>
            </w:pPr>
            <w:r>
              <w:t>0.2</w:t>
            </w:r>
          </w:p>
        </w:tc>
      </w:tr>
      <w:tr w:rsidR="008C26EB" w:rsidTr="009536E0">
        <w:trPr>
          <w:trHeight w:val="86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C26EB" w:rsidRDefault="008C26EB" w:rsidP="009536E0">
            <w:pPr>
              <w:pStyle w:val="tbldescription"/>
              <w:jc w:val="center"/>
            </w:pPr>
            <w:r>
              <w:t>4</w:t>
            </w:r>
          </w:p>
        </w:tc>
        <w:tc>
          <w:tcPr>
            <w:tcW w:w="0" w:type="auto"/>
            <w:shd w:val="clear" w:color="auto" w:fill="auto"/>
            <w:vAlign w:val="center"/>
          </w:tcPr>
          <w:p w:rsidR="008C26EB" w:rsidRDefault="008C26EB" w:rsidP="009536E0">
            <w:pPr>
              <w:pStyle w:val="tbldescription"/>
              <w:jc w:val="both"/>
              <w:cnfStyle w:val="000000000000" w:firstRow="0" w:lastRow="0" w:firstColumn="0" w:lastColumn="0" w:oddVBand="0" w:evenVBand="0" w:oddHBand="0" w:evenHBand="0" w:firstRowFirstColumn="0" w:firstRowLastColumn="0" w:lastRowFirstColumn="0" w:lastRowLastColumn="0"/>
            </w:pPr>
            <w:r>
              <w:t>I-595 westbound and SR-84 westbound east of Sewell Lock, including crossroads, High Impact Ramps, and Ramps</w:t>
            </w:r>
          </w:p>
        </w:tc>
        <w:tc>
          <w:tcPr>
            <w:tcW w:w="0" w:type="auto"/>
            <w:shd w:val="clear" w:color="auto" w:fill="auto"/>
            <w:vAlign w:val="center"/>
          </w:tcPr>
          <w:p w:rsidR="008C26EB" w:rsidRDefault="008C26EB" w:rsidP="009536E0">
            <w:pPr>
              <w:pStyle w:val="tbldescription"/>
              <w:jc w:val="center"/>
              <w:cnfStyle w:val="000000000000" w:firstRow="0" w:lastRow="0" w:firstColumn="0" w:lastColumn="0" w:oddVBand="0" w:evenVBand="0" w:oddHBand="0" w:evenHBand="0" w:firstRowFirstColumn="0" w:firstRowLastColumn="0" w:lastRowFirstColumn="0" w:lastRowLastColumn="0"/>
            </w:pPr>
            <w:r>
              <w:t>0.2</w:t>
            </w:r>
          </w:p>
        </w:tc>
      </w:tr>
      <w:tr w:rsidR="008C26EB" w:rsidTr="009536E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8C26EB" w:rsidRDefault="008C26EB" w:rsidP="009536E0">
            <w:pPr>
              <w:pStyle w:val="tbldescription"/>
              <w:jc w:val="center"/>
            </w:pPr>
            <w:r>
              <w:t>5</w:t>
            </w:r>
          </w:p>
        </w:tc>
        <w:tc>
          <w:tcPr>
            <w:tcW w:w="0" w:type="auto"/>
            <w:shd w:val="clear" w:color="auto" w:fill="auto"/>
            <w:vAlign w:val="center"/>
          </w:tcPr>
          <w:p w:rsidR="008C26EB" w:rsidRDefault="008C26EB" w:rsidP="009536E0">
            <w:pPr>
              <w:pStyle w:val="tbldescription"/>
              <w:jc w:val="both"/>
              <w:cnfStyle w:val="000000100000" w:firstRow="0" w:lastRow="0" w:firstColumn="0" w:lastColumn="0" w:oddVBand="0" w:evenVBand="0" w:oddHBand="1" w:evenHBand="0" w:firstRowFirstColumn="0" w:firstRowLastColumn="0" w:lastRowFirstColumn="0" w:lastRowLastColumn="0"/>
            </w:pPr>
            <w:r>
              <w:t>Express Lanes and Express Lanes Ramps</w:t>
            </w:r>
          </w:p>
        </w:tc>
        <w:tc>
          <w:tcPr>
            <w:tcW w:w="0" w:type="auto"/>
            <w:shd w:val="clear" w:color="auto" w:fill="auto"/>
            <w:vAlign w:val="center"/>
          </w:tcPr>
          <w:p w:rsidR="008C26EB" w:rsidRDefault="008C26EB" w:rsidP="009536E0">
            <w:pPr>
              <w:pStyle w:val="tbldescription"/>
              <w:jc w:val="center"/>
              <w:cnfStyle w:val="000000100000" w:firstRow="0" w:lastRow="0" w:firstColumn="0" w:lastColumn="0" w:oddVBand="0" w:evenVBand="0" w:oddHBand="1" w:evenHBand="0" w:firstRowFirstColumn="0" w:firstRowLastColumn="0" w:lastRowFirstColumn="0" w:lastRowLastColumn="0"/>
            </w:pPr>
            <w:r>
              <w:t>0.2</w:t>
            </w:r>
          </w:p>
        </w:tc>
      </w:tr>
    </w:tbl>
    <w:p w:rsidR="008C26EB" w:rsidRDefault="008C26EB" w:rsidP="008C26EB">
      <w:pPr>
        <w:spacing w:after="0"/>
      </w:pPr>
    </w:p>
    <w:p w:rsidR="008C26EB" w:rsidRDefault="008C26EB" w:rsidP="008C26EB">
      <w:pPr>
        <w:spacing w:after="0"/>
        <w:jc w:val="center"/>
        <w:rPr>
          <w:b/>
        </w:rPr>
      </w:pPr>
      <w:r>
        <w:rPr>
          <w:b/>
        </w:rPr>
        <w:t>Table E – Time Weighting Factors</w:t>
      </w:r>
    </w:p>
    <w:p w:rsidR="008C26EB" w:rsidRPr="00414EFE" w:rsidRDefault="008C26EB" w:rsidP="008C26EB">
      <w:pPr>
        <w:spacing w:after="0"/>
        <w:jc w:val="center"/>
        <w:rPr>
          <w:b/>
        </w:rPr>
      </w:pPr>
      <w:r>
        <w:rPr>
          <w:b/>
        </w:rPr>
        <w:t>I-595 Corridor Segments (Segment 1, 2, 3 and 4)</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736"/>
        <w:gridCol w:w="5077"/>
      </w:tblGrid>
      <w:tr w:rsidR="008C26EB" w:rsidTr="009536E0">
        <w:trPr>
          <w:trHeight w:val="432"/>
          <w:jc w:val="center"/>
        </w:trPr>
        <w:tc>
          <w:tcPr>
            <w:tcW w:w="0" w:type="auto"/>
            <w:tcBorders>
              <w:top w:val="single" w:sz="18" w:space="0" w:color="auto"/>
              <w:bottom w:val="double" w:sz="4" w:space="0" w:color="auto"/>
            </w:tcBorders>
            <w:vAlign w:val="center"/>
          </w:tcPr>
          <w:p w:rsidR="008C26EB" w:rsidRDefault="008C26EB" w:rsidP="009536E0">
            <w:pPr>
              <w:pStyle w:val="TableHeading"/>
            </w:pPr>
            <w:r>
              <w:t>Category Hours</w:t>
            </w:r>
          </w:p>
        </w:tc>
        <w:tc>
          <w:tcPr>
            <w:tcW w:w="0" w:type="auto"/>
            <w:tcBorders>
              <w:top w:val="single" w:sz="18" w:space="0" w:color="auto"/>
              <w:bottom w:val="double" w:sz="4" w:space="0" w:color="auto"/>
            </w:tcBorders>
            <w:vAlign w:val="center"/>
          </w:tcPr>
          <w:p w:rsidR="008C26EB" w:rsidRDefault="008C26EB" w:rsidP="009536E0">
            <w:pPr>
              <w:pStyle w:val="TableHeading"/>
            </w:pPr>
            <w:r>
              <w:t>TWF</w:t>
            </w:r>
          </w:p>
        </w:tc>
        <w:tc>
          <w:tcPr>
            <w:tcW w:w="5077" w:type="dxa"/>
            <w:tcBorders>
              <w:top w:val="single" w:sz="18" w:space="0" w:color="auto"/>
              <w:bottom w:val="double" w:sz="4" w:space="0" w:color="auto"/>
            </w:tcBorders>
            <w:vAlign w:val="center"/>
          </w:tcPr>
          <w:p w:rsidR="008C26EB" w:rsidRDefault="008C26EB" w:rsidP="009536E0">
            <w:pPr>
              <w:pStyle w:val="TableHeading"/>
            </w:pPr>
            <w:r>
              <w:t>Definition</w:t>
            </w:r>
          </w:p>
        </w:tc>
      </w:tr>
      <w:tr w:rsidR="008C26EB" w:rsidTr="009536E0">
        <w:trPr>
          <w:trHeight w:val="432"/>
          <w:jc w:val="center"/>
        </w:trPr>
        <w:tc>
          <w:tcPr>
            <w:tcW w:w="0" w:type="auto"/>
            <w:tcBorders>
              <w:top w:val="double" w:sz="4" w:space="0" w:color="auto"/>
            </w:tcBorders>
            <w:vAlign w:val="center"/>
          </w:tcPr>
          <w:p w:rsidR="008C26EB" w:rsidRDefault="008C26EB" w:rsidP="009536E0">
            <w:pPr>
              <w:pStyle w:val="tbldescription"/>
            </w:pPr>
            <w:r>
              <w:t>Peak Days</w:t>
            </w:r>
          </w:p>
        </w:tc>
        <w:tc>
          <w:tcPr>
            <w:tcW w:w="0" w:type="auto"/>
            <w:tcBorders>
              <w:top w:val="double" w:sz="4" w:space="0" w:color="auto"/>
            </w:tcBorders>
            <w:vAlign w:val="center"/>
          </w:tcPr>
          <w:p w:rsidR="008C26EB" w:rsidRDefault="008C26EB" w:rsidP="009536E0">
            <w:pPr>
              <w:pStyle w:val="tbldescription"/>
            </w:pPr>
          </w:p>
        </w:tc>
        <w:tc>
          <w:tcPr>
            <w:tcW w:w="5077" w:type="dxa"/>
            <w:tcBorders>
              <w:top w:val="double" w:sz="4" w:space="0" w:color="auto"/>
            </w:tcBorders>
            <w:vAlign w:val="center"/>
          </w:tcPr>
          <w:p w:rsidR="008C26EB" w:rsidRDefault="008C26EB" w:rsidP="009536E0">
            <w:pPr>
              <w:pStyle w:val="tbldescription"/>
              <w:jc w:val="center"/>
            </w:pPr>
            <w:r>
              <w:t>Monday at 0:00 through Friday at 19:00</w:t>
            </w:r>
          </w:p>
        </w:tc>
      </w:tr>
      <w:tr w:rsidR="008C26EB" w:rsidTr="009536E0">
        <w:trPr>
          <w:trHeight w:val="432"/>
          <w:jc w:val="center"/>
        </w:trPr>
        <w:tc>
          <w:tcPr>
            <w:tcW w:w="0" w:type="auto"/>
            <w:vAlign w:val="center"/>
          </w:tcPr>
          <w:p w:rsidR="008C26EB" w:rsidRDefault="008C26EB" w:rsidP="009536E0">
            <w:pPr>
              <w:pStyle w:val="tbldescription"/>
            </w:pPr>
            <w:r>
              <w:t>High Priority Hours</w:t>
            </w:r>
          </w:p>
        </w:tc>
        <w:tc>
          <w:tcPr>
            <w:tcW w:w="0" w:type="auto"/>
            <w:vAlign w:val="center"/>
          </w:tcPr>
          <w:p w:rsidR="008C26EB" w:rsidRDefault="008C26EB" w:rsidP="009536E0">
            <w:pPr>
              <w:pStyle w:val="tbldescription"/>
              <w:jc w:val="right"/>
            </w:pPr>
            <w:r>
              <w:t>12.00</w:t>
            </w:r>
          </w:p>
        </w:tc>
        <w:tc>
          <w:tcPr>
            <w:tcW w:w="5077" w:type="dxa"/>
            <w:vAlign w:val="center"/>
          </w:tcPr>
          <w:p w:rsidR="008C26EB" w:rsidRDefault="008C26EB" w:rsidP="009536E0">
            <w:pPr>
              <w:pStyle w:val="tbldescription"/>
              <w:jc w:val="center"/>
            </w:pPr>
            <w:r>
              <w:t>06:00 – 09:00 and 16:00 – 19:00</w:t>
            </w:r>
          </w:p>
        </w:tc>
      </w:tr>
      <w:tr w:rsidR="008C26EB" w:rsidTr="009536E0">
        <w:trPr>
          <w:trHeight w:val="432"/>
          <w:jc w:val="center"/>
        </w:trPr>
        <w:tc>
          <w:tcPr>
            <w:tcW w:w="0" w:type="auto"/>
            <w:vAlign w:val="center"/>
          </w:tcPr>
          <w:p w:rsidR="008C26EB" w:rsidRDefault="008C26EB" w:rsidP="009536E0">
            <w:pPr>
              <w:pStyle w:val="tbldescription"/>
            </w:pPr>
            <w:r>
              <w:t>Mid Priority Hours</w:t>
            </w:r>
          </w:p>
        </w:tc>
        <w:tc>
          <w:tcPr>
            <w:tcW w:w="0" w:type="auto"/>
            <w:vAlign w:val="center"/>
          </w:tcPr>
          <w:p w:rsidR="008C26EB" w:rsidRDefault="008C26EB" w:rsidP="009536E0">
            <w:pPr>
              <w:pStyle w:val="tbldescription"/>
              <w:jc w:val="right"/>
            </w:pPr>
            <w:r>
              <w:t>6.00</w:t>
            </w:r>
          </w:p>
        </w:tc>
        <w:tc>
          <w:tcPr>
            <w:tcW w:w="5077" w:type="dxa"/>
            <w:vAlign w:val="center"/>
          </w:tcPr>
          <w:p w:rsidR="008C26EB" w:rsidRDefault="008C26EB" w:rsidP="009536E0">
            <w:pPr>
              <w:pStyle w:val="tbldescription"/>
              <w:jc w:val="center"/>
            </w:pPr>
            <w:r>
              <w:t>09:00 – 16:00 and 19:00 – 22:00</w:t>
            </w:r>
          </w:p>
        </w:tc>
      </w:tr>
      <w:tr w:rsidR="008C26EB" w:rsidTr="009536E0">
        <w:trPr>
          <w:trHeight w:val="432"/>
          <w:jc w:val="center"/>
        </w:trPr>
        <w:tc>
          <w:tcPr>
            <w:tcW w:w="0" w:type="auto"/>
            <w:vAlign w:val="center"/>
          </w:tcPr>
          <w:p w:rsidR="008C26EB" w:rsidRDefault="008C26EB" w:rsidP="009536E0">
            <w:pPr>
              <w:pStyle w:val="tbldescription"/>
            </w:pPr>
            <w:r>
              <w:t>Low Priority Hours</w:t>
            </w:r>
          </w:p>
        </w:tc>
        <w:tc>
          <w:tcPr>
            <w:tcW w:w="0" w:type="auto"/>
            <w:vAlign w:val="center"/>
          </w:tcPr>
          <w:p w:rsidR="008C26EB" w:rsidRDefault="008C26EB" w:rsidP="009536E0">
            <w:pPr>
              <w:pStyle w:val="tbldescription"/>
              <w:jc w:val="right"/>
            </w:pPr>
            <w:r>
              <w:t>2.00</w:t>
            </w:r>
          </w:p>
        </w:tc>
        <w:tc>
          <w:tcPr>
            <w:tcW w:w="5077" w:type="dxa"/>
            <w:vAlign w:val="center"/>
          </w:tcPr>
          <w:p w:rsidR="008C26EB" w:rsidRDefault="008C26EB" w:rsidP="009536E0">
            <w:pPr>
              <w:pStyle w:val="tbldescription"/>
              <w:jc w:val="center"/>
            </w:pPr>
            <w:r>
              <w:t>22:00 – 6:00</w:t>
            </w:r>
          </w:p>
        </w:tc>
      </w:tr>
      <w:tr w:rsidR="008C26EB" w:rsidTr="009536E0">
        <w:trPr>
          <w:trHeight w:val="432"/>
          <w:jc w:val="center"/>
        </w:trPr>
        <w:tc>
          <w:tcPr>
            <w:tcW w:w="0" w:type="auto"/>
            <w:vAlign w:val="center"/>
          </w:tcPr>
          <w:p w:rsidR="008C26EB" w:rsidRDefault="008C26EB" w:rsidP="009536E0">
            <w:pPr>
              <w:pStyle w:val="tbldescription"/>
            </w:pPr>
            <w:r>
              <w:t>Weekends</w:t>
            </w:r>
          </w:p>
        </w:tc>
        <w:tc>
          <w:tcPr>
            <w:tcW w:w="0" w:type="auto"/>
            <w:vAlign w:val="center"/>
          </w:tcPr>
          <w:p w:rsidR="008C26EB" w:rsidRDefault="008C26EB" w:rsidP="009536E0">
            <w:pPr>
              <w:pStyle w:val="tbldescription"/>
              <w:jc w:val="right"/>
            </w:pPr>
          </w:p>
        </w:tc>
        <w:tc>
          <w:tcPr>
            <w:tcW w:w="5077" w:type="dxa"/>
            <w:vAlign w:val="center"/>
          </w:tcPr>
          <w:p w:rsidR="008C26EB" w:rsidRDefault="008C26EB" w:rsidP="009536E0">
            <w:pPr>
              <w:pStyle w:val="tbldescription"/>
              <w:jc w:val="center"/>
            </w:pPr>
            <w:r>
              <w:t>Friday at 19:00 through Sunday at 24:00</w:t>
            </w:r>
          </w:p>
        </w:tc>
      </w:tr>
      <w:tr w:rsidR="008C26EB" w:rsidTr="009536E0">
        <w:trPr>
          <w:trHeight w:val="432"/>
          <w:jc w:val="center"/>
        </w:trPr>
        <w:tc>
          <w:tcPr>
            <w:tcW w:w="0" w:type="auto"/>
            <w:vAlign w:val="center"/>
          </w:tcPr>
          <w:p w:rsidR="008C26EB" w:rsidRDefault="008C26EB" w:rsidP="009536E0">
            <w:pPr>
              <w:pStyle w:val="tbldescription"/>
            </w:pPr>
            <w:r>
              <w:t>High Priority Hours</w:t>
            </w:r>
          </w:p>
        </w:tc>
        <w:tc>
          <w:tcPr>
            <w:tcW w:w="0" w:type="auto"/>
            <w:vAlign w:val="center"/>
          </w:tcPr>
          <w:p w:rsidR="008C26EB" w:rsidRDefault="008C26EB" w:rsidP="009536E0">
            <w:pPr>
              <w:pStyle w:val="tbldescription"/>
              <w:jc w:val="right"/>
            </w:pPr>
            <w:r>
              <w:t>12.00</w:t>
            </w:r>
          </w:p>
        </w:tc>
        <w:tc>
          <w:tcPr>
            <w:tcW w:w="5077" w:type="dxa"/>
            <w:vAlign w:val="center"/>
          </w:tcPr>
          <w:p w:rsidR="008C26EB" w:rsidRDefault="008C26EB" w:rsidP="009536E0">
            <w:pPr>
              <w:pStyle w:val="tbldescription"/>
              <w:jc w:val="center"/>
            </w:pPr>
            <w:r>
              <w:t>12:00 – 02:00 (except Sunday 21:00 – 24:00)</w:t>
            </w:r>
          </w:p>
        </w:tc>
      </w:tr>
      <w:tr w:rsidR="008C26EB" w:rsidTr="009536E0">
        <w:trPr>
          <w:trHeight w:val="432"/>
          <w:jc w:val="center"/>
        </w:trPr>
        <w:tc>
          <w:tcPr>
            <w:tcW w:w="0" w:type="auto"/>
            <w:vAlign w:val="center"/>
          </w:tcPr>
          <w:p w:rsidR="008C26EB" w:rsidRDefault="008C26EB" w:rsidP="009536E0">
            <w:pPr>
              <w:pStyle w:val="tbldescription"/>
            </w:pPr>
            <w:r>
              <w:t>Mid Priority Hours</w:t>
            </w:r>
          </w:p>
        </w:tc>
        <w:tc>
          <w:tcPr>
            <w:tcW w:w="0" w:type="auto"/>
            <w:vAlign w:val="center"/>
          </w:tcPr>
          <w:p w:rsidR="008C26EB" w:rsidRDefault="008C26EB" w:rsidP="009536E0">
            <w:pPr>
              <w:pStyle w:val="tbldescription"/>
              <w:jc w:val="right"/>
            </w:pPr>
            <w:r>
              <w:t>6.00</w:t>
            </w:r>
          </w:p>
        </w:tc>
        <w:tc>
          <w:tcPr>
            <w:tcW w:w="5077" w:type="dxa"/>
            <w:vAlign w:val="center"/>
          </w:tcPr>
          <w:p w:rsidR="008C26EB" w:rsidRDefault="008C26EB" w:rsidP="009536E0">
            <w:pPr>
              <w:pStyle w:val="tbldescription"/>
              <w:jc w:val="center"/>
            </w:pPr>
            <w:r>
              <w:t>08:00 – 12:00</w:t>
            </w:r>
          </w:p>
        </w:tc>
      </w:tr>
      <w:tr w:rsidR="008C26EB" w:rsidTr="009536E0">
        <w:trPr>
          <w:trHeight w:val="432"/>
          <w:jc w:val="center"/>
        </w:trPr>
        <w:tc>
          <w:tcPr>
            <w:tcW w:w="0" w:type="auto"/>
            <w:tcBorders>
              <w:bottom w:val="single" w:sz="18" w:space="0" w:color="auto"/>
            </w:tcBorders>
            <w:vAlign w:val="center"/>
          </w:tcPr>
          <w:p w:rsidR="008C26EB" w:rsidRDefault="008C26EB" w:rsidP="009536E0">
            <w:pPr>
              <w:pStyle w:val="tbldescription"/>
            </w:pPr>
            <w:r>
              <w:t>Low Priority Hours</w:t>
            </w:r>
          </w:p>
        </w:tc>
        <w:tc>
          <w:tcPr>
            <w:tcW w:w="0" w:type="auto"/>
            <w:tcBorders>
              <w:bottom w:val="single" w:sz="18" w:space="0" w:color="auto"/>
            </w:tcBorders>
            <w:vAlign w:val="center"/>
          </w:tcPr>
          <w:p w:rsidR="008C26EB" w:rsidRDefault="008C26EB" w:rsidP="009536E0">
            <w:pPr>
              <w:pStyle w:val="tbldescription"/>
              <w:jc w:val="right"/>
            </w:pPr>
            <w:r>
              <w:t>2.00</w:t>
            </w:r>
          </w:p>
        </w:tc>
        <w:tc>
          <w:tcPr>
            <w:tcW w:w="5077" w:type="dxa"/>
            <w:tcBorders>
              <w:bottom w:val="single" w:sz="18" w:space="0" w:color="auto"/>
            </w:tcBorders>
            <w:vAlign w:val="center"/>
          </w:tcPr>
          <w:p w:rsidR="008C26EB" w:rsidRDefault="008C26EB" w:rsidP="009536E0">
            <w:pPr>
              <w:pStyle w:val="tbldescription"/>
              <w:jc w:val="center"/>
            </w:pPr>
            <w:r>
              <w:t>02:00 – 08:00 and Sunday 21:00 – 24:00</w:t>
            </w:r>
          </w:p>
        </w:tc>
      </w:tr>
    </w:tbl>
    <w:p w:rsidR="008C26EB" w:rsidRDefault="008C26EB" w:rsidP="008C26EB"/>
    <w:p w:rsidR="008C26EB" w:rsidRDefault="008C26EB" w:rsidP="008C26EB"/>
    <w:p w:rsidR="008C26EB" w:rsidRDefault="008C26EB" w:rsidP="008C26EB"/>
    <w:p w:rsidR="008C26EB" w:rsidRDefault="008C26EB" w:rsidP="008C26EB"/>
    <w:p w:rsidR="008C26EB" w:rsidRDefault="008C26EB" w:rsidP="008C26EB">
      <w:pPr>
        <w:spacing w:after="120"/>
        <w:jc w:val="center"/>
        <w:rPr>
          <w:b/>
        </w:rPr>
      </w:pPr>
    </w:p>
    <w:p w:rsidR="008C26EB" w:rsidRDefault="008C26EB" w:rsidP="008C26EB">
      <w:pPr>
        <w:spacing w:after="0"/>
        <w:jc w:val="center"/>
        <w:rPr>
          <w:b/>
        </w:rPr>
      </w:pPr>
      <w:r>
        <w:rPr>
          <w:noProof/>
        </w:rPr>
        <w:lastRenderedPageBreak/>
        <mc:AlternateContent>
          <mc:Choice Requires="wps">
            <w:drawing>
              <wp:anchor distT="0" distB="0" distL="114300" distR="114300" simplePos="0" relativeHeight="251667456" behindDoc="0" locked="0" layoutInCell="1" allowOverlap="1" wp14:anchorId="343D880F" wp14:editId="37996A83">
                <wp:simplePos x="0" y="0"/>
                <wp:positionH relativeFrom="margin">
                  <wp:posOffset>0</wp:posOffset>
                </wp:positionH>
                <wp:positionV relativeFrom="margin">
                  <wp:align>top</wp:align>
                </wp:positionV>
                <wp:extent cx="5943600" cy="594360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5943600" cy="5943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45C77" id="Rectangle 103" o:spid="_x0000_s1026" style="position:absolute;margin-left:0;margin-top:0;width:468pt;height:468pt;z-index:2516674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smkwIAAIkFAAAOAAAAZHJzL2Uyb0RvYy54bWysVFFv2yAQfp+0/4B4X+2kabdadaqoVadJ&#10;VVe1nfpMMcRImGNA4mS/fgfYTtRVe5jmB8xxd9/dfRx3ebXrNNkK5xWYms5OSkqE4dAos67pj+fb&#10;T18o8YGZhmkwoqZ74enV8uOHy95WYg4t6EY4giDGV72taRuCrYrC81Z0zJ+AFQaVElzHAopuXTSO&#10;9Yje6WJeludFD66xDrjwHk9vspIuE76UgofvUnoRiK4p5hbS6tL6GtdiecmqtWO2VXxIg/1DFh1T&#10;BoNOUDcsMLJx6g+oTnEHHmQ44dAVIKXiItWA1czKN9U8tcyKVAuS4+1Ek/9/sPx+++CIavDuylNK&#10;DOvwkh6RNmbWWpB4iBT11ldo+WQf3CB53MZ6d9J18Y+VkF2idT/RKnaBcDw8u1icnpfIPkfdKCBO&#10;cXC3zoevAjoSNzV1mECik23vfMimo0mMZuBWaY3nrNImrh60auJZEmLziGvtyJbhtYfdLNaA0Y6s&#10;UIqeRaws15J2Ya9FRn0UEmnB7OcpkdSQB0zGuTBhllUta0QOdVbiNwYbs0ihtUHAiCwxyQl7ABgt&#10;M8iInXMe7KOrSP08OZd/Syw7Tx4pMpgwOXfKgHsPQGNVQ+RsP5KUqYksvUKzx6ZxkF+Tt/xW4bXd&#10;MR8emMPng1eNIyF8x0Vq6GsKw46SFtyv986jPXY1ainp8TnW1P/cMCco0d8M9vvFbLGI7zcJi7PP&#10;cxTcseb1WGM23TXg1c9w+FiettE+6HErHXQvODlWMSqqmOEYu6Y8uFG4DnlM4OzhYrVKZvhmLQt3&#10;5snyCB5ZjW35vHthzg69G7Dt72F8uqx608LZNnoaWG0CSJX6+8DrwDe+99Q4w2yKA+VYTlaHCbr8&#10;DQAA//8DAFBLAwQUAAYACAAAACEAGjKPuNoAAAAFAQAADwAAAGRycy9kb3ducmV2LnhtbEyPQUvD&#10;QBCF74L/YRnBS2k3VSg2ZlNEUXoQoVUP3ibZNRubnQ3ZaRv/vaMIehnm8YY33ytWY+jUwQ2pjWRg&#10;PstAOaqjbakx8PJ8P70ClRjJYhfJGfh0CVbl6UmBuY1H2rjDlhslIZRyNOCZ+1zrVHsXMM1i70i8&#10;9zgEZJFDo+2ARwkPnb7IsoUO2JJ88Ni7W+/q3XYfDLytR24+5g/8uMPJ62Ttq/rprjLm/Gy8uQbF&#10;buS/Y/jGF3QohamKe7JJdQakCP9M8ZaXC5HV76LLQv+nL78AAAD//wMAUEsBAi0AFAAGAAgAAAAh&#10;ALaDOJL+AAAA4QEAABMAAAAAAAAAAAAAAAAAAAAAAFtDb250ZW50X1R5cGVzXS54bWxQSwECLQAU&#10;AAYACAAAACEAOP0h/9YAAACUAQAACwAAAAAAAAAAAAAAAAAvAQAAX3JlbHMvLnJlbHNQSwECLQAU&#10;AAYACAAAACEABQM7JpMCAACJBQAADgAAAAAAAAAAAAAAAAAuAgAAZHJzL2Uyb0RvYy54bWxQSwEC&#10;LQAUAAYACAAAACEAGjKPuNoAAAAFAQAADwAAAAAAAAAAAAAAAADtBAAAZHJzL2Rvd25yZXYueG1s&#10;UEsFBgAAAAAEAAQA8wAAAPQFAAAAAA==&#10;" filled="f" strokecolor="black [3213]" strokeweight="1pt">
                <w10:wrap anchorx="margin" anchory="margin"/>
              </v:rect>
            </w:pict>
          </mc:Fallback>
        </mc:AlternateContent>
      </w:r>
      <w:r>
        <w:rPr>
          <w:b/>
        </w:rPr>
        <w:t xml:space="preserve">Table E – Time Weighting Factors </w:t>
      </w:r>
    </w:p>
    <w:p w:rsidR="008C26EB" w:rsidRPr="00414EFE" w:rsidRDefault="008C26EB" w:rsidP="008C26EB">
      <w:pPr>
        <w:spacing w:after="0"/>
        <w:jc w:val="center"/>
        <w:rPr>
          <w:b/>
        </w:rPr>
      </w:pPr>
      <w:r>
        <w:rPr>
          <w:b/>
        </w:rPr>
        <w:t>Express Lanes Segment (Segment 5)</w:t>
      </w:r>
    </w:p>
    <w:tbl>
      <w:tblPr>
        <w:tblStyle w:val="TableGrid1"/>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736"/>
        <w:gridCol w:w="4320"/>
      </w:tblGrid>
      <w:tr w:rsidR="008C26EB" w:rsidTr="009536E0">
        <w:trPr>
          <w:trHeight w:val="432"/>
          <w:jc w:val="center"/>
        </w:trPr>
        <w:tc>
          <w:tcPr>
            <w:tcW w:w="0" w:type="auto"/>
            <w:tcBorders>
              <w:top w:val="single" w:sz="18" w:space="0" w:color="auto"/>
              <w:bottom w:val="double" w:sz="4" w:space="0" w:color="auto"/>
            </w:tcBorders>
            <w:vAlign w:val="center"/>
          </w:tcPr>
          <w:p w:rsidR="008C26EB" w:rsidRDefault="008C26EB" w:rsidP="009536E0">
            <w:pPr>
              <w:pStyle w:val="TableHeading"/>
            </w:pPr>
            <w:r>
              <w:t>Category Hours</w:t>
            </w:r>
          </w:p>
        </w:tc>
        <w:tc>
          <w:tcPr>
            <w:tcW w:w="0" w:type="auto"/>
            <w:tcBorders>
              <w:top w:val="single" w:sz="18" w:space="0" w:color="auto"/>
              <w:bottom w:val="double" w:sz="4" w:space="0" w:color="auto"/>
            </w:tcBorders>
            <w:vAlign w:val="center"/>
          </w:tcPr>
          <w:p w:rsidR="008C26EB" w:rsidRDefault="008C26EB" w:rsidP="009536E0">
            <w:pPr>
              <w:pStyle w:val="TableHeading"/>
            </w:pPr>
            <w:r>
              <w:t>TWF</w:t>
            </w:r>
          </w:p>
        </w:tc>
        <w:tc>
          <w:tcPr>
            <w:tcW w:w="4320" w:type="dxa"/>
            <w:tcBorders>
              <w:top w:val="single" w:sz="18" w:space="0" w:color="auto"/>
              <w:bottom w:val="double" w:sz="4" w:space="0" w:color="auto"/>
            </w:tcBorders>
            <w:vAlign w:val="center"/>
          </w:tcPr>
          <w:p w:rsidR="008C26EB" w:rsidRDefault="008C26EB" w:rsidP="009536E0">
            <w:pPr>
              <w:pStyle w:val="TableHeading"/>
            </w:pPr>
            <w:r>
              <w:t>Definition</w:t>
            </w:r>
          </w:p>
        </w:tc>
      </w:tr>
      <w:tr w:rsidR="008C26EB" w:rsidTr="009536E0">
        <w:trPr>
          <w:trHeight w:val="432"/>
          <w:jc w:val="center"/>
        </w:trPr>
        <w:tc>
          <w:tcPr>
            <w:tcW w:w="0" w:type="auto"/>
            <w:tcBorders>
              <w:top w:val="double" w:sz="4" w:space="0" w:color="auto"/>
            </w:tcBorders>
            <w:vAlign w:val="center"/>
          </w:tcPr>
          <w:p w:rsidR="008C26EB" w:rsidRDefault="008C26EB" w:rsidP="009536E0">
            <w:pPr>
              <w:pStyle w:val="tbldescription"/>
            </w:pPr>
            <w:r>
              <w:t>Peak Days</w:t>
            </w:r>
          </w:p>
        </w:tc>
        <w:tc>
          <w:tcPr>
            <w:tcW w:w="0" w:type="auto"/>
            <w:tcBorders>
              <w:top w:val="double" w:sz="4" w:space="0" w:color="auto"/>
            </w:tcBorders>
            <w:vAlign w:val="center"/>
          </w:tcPr>
          <w:p w:rsidR="008C26EB" w:rsidRDefault="008C26EB" w:rsidP="009536E0">
            <w:pPr>
              <w:pStyle w:val="tbldescription"/>
            </w:pPr>
          </w:p>
        </w:tc>
        <w:tc>
          <w:tcPr>
            <w:tcW w:w="4320" w:type="dxa"/>
            <w:tcBorders>
              <w:top w:val="double" w:sz="4" w:space="0" w:color="auto"/>
            </w:tcBorders>
            <w:vAlign w:val="center"/>
          </w:tcPr>
          <w:p w:rsidR="008C26EB" w:rsidRDefault="008C26EB" w:rsidP="009536E0">
            <w:pPr>
              <w:pStyle w:val="tbldescription"/>
              <w:jc w:val="right"/>
            </w:pPr>
            <w:r>
              <w:t>Monday through Friday</w:t>
            </w:r>
          </w:p>
        </w:tc>
      </w:tr>
      <w:tr w:rsidR="008C26EB" w:rsidTr="009536E0">
        <w:trPr>
          <w:trHeight w:val="432"/>
          <w:jc w:val="center"/>
        </w:trPr>
        <w:tc>
          <w:tcPr>
            <w:tcW w:w="0" w:type="auto"/>
            <w:vAlign w:val="center"/>
          </w:tcPr>
          <w:p w:rsidR="008C26EB" w:rsidRDefault="008C26EB" w:rsidP="009536E0">
            <w:pPr>
              <w:pStyle w:val="tbldescription"/>
            </w:pPr>
            <w:r>
              <w:t>High Priority Hours</w:t>
            </w:r>
          </w:p>
        </w:tc>
        <w:tc>
          <w:tcPr>
            <w:tcW w:w="0" w:type="auto"/>
            <w:vAlign w:val="center"/>
          </w:tcPr>
          <w:p w:rsidR="008C26EB" w:rsidRDefault="008C26EB" w:rsidP="009536E0">
            <w:pPr>
              <w:pStyle w:val="tbldescription"/>
              <w:jc w:val="right"/>
            </w:pPr>
            <w:r>
              <w:t>20.00</w:t>
            </w:r>
          </w:p>
        </w:tc>
        <w:tc>
          <w:tcPr>
            <w:tcW w:w="4320" w:type="dxa"/>
            <w:vAlign w:val="center"/>
          </w:tcPr>
          <w:p w:rsidR="008C26EB" w:rsidRDefault="008C26EB" w:rsidP="009536E0">
            <w:pPr>
              <w:pStyle w:val="tbldescription"/>
              <w:jc w:val="right"/>
            </w:pPr>
            <w:r>
              <w:t>06:00 – 09:00 and 16:00 – 19:00</w:t>
            </w:r>
          </w:p>
        </w:tc>
      </w:tr>
      <w:tr w:rsidR="008C26EB" w:rsidTr="009536E0">
        <w:trPr>
          <w:trHeight w:val="432"/>
          <w:jc w:val="center"/>
        </w:trPr>
        <w:tc>
          <w:tcPr>
            <w:tcW w:w="0" w:type="auto"/>
            <w:vAlign w:val="center"/>
          </w:tcPr>
          <w:p w:rsidR="008C26EB" w:rsidRDefault="008C26EB" w:rsidP="009536E0">
            <w:pPr>
              <w:pStyle w:val="tbldescription"/>
            </w:pPr>
            <w:r>
              <w:t>Mid Priority Hours</w:t>
            </w:r>
          </w:p>
        </w:tc>
        <w:tc>
          <w:tcPr>
            <w:tcW w:w="0" w:type="auto"/>
            <w:vAlign w:val="center"/>
          </w:tcPr>
          <w:p w:rsidR="008C26EB" w:rsidRDefault="008C26EB" w:rsidP="009536E0">
            <w:pPr>
              <w:pStyle w:val="tbldescription"/>
              <w:jc w:val="right"/>
            </w:pPr>
            <w:r>
              <w:t>6.00</w:t>
            </w:r>
          </w:p>
        </w:tc>
        <w:tc>
          <w:tcPr>
            <w:tcW w:w="4320" w:type="dxa"/>
            <w:vAlign w:val="center"/>
          </w:tcPr>
          <w:p w:rsidR="008C26EB" w:rsidRDefault="008C26EB" w:rsidP="009536E0">
            <w:pPr>
              <w:pStyle w:val="tbldescription"/>
              <w:jc w:val="right"/>
            </w:pPr>
            <w:r>
              <w:t>09:00 – 16:00 and 19:00 – 22:00</w:t>
            </w:r>
          </w:p>
        </w:tc>
      </w:tr>
      <w:tr w:rsidR="008C26EB" w:rsidTr="009536E0">
        <w:trPr>
          <w:trHeight w:val="432"/>
          <w:jc w:val="center"/>
        </w:trPr>
        <w:tc>
          <w:tcPr>
            <w:tcW w:w="0" w:type="auto"/>
            <w:vAlign w:val="center"/>
          </w:tcPr>
          <w:p w:rsidR="008C26EB" w:rsidRDefault="008C26EB" w:rsidP="009536E0">
            <w:pPr>
              <w:pStyle w:val="tbldescription"/>
            </w:pPr>
            <w:r>
              <w:t>Low Priority Hours</w:t>
            </w:r>
          </w:p>
        </w:tc>
        <w:tc>
          <w:tcPr>
            <w:tcW w:w="0" w:type="auto"/>
            <w:vAlign w:val="center"/>
          </w:tcPr>
          <w:p w:rsidR="008C26EB" w:rsidRDefault="008C26EB" w:rsidP="009536E0">
            <w:pPr>
              <w:pStyle w:val="tbldescription"/>
              <w:jc w:val="right"/>
            </w:pPr>
            <w:r>
              <w:t>1.00</w:t>
            </w:r>
          </w:p>
        </w:tc>
        <w:tc>
          <w:tcPr>
            <w:tcW w:w="4320" w:type="dxa"/>
            <w:vAlign w:val="center"/>
          </w:tcPr>
          <w:p w:rsidR="008C26EB" w:rsidRDefault="008C26EB" w:rsidP="009536E0">
            <w:pPr>
              <w:pStyle w:val="tbldescription"/>
              <w:jc w:val="right"/>
            </w:pPr>
            <w:r>
              <w:t>22:00 – 6:00</w:t>
            </w:r>
          </w:p>
        </w:tc>
      </w:tr>
      <w:tr w:rsidR="008C26EB" w:rsidTr="009536E0">
        <w:trPr>
          <w:trHeight w:val="432"/>
          <w:jc w:val="center"/>
        </w:trPr>
        <w:tc>
          <w:tcPr>
            <w:tcW w:w="0" w:type="auto"/>
            <w:vAlign w:val="center"/>
          </w:tcPr>
          <w:p w:rsidR="008C26EB" w:rsidRDefault="008C26EB" w:rsidP="009536E0">
            <w:pPr>
              <w:pStyle w:val="tbldescription"/>
            </w:pPr>
            <w:r>
              <w:t>Weekends</w:t>
            </w:r>
          </w:p>
        </w:tc>
        <w:tc>
          <w:tcPr>
            <w:tcW w:w="0" w:type="auto"/>
            <w:vAlign w:val="center"/>
          </w:tcPr>
          <w:p w:rsidR="008C26EB" w:rsidRDefault="008C26EB" w:rsidP="009536E0">
            <w:pPr>
              <w:pStyle w:val="tbldescription"/>
              <w:jc w:val="right"/>
            </w:pPr>
          </w:p>
        </w:tc>
        <w:tc>
          <w:tcPr>
            <w:tcW w:w="4320" w:type="dxa"/>
            <w:vAlign w:val="center"/>
          </w:tcPr>
          <w:p w:rsidR="008C26EB" w:rsidRDefault="008C26EB" w:rsidP="009536E0">
            <w:pPr>
              <w:pStyle w:val="tbldescription"/>
              <w:jc w:val="right"/>
            </w:pPr>
            <w:r>
              <w:t>Saturday through Sunday</w:t>
            </w:r>
          </w:p>
        </w:tc>
      </w:tr>
      <w:tr w:rsidR="008C26EB" w:rsidTr="009536E0">
        <w:trPr>
          <w:trHeight w:val="432"/>
          <w:jc w:val="center"/>
        </w:trPr>
        <w:tc>
          <w:tcPr>
            <w:tcW w:w="0" w:type="auto"/>
            <w:vAlign w:val="center"/>
          </w:tcPr>
          <w:p w:rsidR="008C26EB" w:rsidRDefault="008C26EB" w:rsidP="009536E0">
            <w:pPr>
              <w:pStyle w:val="tbldescription"/>
            </w:pPr>
            <w:r>
              <w:t>High Priority Hours</w:t>
            </w:r>
          </w:p>
        </w:tc>
        <w:tc>
          <w:tcPr>
            <w:tcW w:w="0" w:type="auto"/>
            <w:vAlign w:val="center"/>
          </w:tcPr>
          <w:p w:rsidR="008C26EB" w:rsidRDefault="008C26EB" w:rsidP="009536E0">
            <w:pPr>
              <w:pStyle w:val="tbldescription"/>
              <w:jc w:val="right"/>
            </w:pPr>
          </w:p>
        </w:tc>
        <w:tc>
          <w:tcPr>
            <w:tcW w:w="4320" w:type="dxa"/>
            <w:vAlign w:val="center"/>
          </w:tcPr>
          <w:p w:rsidR="008C26EB" w:rsidRDefault="008C26EB" w:rsidP="009536E0">
            <w:pPr>
              <w:pStyle w:val="tbldescription"/>
              <w:jc w:val="right"/>
            </w:pPr>
            <w:r>
              <w:t>None</w:t>
            </w:r>
          </w:p>
        </w:tc>
      </w:tr>
      <w:tr w:rsidR="008C26EB" w:rsidTr="009536E0">
        <w:trPr>
          <w:trHeight w:val="432"/>
          <w:jc w:val="center"/>
        </w:trPr>
        <w:tc>
          <w:tcPr>
            <w:tcW w:w="0" w:type="auto"/>
            <w:vAlign w:val="center"/>
          </w:tcPr>
          <w:p w:rsidR="008C26EB" w:rsidRDefault="008C26EB" w:rsidP="009536E0">
            <w:pPr>
              <w:pStyle w:val="tbldescription"/>
            </w:pPr>
            <w:r>
              <w:t>Mid Priority Hours</w:t>
            </w:r>
          </w:p>
        </w:tc>
        <w:tc>
          <w:tcPr>
            <w:tcW w:w="0" w:type="auto"/>
            <w:vAlign w:val="center"/>
          </w:tcPr>
          <w:p w:rsidR="008C26EB" w:rsidRDefault="008C26EB" w:rsidP="009536E0">
            <w:pPr>
              <w:pStyle w:val="tbldescription"/>
              <w:jc w:val="right"/>
            </w:pPr>
            <w:r>
              <w:t>6.00</w:t>
            </w:r>
          </w:p>
        </w:tc>
        <w:tc>
          <w:tcPr>
            <w:tcW w:w="4320" w:type="dxa"/>
            <w:vAlign w:val="center"/>
          </w:tcPr>
          <w:p w:rsidR="008C26EB" w:rsidRDefault="008C26EB" w:rsidP="009536E0">
            <w:pPr>
              <w:pStyle w:val="tbldescription"/>
              <w:jc w:val="right"/>
            </w:pPr>
            <w:r>
              <w:t>06:00 – 23:00</w:t>
            </w:r>
          </w:p>
        </w:tc>
      </w:tr>
      <w:tr w:rsidR="008C26EB" w:rsidTr="009536E0">
        <w:trPr>
          <w:trHeight w:val="432"/>
          <w:jc w:val="center"/>
        </w:trPr>
        <w:tc>
          <w:tcPr>
            <w:tcW w:w="0" w:type="auto"/>
            <w:vAlign w:val="center"/>
          </w:tcPr>
          <w:p w:rsidR="008C26EB" w:rsidRDefault="008C26EB" w:rsidP="009536E0">
            <w:pPr>
              <w:pStyle w:val="tbldescription"/>
            </w:pPr>
            <w:r>
              <w:t>Low Priority Hours</w:t>
            </w:r>
          </w:p>
        </w:tc>
        <w:tc>
          <w:tcPr>
            <w:tcW w:w="0" w:type="auto"/>
            <w:vAlign w:val="center"/>
          </w:tcPr>
          <w:p w:rsidR="008C26EB" w:rsidRDefault="008C26EB" w:rsidP="009536E0">
            <w:pPr>
              <w:pStyle w:val="tbldescription"/>
              <w:jc w:val="right"/>
            </w:pPr>
            <w:r>
              <w:t>1.00</w:t>
            </w:r>
          </w:p>
        </w:tc>
        <w:tc>
          <w:tcPr>
            <w:tcW w:w="4320" w:type="dxa"/>
            <w:vAlign w:val="center"/>
          </w:tcPr>
          <w:p w:rsidR="008C26EB" w:rsidRDefault="008C26EB" w:rsidP="009536E0">
            <w:pPr>
              <w:pStyle w:val="tbldescription"/>
              <w:jc w:val="right"/>
            </w:pPr>
            <w:r>
              <w:t>23:00 – 06:00</w:t>
            </w:r>
          </w:p>
        </w:tc>
      </w:tr>
    </w:tbl>
    <w:p w:rsidR="008C26EB" w:rsidRDefault="008C26EB" w:rsidP="008C26EB">
      <w:pPr>
        <w:spacing w:after="0"/>
      </w:pPr>
    </w:p>
    <w:p w:rsidR="008C26EB" w:rsidRDefault="008C26EB" w:rsidP="008C26EB">
      <w:pPr>
        <w:spacing w:after="0"/>
        <w:jc w:val="center"/>
        <w:rPr>
          <w:b/>
        </w:rPr>
      </w:pPr>
      <w:r>
        <w:rPr>
          <w:b/>
        </w:rPr>
        <w:t>Table F – O&amp;M Violation Adjustments</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243"/>
      </w:tblGrid>
      <w:tr w:rsidR="008C26EB" w:rsidTr="009536E0">
        <w:trPr>
          <w:trHeight w:val="576"/>
          <w:jc w:val="center"/>
        </w:trPr>
        <w:tc>
          <w:tcPr>
            <w:tcW w:w="0" w:type="auto"/>
            <w:tcBorders>
              <w:top w:val="single" w:sz="18" w:space="0" w:color="auto"/>
              <w:bottom w:val="double" w:sz="4" w:space="0" w:color="auto"/>
            </w:tcBorders>
            <w:vAlign w:val="center"/>
          </w:tcPr>
          <w:p w:rsidR="008C26EB" w:rsidRDefault="008C26EB" w:rsidP="009536E0">
            <w:pPr>
              <w:pStyle w:val="TableHeading"/>
            </w:pPr>
            <w:r>
              <w:t>O&amp;M Violation Classifications</w:t>
            </w:r>
          </w:p>
        </w:tc>
        <w:tc>
          <w:tcPr>
            <w:tcW w:w="0" w:type="auto"/>
            <w:tcBorders>
              <w:top w:val="single" w:sz="18" w:space="0" w:color="auto"/>
              <w:bottom w:val="double" w:sz="4" w:space="0" w:color="auto"/>
            </w:tcBorders>
            <w:vAlign w:val="center"/>
          </w:tcPr>
          <w:p w:rsidR="008C26EB" w:rsidRDefault="008C26EB" w:rsidP="009536E0">
            <w:pPr>
              <w:pStyle w:val="TableHeading"/>
            </w:pPr>
            <w:r>
              <w:t>O&amp;M Violation Adjustment</w:t>
            </w:r>
          </w:p>
        </w:tc>
      </w:tr>
      <w:tr w:rsidR="008C26EB" w:rsidTr="009536E0">
        <w:trPr>
          <w:trHeight w:val="576"/>
          <w:jc w:val="center"/>
        </w:trPr>
        <w:tc>
          <w:tcPr>
            <w:tcW w:w="0" w:type="auto"/>
            <w:tcBorders>
              <w:top w:val="double" w:sz="4" w:space="0" w:color="auto"/>
            </w:tcBorders>
            <w:vAlign w:val="center"/>
          </w:tcPr>
          <w:p w:rsidR="008C26EB" w:rsidRPr="0018698D" w:rsidRDefault="008C26EB" w:rsidP="009536E0">
            <w:pPr>
              <w:pStyle w:val="tbldescription"/>
              <w:jc w:val="center"/>
            </w:pPr>
            <w:r>
              <w:t>A</w:t>
            </w:r>
          </w:p>
        </w:tc>
        <w:tc>
          <w:tcPr>
            <w:tcW w:w="0" w:type="auto"/>
            <w:tcBorders>
              <w:top w:val="double" w:sz="4" w:space="0" w:color="auto"/>
            </w:tcBorders>
            <w:vAlign w:val="center"/>
          </w:tcPr>
          <w:p w:rsidR="008C26EB" w:rsidRPr="0018698D" w:rsidRDefault="008C26EB" w:rsidP="009536E0">
            <w:pPr>
              <w:pStyle w:val="tbldescription"/>
              <w:jc w:val="center"/>
              <w:rPr>
                <w:b/>
              </w:rPr>
            </w:pPr>
            <w:proofErr w:type="spellStart"/>
            <w:r>
              <w:rPr>
                <w:b/>
              </w:rPr>
              <w:t>MAP</w:t>
            </w:r>
            <w:r>
              <w:rPr>
                <w:b/>
                <w:vertAlign w:val="subscript"/>
              </w:rPr>
              <w:t>y</w:t>
            </w:r>
            <w:proofErr w:type="spellEnd"/>
            <w:r>
              <w:rPr>
                <w:b/>
                <w:vertAlign w:val="subscript"/>
              </w:rPr>
              <w:t xml:space="preserve"> </w:t>
            </w:r>
            <w:r>
              <w:rPr>
                <w:b/>
              </w:rPr>
              <w:t xml:space="preserve"> / (40,000)</w:t>
            </w:r>
          </w:p>
        </w:tc>
      </w:tr>
      <w:tr w:rsidR="008C26EB" w:rsidTr="009536E0">
        <w:trPr>
          <w:trHeight w:val="576"/>
          <w:jc w:val="center"/>
        </w:trPr>
        <w:tc>
          <w:tcPr>
            <w:tcW w:w="0" w:type="auto"/>
            <w:vAlign w:val="center"/>
          </w:tcPr>
          <w:p w:rsidR="008C26EB" w:rsidRPr="0018698D" w:rsidRDefault="008C26EB" w:rsidP="009536E0">
            <w:pPr>
              <w:pStyle w:val="tbldescription"/>
              <w:jc w:val="center"/>
            </w:pPr>
            <w:r>
              <w:t>B</w:t>
            </w:r>
          </w:p>
        </w:tc>
        <w:tc>
          <w:tcPr>
            <w:tcW w:w="0" w:type="auto"/>
            <w:vAlign w:val="center"/>
          </w:tcPr>
          <w:p w:rsidR="008C26EB" w:rsidRDefault="008C26EB" w:rsidP="009536E0">
            <w:pPr>
              <w:pStyle w:val="tbldescription"/>
              <w:jc w:val="center"/>
              <w:rPr>
                <w:b/>
              </w:rPr>
            </w:pPr>
            <w:proofErr w:type="spellStart"/>
            <w:r>
              <w:rPr>
                <w:b/>
              </w:rPr>
              <w:t>MAP</w:t>
            </w:r>
            <w:r>
              <w:rPr>
                <w:b/>
                <w:vertAlign w:val="subscript"/>
              </w:rPr>
              <w:t>y</w:t>
            </w:r>
            <w:proofErr w:type="spellEnd"/>
            <w:r>
              <w:rPr>
                <w:b/>
              </w:rPr>
              <w:t xml:space="preserve">  / (8,000)</w:t>
            </w:r>
          </w:p>
        </w:tc>
      </w:tr>
      <w:tr w:rsidR="008C26EB" w:rsidTr="009536E0">
        <w:trPr>
          <w:trHeight w:val="576"/>
          <w:jc w:val="center"/>
        </w:trPr>
        <w:tc>
          <w:tcPr>
            <w:tcW w:w="0" w:type="auto"/>
            <w:vAlign w:val="center"/>
          </w:tcPr>
          <w:p w:rsidR="008C26EB" w:rsidRDefault="008C26EB" w:rsidP="009536E0">
            <w:pPr>
              <w:pStyle w:val="tbldescription"/>
              <w:jc w:val="center"/>
              <w:rPr>
                <w:b/>
              </w:rPr>
            </w:pPr>
            <w:r>
              <w:rPr>
                <w:b/>
              </w:rPr>
              <w:t>C</w:t>
            </w:r>
          </w:p>
        </w:tc>
        <w:tc>
          <w:tcPr>
            <w:tcW w:w="0" w:type="auto"/>
            <w:vAlign w:val="center"/>
          </w:tcPr>
          <w:p w:rsidR="008C26EB" w:rsidRDefault="008C26EB" w:rsidP="009536E0">
            <w:pPr>
              <w:pStyle w:val="tbldescription"/>
              <w:jc w:val="center"/>
              <w:rPr>
                <w:b/>
              </w:rPr>
            </w:pPr>
            <w:proofErr w:type="spellStart"/>
            <w:r>
              <w:rPr>
                <w:b/>
              </w:rPr>
              <w:t>MAP</w:t>
            </w:r>
            <w:r>
              <w:rPr>
                <w:b/>
                <w:vertAlign w:val="subscript"/>
              </w:rPr>
              <w:t>y</w:t>
            </w:r>
            <w:proofErr w:type="spellEnd"/>
            <w:r>
              <w:rPr>
                <w:b/>
              </w:rPr>
              <w:t xml:space="preserve">  / (4,000)</w:t>
            </w:r>
          </w:p>
        </w:tc>
      </w:tr>
      <w:tr w:rsidR="008C26EB" w:rsidTr="009536E0">
        <w:trPr>
          <w:trHeight w:val="576"/>
          <w:jc w:val="center"/>
        </w:trPr>
        <w:tc>
          <w:tcPr>
            <w:tcW w:w="0" w:type="auto"/>
            <w:vAlign w:val="center"/>
          </w:tcPr>
          <w:p w:rsidR="008C26EB" w:rsidRDefault="008C26EB" w:rsidP="009536E0">
            <w:pPr>
              <w:pStyle w:val="tbldescription"/>
              <w:jc w:val="center"/>
              <w:rPr>
                <w:b/>
              </w:rPr>
            </w:pPr>
            <w:r>
              <w:rPr>
                <w:b/>
              </w:rPr>
              <w:t>D</w:t>
            </w:r>
          </w:p>
        </w:tc>
        <w:tc>
          <w:tcPr>
            <w:tcW w:w="0" w:type="auto"/>
            <w:vAlign w:val="center"/>
          </w:tcPr>
          <w:p w:rsidR="008C26EB" w:rsidRDefault="008C26EB" w:rsidP="009536E0">
            <w:pPr>
              <w:pStyle w:val="tbldescription"/>
              <w:jc w:val="center"/>
              <w:rPr>
                <w:b/>
              </w:rPr>
            </w:pPr>
            <w:proofErr w:type="spellStart"/>
            <w:r>
              <w:rPr>
                <w:b/>
              </w:rPr>
              <w:t>MAP</w:t>
            </w:r>
            <w:r>
              <w:rPr>
                <w:b/>
                <w:vertAlign w:val="subscript"/>
              </w:rPr>
              <w:t>y</w:t>
            </w:r>
            <w:proofErr w:type="spellEnd"/>
            <w:r>
              <w:rPr>
                <w:b/>
              </w:rPr>
              <w:t xml:space="preserve">  / (1,600)</w:t>
            </w:r>
          </w:p>
        </w:tc>
      </w:tr>
      <w:tr w:rsidR="008C26EB" w:rsidTr="009536E0">
        <w:trPr>
          <w:trHeight w:val="576"/>
          <w:jc w:val="center"/>
        </w:trPr>
        <w:tc>
          <w:tcPr>
            <w:tcW w:w="0" w:type="auto"/>
            <w:tcBorders>
              <w:bottom w:val="single" w:sz="18" w:space="0" w:color="auto"/>
            </w:tcBorders>
            <w:vAlign w:val="center"/>
          </w:tcPr>
          <w:p w:rsidR="008C26EB" w:rsidRDefault="008C26EB" w:rsidP="009536E0">
            <w:pPr>
              <w:pStyle w:val="tbldescription"/>
              <w:jc w:val="center"/>
              <w:rPr>
                <w:b/>
              </w:rPr>
            </w:pPr>
            <w:r>
              <w:rPr>
                <w:b/>
              </w:rPr>
              <w:t>E</w:t>
            </w:r>
          </w:p>
        </w:tc>
        <w:tc>
          <w:tcPr>
            <w:tcW w:w="0" w:type="auto"/>
            <w:tcBorders>
              <w:bottom w:val="single" w:sz="18" w:space="0" w:color="auto"/>
            </w:tcBorders>
            <w:vAlign w:val="center"/>
          </w:tcPr>
          <w:p w:rsidR="008C26EB" w:rsidRDefault="008C26EB" w:rsidP="009536E0">
            <w:pPr>
              <w:pStyle w:val="tbldescription"/>
              <w:jc w:val="center"/>
              <w:rPr>
                <w:b/>
              </w:rPr>
            </w:pPr>
            <w:proofErr w:type="spellStart"/>
            <w:r>
              <w:rPr>
                <w:b/>
              </w:rPr>
              <w:t>MAP</w:t>
            </w:r>
            <w:r>
              <w:rPr>
                <w:b/>
                <w:vertAlign w:val="subscript"/>
              </w:rPr>
              <w:t>y</w:t>
            </w:r>
            <w:proofErr w:type="spellEnd"/>
            <w:r>
              <w:rPr>
                <w:b/>
              </w:rPr>
              <w:t xml:space="preserve">  / (360)</w:t>
            </w:r>
          </w:p>
        </w:tc>
      </w:tr>
    </w:tbl>
    <w:p w:rsidR="008C26EB" w:rsidRPr="004E236E" w:rsidRDefault="008C26EB" w:rsidP="008C26EB"/>
    <w:p w:rsidR="008C26EB" w:rsidRDefault="008C26EB" w:rsidP="008C26EB">
      <w:pPr>
        <w:pStyle w:val="PDMHeading2"/>
      </w:pPr>
      <w:r>
        <w:t>References</w:t>
      </w:r>
    </w:p>
    <w:p w:rsidR="008C26EB" w:rsidRDefault="008C26EB" w:rsidP="008C26EB">
      <w:pPr>
        <w:pStyle w:val="TRBReferences"/>
        <w:numPr>
          <w:ilvl w:val="0"/>
          <w:numId w:val="11"/>
        </w:numPr>
      </w:pPr>
      <w:proofErr w:type="gramStart"/>
      <w:r>
        <w:t>Federal Highway Administration (FHWA).</w:t>
      </w:r>
      <w:proofErr w:type="gramEnd"/>
      <w:r>
        <w:t xml:space="preserve"> P3 Defined – Design Build Operate Maintain. </w:t>
      </w:r>
      <w:hyperlink r:id="rId7" w:history="1">
        <w:r w:rsidRPr="00211A9F">
          <w:rPr>
            <w:rStyle w:val="Hyperlink"/>
          </w:rPr>
          <w:t>http://www.fhwa.dot.gov/ipd/p3/defined/design_build_operate.htm</w:t>
        </w:r>
      </w:hyperlink>
      <w:r>
        <w:t xml:space="preserve"> [Accessed: April 1, 2014].</w:t>
      </w:r>
    </w:p>
    <w:p w:rsidR="008C26EB" w:rsidRDefault="008C26EB" w:rsidP="008C26EB">
      <w:pPr>
        <w:pStyle w:val="TRBReferences"/>
      </w:pPr>
      <w:proofErr w:type="spellStart"/>
      <w:r>
        <w:t>Pakkala</w:t>
      </w:r>
      <w:proofErr w:type="spellEnd"/>
      <w:r>
        <w:t xml:space="preserve">, P. Innovative Project Delivery Methods for Infrastructure. </w:t>
      </w:r>
      <w:proofErr w:type="gramStart"/>
      <w:r>
        <w:t>Finnish Road Enterprise, Helsinki, Finland, 2002.</w:t>
      </w:r>
      <w:proofErr w:type="gramEnd"/>
    </w:p>
    <w:p w:rsidR="008C26EB" w:rsidRDefault="008C26EB" w:rsidP="008C26EB">
      <w:pPr>
        <w:pStyle w:val="TRBReferences"/>
      </w:pPr>
      <w:proofErr w:type="gramStart"/>
      <w:r>
        <w:t>Touran, Ali, Douglas D. Gransberg, Keith R. Molenaar, Kamran Ghavamifar, D.J. Mason, and Lee A. Fithian.</w:t>
      </w:r>
      <w:proofErr w:type="gramEnd"/>
      <w:r>
        <w:t xml:space="preserve"> </w:t>
      </w:r>
      <w:r w:rsidRPr="0022665A">
        <w:rPr>
          <w:i/>
        </w:rPr>
        <w:t>TCRP Report 131: A Guidebook for the Evaluation of Project Delivery Methods</w:t>
      </w:r>
      <w:r>
        <w:t xml:space="preserve">. </w:t>
      </w:r>
      <w:proofErr w:type="gramStart"/>
      <w:r>
        <w:t>Transportation  Cooperative</w:t>
      </w:r>
      <w:proofErr w:type="gramEnd"/>
      <w:r>
        <w:t xml:space="preserve"> Research Program, Transportation Research Board, Washington, DC, 2009.</w:t>
      </w:r>
    </w:p>
    <w:p w:rsidR="008C26EB" w:rsidRDefault="008C26EB" w:rsidP="008C26EB">
      <w:pPr>
        <w:pStyle w:val="TRBReferences"/>
      </w:pPr>
      <w:proofErr w:type="gramStart"/>
      <w:r>
        <w:lastRenderedPageBreak/>
        <w:t>Michigan Department of Transportation (MDOT).</w:t>
      </w:r>
      <w:proofErr w:type="gramEnd"/>
      <w:r>
        <w:t xml:space="preserve"> </w:t>
      </w:r>
      <w:proofErr w:type="gramStart"/>
      <w:r w:rsidRPr="00395F5B">
        <w:rPr>
          <w:i/>
        </w:rPr>
        <w:t>Innovative Construction Contracting</w:t>
      </w:r>
      <w:r>
        <w:t>.</w:t>
      </w:r>
      <w:proofErr w:type="gramEnd"/>
      <w:r>
        <w:t xml:space="preserve"> Apr. 2013.</w:t>
      </w:r>
    </w:p>
    <w:p w:rsidR="008C26EB" w:rsidRDefault="008C26EB" w:rsidP="008C26EB">
      <w:pPr>
        <w:pStyle w:val="TRBReferences"/>
      </w:pPr>
      <w:proofErr w:type="gramStart"/>
      <w:r>
        <w:t>Federal Highway Administration (FHWA).</w:t>
      </w:r>
      <w:proofErr w:type="gramEnd"/>
      <w:r>
        <w:t xml:space="preserve"> </w:t>
      </w:r>
      <w:proofErr w:type="gramStart"/>
      <w:r>
        <w:t>Public-Private Partnership Concessions for Highway Projects: A Primer.</w:t>
      </w:r>
      <w:proofErr w:type="gramEnd"/>
      <w:r>
        <w:t xml:space="preserve"> </w:t>
      </w:r>
      <w:hyperlink r:id="rId8" w:history="1">
        <w:r w:rsidRPr="00211A9F">
          <w:rPr>
            <w:rStyle w:val="Hyperlink"/>
          </w:rPr>
          <w:t>http://www.fhwa.dot.gov/ipd/pdfs/p3/p3_concession_primer.pdf</w:t>
        </w:r>
      </w:hyperlink>
      <w:r>
        <w:t xml:space="preserve"> [Accessed: November 11, 2013].</w:t>
      </w:r>
    </w:p>
    <w:p w:rsidR="008C26EB" w:rsidRDefault="008C26EB" w:rsidP="008C26EB">
      <w:pPr>
        <w:pStyle w:val="TRBReferences"/>
      </w:pPr>
      <w:proofErr w:type="gramStart"/>
      <w:r>
        <w:t>Federal Highway Administration (FHWA).</w:t>
      </w:r>
      <w:proofErr w:type="gramEnd"/>
      <w:r>
        <w:t xml:space="preserve"> P3 Concessions in the U.S. </w:t>
      </w:r>
      <w:hyperlink r:id="rId9" w:history="1">
        <w:r w:rsidRPr="00211A9F">
          <w:rPr>
            <w:rStyle w:val="Hyperlink"/>
          </w:rPr>
          <w:t>http://www.fhwa.dot.gov/ipd/p3/resources/p3_concessions_map_newbuild.htm</w:t>
        </w:r>
      </w:hyperlink>
      <w:r>
        <w:t xml:space="preserve"> [Accessed: November 11, 2013].</w:t>
      </w:r>
    </w:p>
    <w:p w:rsidR="008C26EB" w:rsidRDefault="008C26EB" w:rsidP="008C26EB">
      <w:pPr>
        <w:pStyle w:val="TRBReferences"/>
      </w:pPr>
      <w:proofErr w:type="gramStart"/>
      <w:r>
        <w:t>Minnesota Department of Transportation (MnDOT).</w:t>
      </w:r>
      <w:proofErr w:type="gramEnd"/>
      <w:r>
        <w:t xml:space="preserve"> </w:t>
      </w:r>
      <w:r w:rsidRPr="005460D1">
        <w:rPr>
          <w:i/>
        </w:rPr>
        <w:t>Florida I-595 Express Lanes: Case Study on a DBFOM with Availability Payments.</w:t>
      </w:r>
      <w:r>
        <w:t xml:space="preserve"> </w:t>
      </w:r>
      <w:proofErr w:type="gramStart"/>
      <w:r>
        <w:t>Florida Department of Transportation.</w:t>
      </w:r>
      <w:proofErr w:type="gramEnd"/>
      <w:r>
        <w:t xml:space="preserve"> </w:t>
      </w:r>
      <w:hyperlink r:id="rId10" w:history="1">
        <w:r w:rsidRPr="00211A9F">
          <w:rPr>
            <w:rStyle w:val="Hyperlink"/>
          </w:rPr>
          <w:t>http://www.dot.state.mn.us/funding/innovative/pdf/casestudies/I-595ExpressLanes.doc</w:t>
        </w:r>
      </w:hyperlink>
      <w:r>
        <w:t xml:space="preserve"> [Accessed November 11, 2013].</w:t>
      </w:r>
    </w:p>
    <w:p w:rsidR="008C26EB" w:rsidRDefault="008C26EB" w:rsidP="008C26EB">
      <w:pPr>
        <w:pStyle w:val="TRBReferences"/>
      </w:pPr>
      <w:proofErr w:type="gramStart"/>
      <w:r>
        <w:t>Florida Department of Transportation (FDOT).</w:t>
      </w:r>
      <w:proofErr w:type="gramEnd"/>
      <w:r>
        <w:t xml:space="preserve"> </w:t>
      </w:r>
      <w:proofErr w:type="gramStart"/>
      <w:r>
        <w:t xml:space="preserve">I-595 Corridor Roadway Improvements: Value for Money Analysis </w:t>
      </w:r>
      <w:hyperlink r:id="rId11" w:history="1">
        <w:r w:rsidRPr="00211A9F">
          <w:rPr>
            <w:rStyle w:val="Hyperlink"/>
          </w:rPr>
          <w:t>http://www.transportation-finance.org/pdf/funding_financing/financing/i595_vfm_0609.pdf</w:t>
        </w:r>
      </w:hyperlink>
      <w:r>
        <w:t xml:space="preserve"> [Accessed November 11, 2013].</w:t>
      </w:r>
      <w:proofErr w:type="gramEnd"/>
    </w:p>
    <w:p w:rsidR="008C26EB" w:rsidRPr="0086724A" w:rsidRDefault="008C26EB" w:rsidP="008C26EB">
      <w:pPr>
        <w:pStyle w:val="TRBReferences"/>
      </w:pPr>
      <w:proofErr w:type="gramStart"/>
      <w:r>
        <w:t>Florida Department of Transportation (FDOT).</w:t>
      </w:r>
      <w:proofErr w:type="gramEnd"/>
      <w:r>
        <w:t xml:space="preserve"> </w:t>
      </w:r>
      <w:proofErr w:type="gramStart"/>
      <w:r>
        <w:t>I-595 Concession Agreement and Appendices.</w:t>
      </w:r>
      <w:proofErr w:type="gramEnd"/>
      <w:r>
        <w:t xml:space="preserve"> </w:t>
      </w:r>
      <w:hyperlink r:id="rId12" w:history="1">
        <w:r w:rsidRPr="00211A9F">
          <w:rPr>
            <w:rStyle w:val="Hyperlink"/>
          </w:rPr>
          <w:t>http://www.i-595.com/about-Documents.php</w:t>
        </w:r>
      </w:hyperlink>
      <w:r>
        <w:t xml:space="preserve"> [Accessed November 11, 2013].</w:t>
      </w:r>
    </w:p>
    <w:p w:rsidR="008C26EB" w:rsidRDefault="008C26EB" w:rsidP="008C26EB">
      <w:pPr>
        <w:sectPr w:rsidR="008C26EB" w:rsidSect="00AD326F">
          <w:headerReference w:type="default" r:id="rId13"/>
          <w:footerReference w:type="default" r:id="rId14"/>
          <w:pgSz w:w="12240" w:h="15840"/>
          <w:pgMar w:top="1440" w:right="1440" w:bottom="1440" w:left="1440" w:header="720" w:footer="720" w:gutter="0"/>
          <w:cols w:space="720"/>
          <w:docGrid w:linePitch="360"/>
        </w:sectPr>
      </w:pPr>
    </w:p>
    <w:p w:rsidR="008C26EB" w:rsidRPr="008C26EB" w:rsidRDefault="008C26EB" w:rsidP="008C26EB">
      <w:pPr>
        <w:spacing w:line="259" w:lineRule="auto"/>
        <w:rPr>
          <w:rFonts w:eastAsiaTheme="majorEastAsia"/>
          <w:b/>
          <w:sz w:val="28"/>
          <w:szCs w:val="26"/>
        </w:rPr>
        <w:sectPr w:rsidR="008C26EB" w:rsidRPr="008C26EB" w:rsidSect="008D609A">
          <w:type w:val="continuous"/>
          <w:pgSz w:w="12240" w:h="15840"/>
          <w:pgMar w:top="1440" w:right="1440" w:bottom="1440" w:left="1440" w:header="288" w:footer="432" w:gutter="0"/>
          <w:pgNumType w:chapStyle="6"/>
          <w:cols w:space="720"/>
          <w:docGrid w:linePitch="360"/>
        </w:sectPr>
      </w:pPr>
      <w:r>
        <w:lastRenderedPageBreak/>
        <w:br w:type="page"/>
      </w:r>
    </w:p>
    <w:p w:rsidR="002144EB" w:rsidRDefault="002144EB"/>
    <w:sectPr w:rsidR="002144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6C3" w:rsidRDefault="005206C3" w:rsidP="008C26EB">
      <w:pPr>
        <w:spacing w:after="0" w:line="240" w:lineRule="auto"/>
      </w:pPr>
      <w:r>
        <w:separator/>
      </w:r>
    </w:p>
  </w:endnote>
  <w:endnote w:type="continuationSeparator" w:id="0">
    <w:p w:rsidR="005206C3" w:rsidRDefault="005206C3" w:rsidP="008C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510286"/>
      <w:docPartObj>
        <w:docPartGallery w:val="Page Numbers (Bottom of Page)"/>
        <w:docPartUnique/>
      </w:docPartObj>
    </w:sdtPr>
    <w:sdtEndPr>
      <w:rPr>
        <w:noProof/>
      </w:rPr>
    </w:sdtEndPr>
    <w:sdtContent>
      <w:p w:rsidR="003449CB" w:rsidRPr="00465607" w:rsidRDefault="005206C3" w:rsidP="00EE63C8">
        <w:pPr>
          <w:pStyle w:val="Footer"/>
          <w:tabs>
            <w:tab w:val="left" w:pos="7470"/>
            <w:tab w:val="right" w:pos="9450"/>
          </w:tabs>
          <w:ind w:right="-90"/>
        </w:pPr>
        <w:r>
          <w:t>Appendix A</w:t>
        </w:r>
        <w:r>
          <w:tab/>
        </w:r>
        <w:r>
          <w:tab/>
        </w:r>
        <w:r>
          <w:tab/>
        </w:r>
        <w:r>
          <w:fldChar w:fldCharType="begin"/>
        </w:r>
        <w:r>
          <w:instrText xml:space="preserve"> PAGE   \* MERGEFORMAT </w:instrText>
        </w:r>
        <w:r>
          <w:fldChar w:fldCharType="separate"/>
        </w:r>
        <w:r w:rsidR="00F42747">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6C3" w:rsidRDefault="005206C3" w:rsidP="008C26EB">
      <w:pPr>
        <w:spacing w:after="0" w:line="240" w:lineRule="auto"/>
      </w:pPr>
      <w:r>
        <w:separator/>
      </w:r>
    </w:p>
  </w:footnote>
  <w:footnote w:type="continuationSeparator" w:id="0">
    <w:p w:rsidR="005206C3" w:rsidRDefault="005206C3" w:rsidP="008C2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EB" w:rsidRPr="009A73FA" w:rsidRDefault="008C26EB" w:rsidP="008C26EB">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6A226CA7" wp14:editId="45AF213A">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D9AC3B"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8C26EB" w:rsidRPr="009A73FA" w:rsidRDefault="008C26EB" w:rsidP="008C26EB">
    <w:pPr>
      <w:pStyle w:val="Header"/>
      <w:jc w:val="right"/>
      <w:rPr>
        <w:i/>
        <w:sz w:val="20"/>
      </w:rPr>
    </w:pPr>
    <w:r w:rsidRPr="009A73FA">
      <w:rPr>
        <w:i/>
        <w:sz w:val="20"/>
      </w:rPr>
      <w:t>TPF-5(260) Project No. 1</w:t>
    </w:r>
  </w:p>
  <w:p w:rsidR="008C26EB" w:rsidRDefault="008C2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1095"/>
    <w:multiLevelType w:val="multilevel"/>
    <w:tmpl w:val="C45CB9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D647A"/>
    <w:multiLevelType w:val="multilevel"/>
    <w:tmpl w:val="121032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8EC0E18"/>
    <w:multiLevelType w:val="hybridMultilevel"/>
    <w:tmpl w:val="C23E50D2"/>
    <w:lvl w:ilvl="0" w:tplc="00BEC4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13353E"/>
    <w:multiLevelType w:val="hybridMultilevel"/>
    <w:tmpl w:val="C23E50D2"/>
    <w:lvl w:ilvl="0" w:tplc="00BEC4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9404E3"/>
    <w:multiLevelType w:val="hybridMultilevel"/>
    <w:tmpl w:val="B1F0EC48"/>
    <w:lvl w:ilvl="0" w:tplc="00BEC4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4D73F3"/>
    <w:multiLevelType w:val="hybridMultilevel"/>
    <w:tmpl w:val="70EA6346"/>
    <w:lvl w:ilvl="0" w:tplc="12DAA01A">
      <w:start w:val="6"/>
      <w:numFmt w:val="decimal"/>
      <w:pStyle w:val="PDMHeading1"/>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E91921"/>
    <w:multiLevelType w:val="multilevel"/>
    <w:tmpl w:val="FDAA16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E160C2F"/>
    <w:multiLevelType w:val="hybridMultilevel"/>
    <w:tmpl w:val="BC7445D0"/>
    <w:lvl w:ilvl="0" w:tplc="8AE29EB8">
      <w:start w:val="1"/>
      <w:numFmt w:val="bullet"/>
      <w:pStyle w:val="TableBullets"/>
      <w:lvlText w:val=""/>
      <w:lvlJc w:val="left"/>
      <w:pPr>
        <w:tabs>
          <w:tab w:val="num" w:pos="720"/>
        </w:tabs>
        <w:ind w:left="720" w:hanging="360"/>
      </w:pPr>
      <w:rPr>
        <w:rFonts w:ascii="Wingdings" w:hAnsi="Wingdings"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4B0EC2"/>
    <w:multiLevelType w:val="hybridMultilevel"/>
    <w:tmpl w:val="94EED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DC76A0"/>
    <w:multiLevelType w:val="hybridMultilevel"/>
    <w:tmpl w:val="60E6B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995D93"/>
    <w:multiLevelType w:val="multilevel"/>
    <w:tmpl w:val="FF88CA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7E846BF"/>
    <w:multiLevelType w:val="hybridMultilevel"/>
    <w:tmpl w:val="B366F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9"/>
  </w:num>
  <w:num w:numId="4">
    <w:abstractNumId w:val="12"/>
  </w:num>
  <w:num w:numId="5">
    <w:abstractNumId w:val="7"/>
  </w:num>
  <w:num w:numId="6">
    <w:abstractNumId w:val="5"/>
  </w:num>
  <w:num w:numId="7">
    <w:abstractNumId w:val="3"/>
  </w:num>
  <w:num w:numId="8">
    <w:abstractNumId w:val="0"/>
  </w:num>
  <w:num w:numId="9">
    <w:abstractNumId w:val="2"/>
  </w:num>
  <w:num w:numId="10">
    <w:abstractNumId w:val="4"/>
  </w:num>
  <w:num w:numId="11">
    <w:abstractNumId w:val="9"/>
    <w:lvlOverride w:ilvl="0">
      <w:startOverride w:val="1"/>
    </w:lvlOverride>
  </w:num>
  <w:num w:numId="12">
    <w:abstractNumId w:val="6"/>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EB"/>
    <w:rsid w:val="002144EB"/>
    <w:rsid w:val="00215426"/>
    <w:rsid w:val="00307BEA"/>
    <w:rsid w:val="003975A3"/>
    <w:rsid w:val="005206C3"/>
    <w:rsid w:val="005F1CCD"/>
    <w:rsid w:val="00633904"/>
    <w:rsid w:val="00651EC9"/>
    <w:rsid w:val="008413C1"/>
    <w:rsid w:val="008C26EB"/>
    <w:rsid w:val="009A0EDF"/>
    <w:rsid w:val="009F5F1B"/>
    <w:rsid w:val="00A15241"/>
    <w:rsid w:val="00C10C21"/>
    <w:rsid w:val="00C47AD2"/>
    <w:rsid w:val="00C50952"/>
    <w:rsid w:val="00E36B7F"/>
    <w:rsid w:val="00F42747"/>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56468-40FD-40E3-9409-36889F7F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EB"/>
    <w:pPr>
      <w:spacing w:line="36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link w:val="TableHeadingChar"/>
    <w:qFormat/>
    <w:rsid w:val="008C26EB"/>
    <w:pPr>
      <w:spacing w:after="0" w:line="240" w:lineRule="auto"/>
      <w:jc w:val="center"/>
    </w:pPr>
    <w:rPr>
      <w:rFonts w:ascii="Arial" w:eastAsia="Calibri" w:hAnsi="Arial" w:cs="Arial"/>
      <w:b/>
      <w:sz w:val="24"/>
      <w:szCs w:val="20"/>
    </w:rPr>
  </w:style>
  <w:style w:type="character" w:customStyle="1" w:styleId="TableHeadingChar">
    <w:name w:val="Table Heading Char"/>
    <w:basedOn w:val="DefaultParagraphFont"/>
    <w:link w:val="TableHeading"/>
    <w:rsid w:val="008C26EB"/>
    <w:rPr>
      <w:rFonts w:ascii="Arial" w:eastAsia="Calibri" w:hAnsi="Arial" w:cs="Arial"/>
      <w:b/>
      <w:sz w:val="24"/>
      <w:szCs w:val="20"/>
    </w:rPr>
  </w:style>
  <w:style w:type="table" w:customStyle="1" w:styleId="TableGrid1">
    <w:name w:val="Table Grid1"/>
    <w:basedOn w:val="TableNormal"/>
    <w:next w:val="TableGrid"/>
    <w:rsid w:val="008C26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link w:val="BulletsChar"/>
    <w:qFormat/>
    <w:rsid w:val="008C26EB"/>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8C26EB"/>
    <w:rPr>
      <w:rFonts w:ascii="Times New Roman" w:eastAsia="Calibri" w:hAnsi="Times New Roman" w:cs="Times New Roman"/>
      <w:szCs w:val="20"/>
    </w:rPr>
  </w:style>
  <w:style w:type="paragraph" w:styleId="Footer">
    <w:name w:val="footer"/>
    <w:basedOn w:val="Normal"/>
    <w:link w:val="FooterChar"/>
    <w:uiPriority w:val="99"/>
    <w:unhideWhenUsed/>
    <w:rsid w:val="008C2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EB"/>
    <w:rPr>
      <w:rFonts w:ascii="Times New Roman" w:hAnsi="Times New Roman" w:cs="Times New Roman"/>
    </w:rPr>
  </w:style>
  <w:style w:type="paragraph" w:customStyle="1" w:styleId="tbldescription">
    <w:name w:val="tbl description"/>
    <w:basedOn w:val="Normal"/>
    <w:link w:val="tbldescriptionChar"/>
    <w:qFormat/>
    <w:rsid w:val="008C26EB"/>
    <w:pPr>
      <w:spacing w:after="0" w:line="240" w:lineRule="auto"/>
    </w:pPr>
    <w:rPr>
      <w:rFonts w:ascii="Arial" w:eastAsia="Calibri" w:hAnsi="Arial" w:cs="Arial"/>
      <w:sz w:val="20"/>
      <w:szCs w:val="20"/>
    </w:rPr>
  </w:style>
  <w:style w:type="character" w:customStyle="1" w:styleId="tbldescriptionChar">
    <w:name w:val="tbl description Char"/>
    <w:basedOn w:val="DefaultParagraphFont"/>
    <w:link w:val="tbldescription"/>
    <w:rsid w:val="008C26EB"/>
    <w:rPr>
      <w:rFonts w:ascii="Arial" w:eastAsia="Calibri" w:hAnsi="Arial" w:cs="Arial"/>
      <w:sz w:val="20"/>
      <w:szCs w:val="20"/>
    </w:rPr>
  </w:style>
  <w:style w:type="paragraph" w:customStyle="1" w:styleId="TableBullets">
    <w:name w:val="Table Bullets"/>
    <w:basedOn w:val="Normal"/>
    <w:link w:val="TableBulletsChar"/>
    <w:qFormat/>
    <w:rsid w:val="008C26EB"/>
    <w:pPr>
      <w:numPr>
        <w:numId w:val="2"/>
      </w:numPr>
      <w:spacing w:after="0" w:line="240" w:lineRule="auto"/>
    </w:pPr>
    <w:rPr>
      <w:rFonts w:eastAsia="Calibri"/>
      <w:sz w:val="20"/>
      <w:szCs w:val="20"/>
    </w:rPr>
  </w:style>
  <w:style w:type="character" w:customStyle="1" w:styleId="TableBulletsChar">
    <w:name w:val="Table Bullets Char"/>
    <w:basedOn w:val="DefaultParagraphFont"/>
    <w:link w:val="TableBullets"/>
    <w:rsid w:val="008C26EB"/>
    <w:rPr>
      <w:rFonts w:ascii="Times New Roman" w:eastAsia="Calibri" w:hAnsi="Times New Roman" w:cs="Times New Roman"/>
      <w:sz w:val="20"/>
      <w:szCs w:val="20"/>
    </w:rPr>
  </w:style>
  <w:style w:type="paragraph" w:styleId="ListParagraph">
    <w:name w:val="List Paragraph"/>
    <w:basedOn w:val="Normal"/>
    <w:uiPriority w:val="34"/>
    <w:qFormat/>
    <w:rsid w:val="008C26EB"/>
    <w:pPr>
      <w:spacing w:after="200" w:line="276" w:lineRule="auto"/>
      <w:ind w:left="720"/>
      <w:contextualSpacing/>
      <w:jc w:val="both"/>
    </w:pPr>
    <w:rPr>
      <w:rFonts w:ascii="Book Antiqua" w:hAnsi="Book Antiqua" w:cstheme="minorBidi"/>
    </w:rPr>
  </w:style>
  <w:style w:type="character" w:styleId="Hyperlink">
    <w:name w:val="Hyperlink"/>
    <w:basedOn w:val="DefaultParagraphFont"/>
    <w:uiPriority w:val="99"/>
    <w:unhideWhenUsed/>
    <w:rsid w:val="008C26EB"/>
    <w:rPr>
      <w:color w:val="0563C1" w:themeColor="hyperlink"/>
      <w:u w:val="single"/>
    </w:rPr>
  </w:style>
  <w:style w:type="table" w:styleId="GridTable4">
    <w:name w:val="Grid Table 4"/>
    <w:basedOn w:val="TableNormal"/>
    <w:uiPriority w:val="49"/>
    <w:rsid w:val="008C26E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RBReferences">
    <w:name w:val="TRB References"/>
    <w:basedOn w:val="Normal"/>
    <w:link w:val="TRBReferencesChar"/>
    <w:qFormat/>
    <w:rsid w:val="008C26EB"/>
    <w:pPr>
      <w:numPr>
        <w:numId w:val="3"/>
      </w:numPr>
      <w:spacing w:after="240" w:line="276" w:lineRule="auto"/>
    </w:pPr>
  </w:style>
  <w:style w:type="character" w:customStyle="1" w:styleId="TRBReferencesChar">
    <w:name w:val="TRB References Char"/>
    <w:basedOn w:val="DefaultParagraphFont"/>
    <w:link w:val="TRBReferences"/>
    <w:rsid w:val="008C26EB"/>
    <w:rPr>
      <w:rFonts w:ascii="Times New Roman" w:hAnsi="Times New Roman" w:cs="Times New Roman"/>
    </w:rPr>
  </w:style>
  <w:style w:type="paragraph" w:customStyle="1" w:styleId="PDMHeading1">
    <w:name w:val="PDM Heading 1"/>
    <w:basedOn w:val="Normal"/>
    <w:link w:val="PDMHeading1Char"/>
    <w:qFormat/>
    <w:rsid w:val="008C26EB"/>
    <w:pPr>
      <w:keepNext/>
      <w:keepLines/>
      <w:numPr>
        <w:numId w:val="12"/>
      </w:numPr>
      <w:spacing w:before="40" w:after="0"/>
      <w:outlineLvl w:val="1"/>
    </w:pPr>
    <w:rPr>
      <w:rFonts w:eastAsiaTheme="majorEastAsia"/>
      <w:b/>
      <w:sz w:val="28"/>
      <w:szCs w:val="26"/>
    </w:rPr>
  </w:style>
  <w:style w:type="character" w:customStyle="1" w:styleId="PDMHeading1Char">
    <w:name w:val="PDM Heading 1 Char"/>
    <w:basedOn w:val="DefaultParagraphFont"/>
    <w:link w:val="PDMHeading1"/>
    <w:rsid w:val="008C26EB"/>
    <w:rPr>
      <w:rFonts w:ascii="Times New Roman" w:eastAsiaTheme="majorEastAsia" w:hAnsi="Times New Roman" w:cs="Times New Roman"/>
      <w:b/>
      <w:sz w:val="28"/>
      <w:szCs w:val="26"/>
    </w:rPr>
  </w:style>
  <w:style w:type="paragraph" w:customStyle="1" w:styleId="PDMHeading2">
    <w:name w:val="PDM Heading 2"/>
    <w:basedOn w:val="Normal"/>
    <w:link w:val="PDMHeading2Char"/>
    <w:qFormat/>
    <w:rsid w:val="008C26EB"/>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8C26EB"/>
    <w:rPr>
      <w:rFonts w:ascii="Times New Roman" w:eastAsiaTheme="majorEastAsia" w:hAnsi="Times New Roman" w:cs="Times New Roman"/>
      <w:b/>
      <w:i/>
      <w:sz w:val="24"/>
      <w:szCs w:val="24"/>
    </w:rPr>
  </w:style>
  <w:style w:type="table" w:styleId="TableGrid">
    <w:name w:val="Table Grid"/>
    <w:basedOn w:val="TableNormal"/>
    <w:uiPriority w:val="39"/>
    <w:rsid w:val="008C2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C2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EB"/>
    <w:rPr>
      <w:rFonts w:ascii="Times New Roman" w:hAnsi="Times New Roman" w:cs="Times New Roman"/>
    </w:rPr>
  </w:style>
  <w:style w:type="paragraph" w:styleId="BalloonText">
    <w:name w:val="Balloon Text"/>
    <w:basedOn w:val="Normal"/>
    <w:link w:val="BalloonTextChar"/>
    <w:uiPriority w:val="99"/>
    <w:semiHidden/>
    <w:unhideWhenUsed/>
    <w:rsid w:val="00F42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ipd/pdfs/p3/p3_concession_prime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hwa.dot.gov/ipd/p3/defined/design_build_operate.htm" TargetMode="External"/><Relationship Id="rId12" Type="http://schemas.openxmlformats.org/officeDocument/2006/relationships/hyperlink" Target="http://www.i-595.com/about-Document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portation-finance.org/pdf/funding_financing/financing/i595_vfm_060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t.state.mn.us/funding/innovative/pdf/casestudies/I-595ExpressLanes.doc" TargetMode="External"/><Relationship Id="rId4" Type="http://schemas.openxmlformats.org/officeDocument/2006/relationships/webSettings" Target="webSettings.xml"/><Relationship Id="rId9" Type="http://schemas.openxmlformats.org/officeDocument/2006/relationships/hyperlink" Target="http://www.fhwa.dot.gov/ipd/p3/resources/p3_concessions_map_newbuild.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8583</Words>
  <Characters>48927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2</cp:revision>
  <cp:lastPrinted>2014-07-24T18:11:00Z</cp:lastPrinted>
  <dcterms:created xsi:type="dcterms:W3CDTF">2014-07-24T18:10:00Z</dcterms:created>
  <dcterms:modified xsi:type="dcterms:W3CDTF">2014-07-24T18:12:00Z</dcterms:modified>
</cp:coreProperties>
</file>