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39BE" w:rsidRDefault="00FD39BE" w:rsidP="00FD39BE">
      <w:bookmarkStart w:id="0" w:name="_GoBack"/>
      <w:bookmarkEnd w:id="0"/>
      <w:r>
        <w:t>Gender, Culture and Theory                                            Professor Janet Jacobs</w:t>
      </w:r>
    </w:p>
    <w:p w:rsidR="00FD39BE" w:rsidRDefault="00FD39BE" w:rsidP="00FD39BE">
      <w:proofErr w:type="gramStart"/>
      <w:r>
        <w:t>Sociology  6016</w:t>
      </w:r>
      <w:proofErr w:type="gramEnd"/>
      <w:r>
        <w:t xml:space="preserve">                                                               Office Hours  T 1:30-2:30 and by </w:t>
      </w:r>
    </w:p>
    <w:p w:rsidR="00FD39BE" w:rsidRDefault="00FD39BE" w:rsidP="00FD39BE">
      <w:r>
        <w:t>T 11:00-1:30                                                                        appointment</w:t>
      </w:r>
    </w:p>
    <w:p w:rsidR="00FD39BE" w:rsidRDefault="00FD39BE" w:rsidP="00FD39BE">
      <w:r>
        <w:t xml:space="preserve">                                                                                          Women Studies Cottage 200                                                                      </w:t>
      </w:r>
    </w:p>
    <w:p w:rsidR="00FD39BE" w:rsidRDefault="00FD39BE" w:rsidP="00FD39BE">
      <w:pPr>
        <w:rPr>
          <w:b/>
        </w:rPr>
      </w:pPr>
    </w:p>
    <w:p w:rsidR="00FD39BE" w:rsidRDefault="00FD39BE" w:rsidP="00FD39BE">
      <w:pPr>
        <w:rPr>
          <w:b/>
          <w:u w:val="single"/>
        </w:rPr>
      </w:pPr>
      <w:r>
        <w:rPr>
          <w:b/>
          <w:u w:val="single"/>
        </w:rPr>
        <w:t>Course Description</w:t>
      </w:r>
    </w:p>
    <w:p w:rsidR="00FD39BE" w:rsidRDefault="00FD39BE" w:rsidP="00FD39BE">
      <w:r>
        <w:t>This course is designed to explore three related</w:t>
      </w:r>
      <w:r w:rsidR="00B276B7">
        <w:t xml:space="preserve"> areas </w:t>
      </w:r>
      <w:r w:rsidR="004015AB">
        <w:t>of gender scholarship</w:t>
      </w:r>
      <w:r w:rsidR="00B276B7">
        <w:t xml:space="preserve"> and research</w:t>
      </w:r>
      <w:r>
        <w:t xml:space="preserve">: the </w:t>
      </w:r>
      <w:r w:rsidR="00B276B7">
        <w:t>development of feminist theories</w:t>
      </w:r>
      <w:r>
        <w:t>; women and the structures of patriarchy</w:t>
      </w:r>
      <w:r w:rsidR="00B276B7">
        <w:t>;</w:t>
      </w:r>
      <w:r>
        <w:t xml:space="preserve"> and the gendered nature of individual and cultural trauma. Drawing on a range of theoretical perspectives and empirical studie</w:t>
      </w:r>
      <w:r w:rsidR="00B276B7">
        <w:t>s, the class will examine feminist ideologies and</w:t>
      </w:r>
      <w:r w:rsidR="00E157CD">
        <w:t xml:space="preserve"> the scholarship on gender</w:t>
      </w:r>
      <w:r w:rsidR="000E12B0">
        <w:t xml:space="preserve"> that pertains to reproduction, personality development, and the engendering of individual and mass trauma.</w:t>
      </w:r>
      <w:r w:rsidR="00B276B7">
        <w:t xml:space="preserve">  </w:t>
      </w:r>
      <w:r>
        <w:t>Throughout the semester, we will consider how various and diverse theoretic</w:t>
      </w:r>
      <w:r w:rsidR="00B276B7">
        <w:t>al frameworks explain the gendered</w:t>
      </w:r>
      <w:r>
        <w:t xml:space="preserve"> r</w:t>
      </w:r>
      <w:r w:rsidR="00B276B7">
        <w:t>elations of power,</w:t>
      </w:r>
      <w:r w:rsidR="004015AB">
        <w:t xml:space="preserve"> with an emphasis on</w:t>
      </w:r>
      <w:r w:rsidR="00B276B7">
        <w:t xml:space="preserve"> </w:t>
      </w:r>
      <w:r w:rsidR="004015AB">
        <w:t xml:space="preserve">historical and contemporary </w:t>
      </w:r>
      <w:r w:rsidR="00B276B7">
        <w:t>control over women’</w:t>
      </w:r>
      <w:r w:rsidR="004015AB">
        <w:t>s bodies, psychological development, and the persistence of violence against women and girls across diverse categories of race, class, religion and ethnicity.</w:t>
      </w:r>
      <w:r w:rsidR="00B276B7">
        <w:t xml:space="preserve"> </w:t>
      </w:r>
      <w:r w:rsidR="00391F45">
        <w:t xml:space="preserve">The readings will draw from </w:t>
      </w:r>
      <w:r w:rsidR="00D65F58">
        <w:t>interdis</w:t>
      </w:r>
      <w:r w:rsidR="00834C97">
        <w:t>ciplinary frameworks, including</w:t>
      </w:r>
      <w:r w:rsidR="00D65F58">
        <w:t xml:space="preserve"> history, sociology, psychology, cultural and legal studies. </w:t>
      </w:r>
    </w:p>
    <w:p w:rsidR="00FD39BE" w:rsidRDefault="00FD39BE" w:rsidP="00FD39BE">
      <w:pPr>
        <w:rPr>
          <w:u w:val="single"/>
        </w:rPr>
      </w:pPr>
    </w:p>
    <w:p w:rsidR="00FD39BE" w:rsidRDefault="00FD39BE" w:rsidP="00FD39BE">
      <w:pPr>
        <w:rPr>
          <w:b/>
        </w:rPr>
      </w:pPr>
      <w:r>
        <w:rPr>
          <w:b/>
          <w:u w:val="single"/>
        </w:rPr>
        <w:t>Required Texts</w:t>
      </w:r>
    </w:p>
    <w:p w:rsidR="004015AB" w:rsidRPr="004015AB" w:rsidRDefault="004A202D" w:rsidP="00FD39BE">
      <w:pPr>
        <w:rPr>
          <w:i/>
        </w:rPr>
      </w:pPr>
      <w:r>
        <w:t>Alexander et. al.</w:t>
      </w:r>
      <w:r w:rsidR="004015AB">
        <w:t xml:space="preserve"> </w:t>
      </w:r>
      <w:r w:rsidR="004015AB">
        <w:rPr>
          <w:i/>
        </w:rPr>
        <w:t>Cultural Trauma and Collective Identity</w:t>
      </w:r>
    </w:p>
    <w:p w:rsidR="00FD39BE" w:rsidRDefault="00FD39BE" w:rsidP="00FD39BE">
      <w:r>
        <w:t xml:space="preserve">De Beauvoir, </w:t>
      </w:r>
      <w:r w:rsidRPr="004015AB">
        <w:rPr>
          <w:i/>
        </w:rPr>
        <w:t xml:space="preserve">The Second Sex </w:t>
      </w:r>
    </w:p>
    <w:p w:rsidR="004015AB" w:rsidRDefault="004015AB" w:rsidP="00FD39BE">
      <w:pPr>
        <w:rPr>
          <w:i/>
        </w:rPr>
      </w:pPr>
      <w:r>
        <w:t xml:space="preserve">Gordan, </w:t>
      </w:r>
      <w:r>
        <w:rPr>
          <w:i/>
        </w:rPr>
        <w:t xml:space="preserve">The Moral Property of Women </w:t>
      </w:r>
    </w:p>
    <w:p w:rsidR="004015AB" w:rsidRDefault="004015AB" w:rsidP="00FD39BE">
      <w:pPr>
        <w:rPr>
          <w:i/>
        </w:rPr>
      </w:pPr>
      <w:r>
        <w:t xml:space="preserve">Herman, </w:t>
      </w:r>
      <w:r w:rsidRPr="00D65F58">
        <w:rPr>
          <w:i/>
        </w:rPr>
        <w:t>Father-Daughter Incest</w:t>
      </w:r>
    </w:p>
    <w:p w:rsidR="00D65F58" w:rsidRPr="00D65F58" w:rsidRDefault="00D65F58" w:rsidP="00FD39BE">
      <w:r>
        <w:t xml:space="preserve">Jacobs, </w:t>
      </w:r>
      <w:r w:rsidRPr="00D65F58">
        <w:rPr>
          <w:i/>
        </w:rPr>
        <w:t>The Holocaust Across Generations</w:t>
      </w:r>
    </w:p>
    <w:p w:rsidR="00D65F58" w:rsidRDefault="00D65F58" w:rsidP="00FD39BE">
      <w:pPr>
        <w:rPr>
          <w:i/>
        </w:rPr>
      </w:pPr>
      <w:proofErr w:type="spellStart"/>
      <w:r>
        <w:t>Rittner</w:t>
      </w:r>
      <w:proofErr w:type="spellEnd"/>
      <w:r>
        <w:t xml:space="preserve"> and Roth,</w:t>
      </w:r>
      <w:r w:rsidR="00772397">
        <w:t xml:space="preserve"> </w:t>
      </w:r>
      <w:r w:rsidR="00772397" w:rsidRPr="00772397">
        <w:rPr>
          <w:i/>
        </w:rPr>
        <w:t>Women and the Holocaust</w:t>
      </w:r>
      <w:r w:rsidR="00772397">
        <w:t xml:space="preserve">: </w:t>
      </w:r>
      <w:r>
        <w:t xml:space="preserve"> </w:t>
      </w:r>
      <w:r w:rsidR="00772397">
        <w:rPr>
          <w:i/>
        </w:rPr>
        <w:t>Different Voices</w:t>
      </w:r>
    </w:p>
    <w:p w:rsidR="00772397" w:rsidRPr="00772397" w:rsidRDefault="00772397" w:rsidP="00FD39BE">
      <w:pPr>
        <w:rPr>
          <w:i/>
        </w:rPr>
      </w:pPr>
      <w:r>
        <w:t xml:space="preserve">Sanger, </w:t>
      </w:r>
      <w:r>
        <w:rPr>
          <w:i/>
        </w:rPr>
        <w:t>About Abortion</w:t>
      </w:r>
    </w:p>
    <w:p w:rsidR="00772397" w:rsidRDefault="00772397" w:rsidP="00FD39BE">
      <w:pPr>
        <w:rPr>
          <w:i/>
        </w:rPr>
      </w:pPr>
      <w:r>
        <w:t xml:space="preserve">Spiegelman, </w:t>
      </w:r>
      <w:r w:rsidR="00C425B1">
        <w:rPr>
          <w:i/>
        </w:rPr>
        <w:t>My</w:t>
      </w:r>
      <w:r>
        <w:rPr>
          <w:i/>
        </w:rPr>
        <w:t xml:space="preserve"> Father Bleeds History </w:t>
      </w:r>
    </w:p>
    <w:p w:rsidR="00772397" w:rsidRPr="00772397" w:rsidRDefault="00772397" w:rsidP="00FD39BE"/>
    <w:p w:rsidR="00FD39BE" w:rsidRDefault="00FD39BE" w:rsidP="00FD39BE">
      <w:r>
        <w:t>Reading assignments for the class are drawn from the texts as well as</w:t>
      </w:r>
      <w:r w:rsidR="00772397">
        <w:t xml:space="preserve"> from reserve readings that have been placed on D2L.</w:t>
      </w:r>
    </w:p>
    <w:p w:rsidR="00FD39BE" w:rsidRDefault="00FD39BE" w:rsidP="00FD39BE"/>
    <w:p w:rsidR="00FD39BE" w:rsidRDefault="00FD39BE" w:rsidP="00FD39BE">
      <w:pPr>
        <w:rPr>
          <w:b/>
          <w:u w:val="single"/>
        </w:rPr>
      </w:pPr>
      <w:r>
        <w:rPr>
          <w:b/>
          <w:u w:val="single"/>
        </w:rPr>
        <w:t xml:space="preserve">Schedule of Topics and Assigned </w:t>
      </w:r>
      <w:smartTag w:uri="urn:schemas-microsoft-com:office:smarttags" w:element="City">
        <w:smartTag w:uri="urn:schemas-microsoft-com:office:smarttags" w:element="place">
          <w:r>
            <w:rPr>
              <w:b/>
              <w:u w:val="single"/>
            </w:rPr>
            <w:t>Readings</w:t>
          </w:r>
        </w:smartTag>
      </w:smartTag>
    </w:p>
    <w:p w:rsidR="0027143A" w:rsidRPr="0027143A" w:rsidRDefault="00844209" w:rsidP="00FD39BE">
      <w:pPr>
        <w:rPr>
          <w:b/>
        </w:rPr>
      </w:pPr>
      <w:r>
        <w:rPr>
          <w:b/>
        </w:rPr>
        <w:t xml:space="preserve">Part I Feminist </w:t>
      </w:r>
      <w:r w:rsidR="0027143A">
        <w:rPr>
          <w:b/>
        </w:rPr>
        <w:t xml:space="preserve">Theories </w:t>
      </w:r>
    </w:p>
    <w:p w:rsidR="00FD39BE" w:rsidRPr="00931FB4" w:rsidRDefault="00FD39BE" w:rsidP="00FD39BE">
      <w:pPr>
        <w:pStyle w:val="ListParagraph"/>
        <w:numPr>
          <w:ilvl w:val="0"/>
          <w:numId w:val="2"/>
        </w:numPr>
        <w:rPr>
          <w:b/>
        </w:rPr>
      </w:pPr>
      <w:r w:rsidRPr="00931FB4">
        <w:rPr>
          <w:b/>
        </w:rPr>
        <w:t xml:space="preserve">Introduction:  An Overview of Feminist Theories: </w:t>
      </w:r>
      <w:r w:rsidR="00931FB4" w:rsidRPr="00931FB4">
        <w:rPr>
          <w:b/>
        </w:rPr>
        <w:t>The Origins of Patriarchy and</w:t>
      </w:r>
      <w:r w:rsidRPr="00931FB4">
        <w:rPr>
          <w:b/>
        </w:rPr>
        <w:t xml:space="preserve"> the Concept of</w:t>
      </w:r>
      <w:r w:rsidR="00931FB4">
        <w:rPr>
          <w:b/>
        </w:rPr>
        <w:t xml:space="preserve"> </w:t>
      </w:r>
      <w:r w:rsidRPr="00931FB4">
        <w:rPr>
          <w:b/>
        </w:rPr>
        <w:t xml:space="preserve">Otherness  </w:t>
      </w:r>
    </w:p>
    <w:p w:rsidR="00FD39BE" w:rsidRDefault="00FD39BE" w:rsidP="00FD39BE">
      <w:r>
        <w:t xml:space="preserve">     </w:t>
      </w:r>
      <w:r w:rsidR="00772397">
        <w:t>January 15</w:t>
      </w:r>
    </w:p>
    <w:p w:rsidR="00FD39BE" w:rsidRDefault="00FD39BE" w:rsidP="00FD39BE">
      <w:r>
        <w:t xml:space="preserve">     </w:t>
      </w:r>
      <w:r w:rsidR="00772397">
        <w:t>De Beauvoir</w:t>
      </w:r>
      <w:r>
        <w:t>, Introduction</w:t>
      </w:r>
      <w:r w:rsidR="00931FB4">
        <w:t>; Sacks</w:t>
      </w:r>
      <w:r w:rsidR="003C244D">
        <w:t>, “Engels Revisited”</w:t>
      </w:r>
    </w:p>
    <w:p w:rsidR="00FD39BE" w:rsidRDefault="00931FB4" w:rsidP="00FD39BE">
      <w:r>
        <w:t xml:space="preserve">      </w:t>
      </w:r>
      <w:r w:rsidR="0027143A">
        <w:t>2.</w:t>
      </w:r>
      <w:r w:rsidR="00FD39BE">
        <w:t xml:space="preserve">   </w:t>
      </w:r>
      <w:r w:rsidR="00FD39BE">
        <w:rPr>
          <w:b/>
        </w:rPr>
        <w:t>The Second Sex and the Origins of European Twentieth Century Feminisms</w:t>
      </w:r>
    </w:p>
    <w:p w:rsidR="00FD39BE" w:rsidRDefault="00FD39BE" w:rsidP="00FD39BE">
      <w:r>
        <w:t xml:space="preserve">      </w:t>
      </w:r>
      <w:r w:rsidR="00772397">
        <w:t>January 2</w:t>
      </w:r>
      <w:r w:rsidR="0027143A">
        <w:t>2</w:t>
      </w:r>
    </w:p>
    <w:p w:rsidR="00FD39BE" w:rsidRDefault="00FD39BE" w:rsidP="00FD39BE">
      <w:r>
        <w:t xml:space="preserve">     </w:t>
      </w:r>
      <w:r w:rsidR="00772397">
        <w:t xml:space="preserve"> De </w:t>
      </w:r>
      <w:proofErr w:type="gramStart"/>
      <w:r w:rsidR="00772397">
        <w:t>Beauvoi</w:t>
      </w:r>
      <w:r w:rsidR="00EC138B">
        <w:t>r,  Chaps.</w:t>
      </w:r>
      <w:proofErr w:type="gramEnd"/>
      <w:r w:rsidR="00EC138B">
        <w:t xml:space="preserve"> XII, XIII, XVI, XVII</w:t>
      </w:r>
      <w:r w:rsidR="0027143A">
        <w:t>, XVIII</w:t>
      </w:r>
    </w:p>
    <w:p w:rsidR="0027143A" w:rsidRPr="00E76BCA" w:rsidRDefault="00E76BCA" w:rsidP="00FD39BE">
      <w:pPr>
        <w:rPr>
          <w:b/>
        </w:rPr>
      </w:pPr>
      <w:r>
        <w:t xml:space="preserve"> </w:t>
      </w:r>
      <w:r w:rsidR="00D4061B">
        <w:t xml:space="preserve"> </w:t>
      </w:r>
      <w:r w:rsidR="00931FB4">
        <w:t xml:space="preserve">    </w:t>
      </w:r>
      <w:r>
        <w:t xml:space="preserve">3. </w:t>
      </w:r>
      <w:r w:rsidR="0027143A">
        <w:rPr>
          <w:b/>
        </w:rPr>
        <w:t xml:space="preserve"> </w:t>
      </w:r>
      <w:r>
        <w:rPr>
          <w:b/>
        </w:rPr>
        <w:t xml:space="preserve">The Evolution of </w:t>
      </w:r>
      <w:r w:rsidR="0027143A">
        <w:rPr>
          <w:b/>
        </w:rPr>
        <w:t xml:space="preserve">Feminist </w:t>
      </w:r>
      <w:r>
        <w:rPr>
          <w:b/>
        </w:rPr>
        <w:t>T</w:t>
      </w:r>
      <w:r w:rsidR="0027143A">
        <w:rPr>
          <w:b/>
        </w:rPr>
        <w:t>heories</w:t>
      </w:r>
      <w:r>
        <w:rPr>
          <w:b/>
        </w:rPr>
        <w:t xml:space="preserve">: 1960s-present </w:t>
      </w:r>
      <w:r w:rsidR="0027143A" w:rsidRPr="0027143A">
        <w:rPr>
          <w:b/>
        </w:rPr>
        <w:t xml:space="preserve"> </w:t>
      </w:r>
      <w:r w:rsidR="00FD39BE">
        <w:t xml:space="preserve">  </w:t>
      </w:r>
    </w:p>
    <w:p w:rsidR="00FD39BE" w:rsidRDefault="00FD39BE" w:rsidP="00FD39BE">
      <w:r>
        <w:t xml:space="preserve">     J</w:t>
      </w:r>
      <w:r w:rsidR="0027143A">
        <w:t>anuary 29</w:t>
      </w:r>
    </w:p>
    <w:p w:rsidR="003C244D" w:rsidRDefault="00731431" w:rsidP="00FD39BE">
      <w:r>
        <w:t xml:space="preserve">     </w:t>
      </w:r>
      <w:r w:rsidR="0027143A">
        <w:t>Firestone,</w:t>
      </w:r>
      <w:r w:rsidR="003C244D">
        <w:t xml:space="preserve"> “The Dialectic of Sex”; Radical </w:t>
      </w:r>
      <w:proofErr w:type="gramStart"/>
      <w:r w:rsidR="003C244D">
        <w:t>Lesbians,  “</w:t>
      </w:r>
      <w:proofErr w:type="gramEnd"/>
      <w:r w:rsidR="003C244D">
        <w:t xml:space="preserve">The Woman Identified Woman”; </w:t>
      </w:r>
    </w:p>
    <w:p w:rsidR="003C244D" w:rsidRDefault="003C244D" w:rsidP="00FD39BE">
      <w:r>
        <w:t xml:space="preserve">     Wittig “One is Not Born a Woman”;</w:t>
      </w:r>
      <w:r w:rsidR="0027143A">
        <w:t xml:space="preserve"> </w:t>
      </w:r>
      <w:r w:rsidR="00E76BCA">
        <w:t xml:space="preserve">The Combahee River Collective, </w:t>
      </w:r>
      <w:r w:rsidR="00F3298B">
        <w:t>“</w:t>
      </w:r>
      <w:r>
        <w:t xml:space="preserve">A Black Feminist </w:t>
      </w:r>
    </w:p>
    <w:p w:rsidR="00E76BCA" w:rsidRDefault="003C244D" w:rsidP="00FD39BE">
      <w:r>
        <w:t xml:space="preserve">     Statement”; </w:t>
      </w:r>
      <w:r w:rsidR="00F3298B">
        <w:t>hooks, “Feminist Theory in Practice”</w:t>
      </w:r>
      <w:r w:rsidR="00E722D4">
        <w:t xml:space="preserve"> (on reserve)</w:t>
      </w:r>
      <w:r w:rsidR="00F3298B">
        <w:t xml:space="preserve"> </w:t>
      </w:r>
    </w:p>
    <w:p w:rsidR="00E76BCA" w:rsidRDefault="00E76BCA" w:rsidP="00FD39BE"/>
    <w:p w:rsidR="00731431" w:rsidRDefault="00731431" w:rsidP="00FD39BE">
      <w:r>
        <w:lastRenderedPageBreak/>
        <w:t xml:space="preserve">   February 5</w:t>
      </w:r>
    </w:p>
    <w:p w:rsidR="00E722D4" w:rsidRDefault="00731431" w:rsidP="00731431">
      <w:r>
        <w:t xml:space="preserve">   </w:t>
      </w:r>
      <w:r w:rsidR="00F3298B">
        <w:t xml:space="preserve">Baca Zinn and Dill, “Theorizing Difference </w:t>
      </w:r>
      <w:proofErr w:type="gramStart"/>
      <w:r w:rsidR="00F3298B">
        <w:t>From</w:t>
      </w:r>
      <w:proofErr w:type="gramEnd"/>
      <w:r w:rsidR="00F3298B">
        <w:t xml:space="preserve"> Multiracial Feminism</w:t>
      </w:r>
      <w:r w:rsidR="00E722D4">
        <w:t>”</w:t>
      </w:r>
      <w:r w:rsidR="00F3298B">
        <w:t xml:space="preserve">; Crenshaw, </w:t>
      </w:r>
      <w:r w:rsidR="00E722D4">
        <w:t xml:space="preserve">   </w:t>
      </w:r>
    </w:p>
    <w:p w:rsidR="00E722D4" w:rsidRDefault="00E722D4" w:rsidP="00FD39BE">
      <w:r>
        <w:t xml:space="preserve">  </w:t>
      </w:r>
      <w:r w:rsidR="00F3298B">
        <w:t>“</w:t>
      </w:r>
      <w:r>
        <w:t>Mapping</w:t>
      </w:r>
      <w:r w:rsidR="00F3298B">
        <w:t xml:space="preserve"> the Margins”; Cho, Crensh</w:t>
      </w:r>
      <w:r w:rsidR="00582308">
        <w:t xml:space="preserve">aw, McCall, “Toward a </w:t>
      </w:r>
      <w:r w:rsidR="00F3298B">
        <w:t xml:space="preserve">Field of </w:t>
      </w:r>
    </w:p>
    <w:p w:rsidR="00E76BCA" w:rsidRDefault="00E722D4" w:rsidP="00FD39BE">
      <w:r>
        <w:t xml:space="preserve">    </w:t>
      </w:r>
      <w:r w:rsidR="00F3298B">
        <w:t xml:space="preserve">Intersectionality </w:t>
      </w:r>
      <w:proofErr w:type="gramStart"/>
      <w:r w:rsidR="00F3298B">
        <w:t xml:space="preserve">Studies”  </w:t>
      </w:r>
      <w:r>
        <w:t>(</w:t>
      </w:r>
      <w:proofErr w:type="gramEnd"/>
      <w:r>
        <w:t>on reserve)</w:t>
      </w:r>
    </w:p>
    <w:p w:rsidR="00391F45" w:rsidRDefault="00391F45" w:rsidP="00FD39BE"/>
    <w:p w:rsidR="00844209" w:rsidRDefault="00391F45" w:rsidP="00FD39BE">
      <w:pPr>
        <w:rPr>
          <w:b/>
        </w:rPr>
      </w:pPr>
      <w:r>
        <w:rPr>
          <w:b/>
        </w:rPr>
        <w:t xml:space="preserve">Part </w:t>
      </w:r>
      <w:proofErr w:type="gramStart"/>
      <w:r>
        <w:rPr>
          <w:b/>
        </w:rPr>
        <w:t>II  Women</w:t>
      </w:r>
      <w:proofErr w:type="gramEnd"/>
      <w:r>
        <w:rPr>
          <w:b/>
        </w:rPr>
        <w:t xml:space="preserve"> as Body</w:t>
      </w:r>
    </w:p>
    <w:p w:rsidR="00E76BCA" w:rsidRPr="00844209" w:rsidRDefault="00E76BCA" w:rsidP="00844209">
      <w:pPr>
        <w:rPr>
          <w:b/>
        </w:rPr>
      </w:pPr>
      <w:r>
        <w:t xml:space="preserve">  </w:t>
      </w:r>
      <w:r w:rsidR="00844209">
        <w:t xml:space="preserve"> 1.</w:t>
      </w:r>
      <w:r w:rsidR="00931FB4" w:rsidRPr="00844209">
        <w:rPr>
          <w:b/>
        </w:rPr>
        <w:t xml:space="preserve"> Reproductive Control and Reproductive Rights</w:t>
      </w:r>
      <w:r w:rsidR="00846E8F" w:rsidRPr="00844209">
        <w:rPr>
          <w:b/>
        </w:rPr>
        <w:t>: Historical Perspective</w:t>
      </w:r>
    </w:p>
    <w:p w:rsidR="00391F45" w:rsidRDefault="00931FB4" w:rsidP="00FD39BE">
      <w:r>
        <w:t xml:space="preserve">  </w:t>
      </w:r>
      <w:r w:rsidR="00731431">
        <w:t xml:space="preserve">    February 12</w:t>
      </w:r>
      <w:r>
        <w:t xml:space="preserve">  </w:t>
      </w:r>
    </w:p>
    <w:p w:rsidR="00931FB4" w:rsidRDefault="00391F45" w:rsidP="00FD39BE">
      <w:r>
        <w:t xml:space="preserve">      </w:t>
      </w:r>
      <w:r w:rsidR="00931FB4">
        <w:t xml:space="preserve">Gordan, </w:t>
      </w:r>
      <w:r w:rsidR="00846E8F">
        <w:t>Chaps. 4, 5, 6, 8,10, 12</w:t>
      </w:r>
      <w:r w:rsidR="00931FB4">
        <w:t xml:space="preserve"> </w:t>
      </w:r>
    </w:p>
    <w:p w:rsidR="00846E8F" w:rsidRDefault="00846E8F" w:rsidP="00844209">
      <w:r>
        <w:t xml:space="preserve">  </w:t>
      </w:r>
      <w:r w:rsidR="00E76BCA">
        <w:t xml:space="preserve"> </w:t>
      </w:r>
      <w:r w:rsidR="0027143A">
        <w:t xml:space="preserve"> </w:t>
      </w:r>
      <w:r w:rsidR="00844209">
        <w:t>2.</w:t>
      </w:r>
      <w:r>
        <w:t xml:space="preserve"> </w:t>
      </w:r>
      <w:r w:rsidRPr="00844209">
        <w:rPr>
          <w:b/>
        </w:rPr>
        <w:t>Abortion:</w:t>
      </w:r>
      <w:r w:rsidR="00171E58" w:rsidRPr="00844209">
        <w:rPr>
          <w:b/>
        </w:rPr>
        <w:t xml:space="preserve"> Medicalization,</w:t>
      </w:r>
      <w:r w:rsidR="00635BF0" w:rsidRPr="00844209">
        <w:rPr>
          <w:b/>
        </w:rPr>
        <w:t xml:space="preserve"> the Law</w:t>
      </w:r>
      <w:r w:rsidR="00171E58" w:rsidRPr="00844209">
        <w:rPr>
          <w:b/>
        </w:rPr>
        <w:t xml:space="preserve"> and the Fetal Imaginary</w:t>
      </w:r>
    </w:p>
    <w:p w:rsidR="00391F45" w:rsidRDefault="00635BF0" w:rsidP="00846E8F">
      <w:r>
        <w:t xml:space="preserve">  </w:t>
      </w:r>
      <w:r w:rsidR="00731431">
        <w:t xml:space="preserve">   February 19</w:t>
      </w:r>
    </w:p>
    <w:p w:rsidR="00171E58" w:rsidRDefault="00391F45" w:rsidP="00846E8F">
      <w:r>
        <w:t xml:space="preserve">     Sanger, Chaps 1-4</w:t>
      </w:r>
    </w:p>
    <w:p w:rsidR="00E722D4" w:rsidRDefault="00635BF0" w:rsidP="00844209">
      <w:pPr>
        <w:rPr>
          <w:b/>
        </w:rPr>
      </w:pPr>
      <w:r>
        <w:t xml:space="preserve"> </w:t>
      </w:r>
      <w:r w:rsidR="00844209">
        <w:t xml:space="preserve">   3. </w:t>
      </w:r>
      <w:r w:rsidR="00844209" w:rsidRPr="00844209">
        <w:rPr>
          <w:b/>
        </w:rPr>
        <w:t xml:space="preserve"> </w:t>
      </w:r>
      <w:r w:rsidR="00171E58" w:rsidRPr="00844209">
        <w:rPr>
          <w:b/>
        </w:rPr>
        <w:t>Abortion: The Social Construction of the Fet</w:t>
      </w:r>
      <w:r w:rsidR="00FF49E7" w:rsidRPr="00844209">
        <w:rPr>
          <w:b/>
        </w:rPr>
        <w:t xml:space="preserve">us </w:t>
      </w:r>
      <w:r w:rsidR="00171E58" w:rsidRPr="00844209">
        <w:rPr>
          <w:b/>
        </w:rPr>
        <w:t>in Anti-</w:t>
      </w:r>
      <w:r w:rsidR="00FF49E7" w:rsidRPr="00844209">
        <w:rPr>
          <w:b/>
        </w:rPr>
        <w:t>abortion</w:t>
      </w:r>
      <w:r w:rsidR="00171E58" w:rsidRPr="00844209">
        <w:rPr>
          <w:b/>
        </w:rPr>
        <w:t xml:space="preserve"> Discourse and </w:t>
      </w:r>
    </w:p>
    <w:p w:rsidR="00171E58" w:rsidRDefault="00E722D4" w:rsidP="00844209">
      <w:r>
        <w:rPr>
          <w:b/>
        </w:rPr>
        <w:t xml:space="preserve">    </w:t>
      </w:r>
      <w:r w:rsidR="00171E58" w:rsidRPr="00844209">
        <w:rPr>
          <w:b/>
        </w:rPr>
        <w:t>Technology</w:t>
      </w:r>
    </w:p>
    <w:p w:rsidR="00391F45" w:rsidRDefault="00391F45" w:rsidP="00846E8F">
      <w:r>
        <w:t xml:space="preserve">   </w:t>
      </w:r>
      <w:r w:rsidR="00BE4DE1">
        <w:t xml:space="preserve"> </w:t>
      </w:r>
      <w:r>
        <w:t>February 26</w:t>
      </w:r>
      <w:r w:rsidR="00171E58">
        <w:t xml:space="preserve">  </w:t>
      </w:r>
    </w:p>
    <w:p w:rsidR="00635BF0" w:rsidRDefault="00391F45" w:rsidP="00846E8F">
      <w:r>
        <w:t xml:space="preserve">   </w:t>
      </w:r>
      <w:r w:rsidR="00BE4DE1">
        <w:t xml:space="preserve"> </w:t>
      </w:r>
      <w:r w:rsidR="00171E58">
        <w:t>Sanger, Chaps. 5, 6</w:t>
      </w:r>
      <w:r w:rsidR="00DC5BCD">
        <w:t>,</w:t>
      </w:r>
      <w:r w:rsidR="00171E58">
        <w:t xml:space="preserve"> 8</w:t>
      </w:r>
      <w:r w:rsidR="00DC5BCD">
        <w:t>; Guest speaker Kendra Hutchens</w:t>
      </w:r>
      <w:r w:rsidR="00171E58">
        <w:t xml:space="preserve">  </w:t>
      </w:r>
    </w:p>
    <w:p w:rsidR="00171E58" w:rsidRDefault="00171E58" w:rsidP="00846E8F">
      <w:r>
        <w:t xml:space="preserve">   </w:t>
      </w:r>
    </w:p>
    <w:p w:rsidR="00FD6E01" w:rsidRPr="00391F45" w:rsidRDefault="00391F45" w:rsidP="00391F45">
      <w:pPr>
        <w:rPr>
          <w:b/>
        </w:rPr>
      </w:pPr>
      <w:r>
        <w:rPr>
          <w:b/>
        </w:rPr>
        <w:t>Part III</w:t>
      </w:r>
      <w:r w:rsidR="00171E58">
        <w:t xml:space="preserve"> </w:t>
      </w:r>
      <w:r>
        <w:rPr>
          <w:b/>
        </w:rPr>
        <w:t>Women and</w:t>
      </w:r>
      <w:r w:rsidR="006719FE">
        <w:rPr>
          <w:b/>
        </w:rPr>
        <w:t xml:space="preserve"> </w:t>
      </w:r>
      <w:r w:rsidR="00834C97">
        <w:rPr>
          <w:b/>
        </w:rPr>
        <w:t>Psycho-</w:t>
      </w:r>
      <w:proofErr w:type="gramStart"/>
      <w:r w:rsidR="00834C97">
        <w:rPr>
          <w:b/>
        </w:rPr>
        <w:t xml:space="preserve">social </w:t>
      </w:r>
      <w:r w:rsidR="00FB1073">
        <w:rPr>
          <w:b/>
        </w:rPr>
        <w:t xml:space="preserve"> Development</w:t>
      </w:r>
      <w:proofErr w:type="gramEnd"/>
    </w:p>
    <w:p w:rsidR="00FD6E01" w:rsidRPr="0017080B" w:rsidRDefault="00FB1073" w:rsidP="00391F45">
      <w:pPr>
        <w:pStyle w:val="ListParagraph"/>
        <w:numPr>
          <w:ilvl w:val="0"/>
          <w:numId w:val="5"/>
        </w:numPr>
        <w:rPr>
          <w:b/>
        </w:rPr>
      </w:pPr>
      <w:r w:rsidRPr="0017080B">
        <w:rPr>
          <w:b/>
        </w:rPr>
        <w:t xml:space="preserve">Psychoanalytic Theory and </w:t>
      </w:r>
      <w:r w:rsidR="00FD6E01" w:rsidRPr="0017080B">
        <w:rPr>
          <w:b/>
        </w:rPr>
        <w:t>the Origins of the Feminine and Masculine Binary in European Thought</w:t>
      </w:r>
    </w:p>
    <w:p w:rsidR="00391F45" w:rsidRDefault="00582308" w:rsidP="00846E8F">
      <w:r>
        <w:t xml:space="preserve">  </w:t>
      </w:r>
      <w:r w:rsidR="00391F45">
        <w:t>March 5</w:t>
      </w:r>
    </w:p>
    <w:p w:rsidR="00582308" w:rsidRDefault="00582308" w:rsidP="00846E8F">
      <w:r>
        <w:t xml:space="preserve">  </w:t>
      </w:r>
      <w:r w:rsidR="00FD6E01">
        <w:t>Freud</w:t>
      </w:r>
      <w:r w:rsidR="00F3298B">
        <w:t xml:space="preserve">, </w:t>
      </w:r>
      <w:r w:rsidR="00E722D4">
        <w:t xml:space="preserve">“Femininity”; “Some Psychical Consequences of the Anatomical Distinction Between </w:t>
      </w:r>
      <w:r>
        <w:t xml:space="preserve">  </w:t>
      </w:r>
    </w:p>
    <w:p w:rsidR="00731431" w:rsidRDefault="00582308" w:rsidP="00846E8F">
      <w:r>
        <w:t xml:space="preserve">  </w:t>
      </w:r>
      <w:r w:rsidR="00E722D4">
        <w:t xml:space="preserve">the Sexes”; </w:t>
      </w:r>
      <w:r w:rsidR="00731431">
        <w:t xml:space="preserve">Horney, “The Flight </w:t>
      </w:r>
      <w:proofErr w:type="gramStart"/>
      <w:r w:rsidR="00731431">
        <w:t>From</w:t>
      </w:r>
      <w:proofErr w:type="gramEnd"/>
      <w:r w:rsidR="00731431">
        <w:t xml:space="preserve"> Womanhood”; </w:t>
      </w:r>
      <w:r w:rsidR="00FD6E01">
        <w:t xml:space="preserve">Chodorow, “Family Structure and </w:t>
      </w:r>
      <w:r w:rsidR="00731431">
        <w:t xml:space="preserve">   </w:t>
      </w:r>
    </w:p>
    <w:p w:rsidR="00846E8F" w:rsidRDefault="00731431" w:rsidP="00846E8F">
      <w:r>
        <w:t xml:space="preserve">  </w:t>
      </w:r>
      <w:r w:rsidR="00FD6E01">
        <w:t>Feminine Personality</w:t>
      </w:r>
      <w:r w:rsidR="00844209">
        <w:t>”</w:t>
      </w:r>
      <w:r w:rsidR="00635BF0">
        <w:t xml:space="preserve">   </w:t>
      </w:r>
    </w:p>
    <w:p w:rsidR="00731431" w:rsidRDefault="00731431" w:rsidP="00846E8F"/>
    <w:p w:rsidR="00731431" w:rsidRPr="0017080B" w:rsidRDefault="00731431" w:rsidP="00731431">
      <w:pPr>
        <w:pStyle w:val="ListParagraph"/>
        <w:numPr>
          <w:ilvl w:val="0"/>
          <w:numId w:val="5"/>
        </w:numPr>
        <w:rPr>
          <w:b/>
        </w:rPr>
      </w:pPr>
      <w:r w:rsidRPr="0017080B">
        <w:rPr>
          <w:b/>
        </w:rPr>
        <w:t>Rac</w:t>
      </w:r>
      <w:r w:rsidR="000C2814">
        <w:rPr>
          <w:b/>
        </w:rPr>
        <w:t>e, Ethnicity and</w:t>
      </w:r>
      <w:r w:rsidRPr="0017080B">
        <w:rPr>
          <w:b/>
        </w:rPr>
        <w:t xml:space="preserve"> the Gendered Self</w:t>
      </w:r>
      <w:r w:rsidR="00582308" w:rsidRPr="0017080B">
        <w:rPr>
          <w:b/>
        </w:rPr>
        <w:t xml:space="preserve">  </w:t>
      </w:r>
    </w:p>
    <w:p w:rsidR="00731431" w:rsidRDefault="00731431" w:rsidP="00846E8F">
      <w:r>
        <w:t xml:space="preserve"> March 12</w:t>
      </w:r>
    </w:p>
    <w:p w:rsidR="000C2814" w:rsidRDefault="00731431" w:rsidP="00846E8F">
      <w:r>
        <w:t xml:space="preserve"> </w:t>
      </w:r>
      <w:r w:rsidR="00E722D4">
        <w:t>Segura and Pierce, “Chicana/o Family Structure and Gender Personality”</w:t>
      </w:r>
      <w:r>
        <w:t>; Hill</w:t>
      </w:r>
      <w:r w:rsidR="000C2814">
        <w:t xml:space="preserve"> Collins</w:t>
      </w:r>
      <w:r>
        <w:t xml:space="preserve">, </w:t>
      </w:r>
      <w:r w:rsidR="000C2814">
        <w:t xml:space="preserve">Chaps.   </w:t>
      </w:r>
    </w:p>
    <w:p w:rsidR="000C2814" w:rsidRDefault="000C2814" w:rsidP="00846E8F">
      <w:r>
        <w:t xml:space="preserve"> 4,8;</w:t>
      </w:r>
      <w:r w:rsidR="00731431">
        <w:t xml:space="preserve"> </w:t>
      </w:r>
      <w:r>
        <w:t xml:space="preserve">Hill, </w:t>
      </w:r>
      <w:r w:rsidR="00731431">
        <w:t>Cultural Images and the Health of African American Women</w:t>
      </w:r>
      <w:r w:rsidR="00AB44D7">
        <w:t xml:space="preserve">”; </w:t>
      </w:r>
      <w:proofErr w:type="spellStart"/>
      <w:r w:rsidR="00AB44D7">
        <w:t>Beauboeuf</w:t>
      </w:r>
      <w:proofErr w:type="spellEnd"/>
      <w:r w:rsidR="00AB44D7">
        <w:t xml:space="preserve">, “You Have </w:t>
      </w:r>
      <w:r>
        <w:t xml:space="preserve">  </w:t>
      </w:r>
    </w:p>
    <w:p w:rsidR="00FD6E01" w:rsidRDefault="000C2814" w:rsidP="00846E8F">
      <w:r>
        <w:t xml:space="preserve"> </w:t>
      </w:r>
      <w:r w:rsidR="00AB44D7">
        <w:t xml:space="preserve">to </w:t>
      </w:r>
      <w:proofErr w:type="gramStart"/>
      <w:r w:rsidR="00AB44D7">
        <w:t>Show  Strength</w:t>
      </w:r>
      <w:proofErr w:type="gramEnd"/>
      <w:r w:rsidR="00AB44D7">
        <w:t>”  (o</w:t>
      </w:r>
      <w:r w:rsidR="00E722D4">
        <w:t>n reserve)</w:t>
      </w:r>
    </w:p>
    <w:p w:rsidR="00E722D4" w:rsidRDefault="00E722D4" w:rsidP="00846E8F"/>
    <w:p w:rsidR="00FF49E7" w:rsidRDefault="00391F45" w:rsidP="00FD39BE">
      <w:r w:rsidRPr="00391F45">
        <w:rPr>
          <w:b/>
        </w:rPr>
        <w:t>Part IV</w:t>
      </w:r>
      <w:r w:rsidR="00FF49E7">
        <w:t xml:space="preserve"> </w:t>
      </w:r>
      <w:r w:rsidR="00FF49E7">
        <w:rPr>
          <w:b/>
        </w:rPr>
        <w:t>Theories of</w:t>
      </w:r>
      <w:r w:rsidR="00582308">
        <w:rPr>
          <w:b/>
        </w:rPr>
        <w:t xml:space="preserve"> Sexual</w:t>
      </w:r>
      <w:r w:rsidR="008F3114">
        <w:rPr>
          <w:b/>
        </w:rPr>
        <w:t xml:space="preserve"> </w:t>
      </w:r>
      <w:r w:rsidR="00FF49E7">
        <w:rPr>
          <w:b/>
        </w:rPr>
        <w:t>Trauma and the Persistence of Family Violence</w:t>
      </w:r>
      <w:r w:rsidR="00FF49E7">
        <w:t xml:space="preserve"> </w:t>
      </w:r>
    </w:p>
    <w:p w:rsidR="00FF49E7" w:rsidRPr="0017080B" w:rsidRDefault="00391F45" w:rsidP="00391F45">
      <w:pPr>
        <w:pStyle w:val="ListParagraph"/>
        <w:numPr>
          <w:ilvl w:val="0"/>
          <w:numId w:val="6"/>
        </w:numPr>
        <w:rPr>
          <w:b/>
        </w:rPr>
      </w:pPr>
      <w:r>
        <w:t xml:space="preserve"> </w:t>
      </w:r>
      <w:r w:rsidRPr="0017080B">
        <w:rPr>
          <w:b/>
        </w:rPr>
        <w:t>Sexual Trauma and the</w:t>
      </w:r>
      <w:r w:rsidR="00FF49E7" w:rsidRPr="0017080B">
        <w:rPr>
          <w:b/>
        </w:rPr>
        <w:t xml:space="preserve"> Patriar</w:t>
      </w:r>
      <w:r w:rsidRPr="0017080B">
        <w:rPr>
          <w:b/>
        </w:rPr>
        <w:t>chal Family</w:t>
      </w:r>
    </w:p>
    <w:p w:rsidR="00391F45" w:rsidRDefault="00391F45" w:rsidP="00391F45">
      <w:pPr>
        <w:ind w:left="60"/>
      </w:pPr>
      <w:r>
        <w:t>March 19</w:t>
      </w:r>
    </w:p>
    <w:p w:rsidR="00FD39BE" w:rsidRDefault="00391F45" w:rsidP="00FD39BE">
      <w:r>
        <w:t xml:space="preserve"> </w:t>
      </w:r>
      <w:r w:rsidR="00FF49E7">
        <w:t xml:space="preserve">Freud, “The </w:t>
      </w:r>
      <w:proofErr w:type="spellStart"/>
      <w:r w:rsidR="00FF49E7">
        <w:t>A</w:t>
      </w:r>
      <w:r w:rsidR="001A0B16">
        <w:t>etiology</w:t>
      </w:r>
      <w:proofErr w:type="spellEnd"/>
      <w:r w:rsidR="001A0B16">
        <w:t xml:space="preserve"> of Hysteria</w:t>
      </w:r>
      <w:r w:rsidR="00D4061B">
        <w:t>”</w:t>
      </w:r>
      <w:r w:rsidR="001A0B16">
        <w:t xml:space="preserve"> (on reserve)</w:t>
      </w:r>
    </w:p>
    <w:p w:rsidR="001A0B16" w:rsidRDefault="00391F45" w:rsidP="00FD39BE">
      <w:r>
        <w:t xml:space="preserve"> </w:t>
      </w:r>
      <w:r w:rsidR="001A0B16">
        <w:t>Herman, Chaps. 2-8</w:t>
      </w:r>
    </w:p>
    <w:p w:rsidR="001A0B16" w:rsidRDefault="001A0B16" w:rsidP="00FD39BE"/>
    <w:p w:rsidR="002178C3" w:rsidRDefault="00D4061B" w:rsidP="00264CA4">
      <w:r w:rsidRPr="00D4061B">
        <w:rPr>
          <w:b/>
        </w:rPr>
        <w:t>Part V</w:t>
      </w:r>
      <w:r>
        <w:rPr>
          <w:b/>
        </w:rPr>
        <w:t xml:space="preserve"> </w:t>
      </w:r>
      <w:r w:rsidR="00264CA4">
        <w:rPr>
          <w:b/>
        </w:rPr>
        <w:t>Mass Violence and the Engendering of Genocide</w:t>
      </w:r>
    </w:p>
    <w:p w:rsidR="00611345" w:rsidRPr="0017080B" w:rsidRDefault="00611345" w:rsidP="00264CA4">
      <w:pPr>
        <w:pStyle w:val="ListParagraph"/>
        <w:numPr>
          <w:ilvl w:val="0"/>
          <w:numId w:val="11"/>
        </w:numPr>
        <w:rPr>
          <w:b/>
        </w:rPr>
      </w:pPr>
      <w:r w:rsidRPr="0017080B">
        <w:rPr>
          <w:b/>
        </w:rPr>
        <w:t>Women and the Holocaust</w:t>
      </w:r>
    </w:p>
    <w:p w:rsidR="00611345" w:rsidRDefault="00611345" w:rsidP="00611345">
      <w:pPr>
        <w:ind w:left="60"/>
      </w:pPr>
      <w:r>
        <w:t xml:space="preserve">April </w:t>
      </w:r>
      <w:r w:rsidR="00264CA4">
        <w:t>2</w:t>
      </w:r>
    </w:p>
    <w:p w:rsidR="002178C3" w:rsidRDefault="002178C3" w:rsidP="00611345">
      <w:pPr>
        <w:ind w:left="60"/>
      </w:pPr>
      <w:r>
        <w:t xml:space="preserve">Ritter and Roth:  </w:t>
      </w:r>
    </w:p>
    <w:p w:rsidR="002178C3" w:rsidRDefault="002178C3" w:rsidP="00611345">
      <w:pPr>
        <w:ind w:left="60"/>
      </w:pPr>
      <w:r>
        <w:t xml:space="preserve">Research Perspectives: </w:t>
      </w:r>
      <w:r w:rsidR="00611345">
        <w:t>Ringelheim,</w:t>
      </w:r>
      <w:r>
        <w:t xml:space="preserve"> Bock, Koontz</w:t>
      </w:r>
    </w:p>
    <w:p w:rsidR="002178C3" w:rsidRDefault="002178C3" w:rsidP="00611345">
      <w:pPr>
        <w:ind w:left="60"/>
      </w:pPr>
      <w:r>
        <w:t xml:space="preserve">Testimony: Jackson, </w:t>
      </w:r>
      <w:proofErr w:type="spellStart"/>
      <w:r>
        <w:t>Lewinska</w:t>
      </w:r>
      <w:proofErr w:type="spellEnd"/>
      <w:r>
        <w:t xml:space="preserve">, Perl, </w:t>
      </w:r>
      <w:proofErr w:type="spellStart"/>
      <w:r>
        <w:t>Lengyl</w:t>
      </w:r>
      <w:proofErr w:type="spellEnd"/>
      <w:r>
        <w:t xml:space="preserve"> (“Scientific Experiments’)</w:t>
      </w:r>
    </w:p>
    <w:p w:rsidR="00611345" w:rsidRDefault="002178C3" w:rsidP="00611345">
      <w:pPr>
        <w:ind w:left="60"/>
      </w:pPr>
      <w:r>
        <w:t xml:space="preserve"> </w:t>
      </w:r>
      <w:r w:rsidR="00611345">
        <w:t xml:space="preserve"> </w:t>
      </w:r>
    </w:p>
    <w:p w:rsidR="00AB44D7" w:rsidRDefault="00AB44D7" w:rsidP="00AB44D7">
      <w:pPr>
        <w:ind w:left="60"/>
      </w:pPr>
    </w:p>
    <w:p w:rsidR="00AB44D7" w:rsidRDefault="00AB44D7" w:rsidP="00AB44D7">
      <w:pPr>
        <w:ind w:left="60"/>
      </w:pPr>
    </w:p>
    <w:p w:rsidR="00107A74" w:rsidRPr="0017080B" w:rsidRDefault="00264CA4" w:rsidP="00AB44D7">
      <w:pPr>
        <w:pStyle w:val="ListParagraph"/>
        <w:numPr>
          <w:ilvl w:val="0"/>
          <w:numId w:val="11"/>
        </w:numPr>
        <w:rPr>
          <w:b/>
        </w:rPr>
      </w:pPr>
      <w:r w:rsidRPr="0017080B">
        <w:rPr>
          <w:b/>
        </w:rPr>
        <w:lastRenderedPageBreak/>
        <w:t xml:space="preserve">Women and the Bosnian Genocide: </w:t>
      </w:r>
      <w:r w:rsidR="00387F1A" w:rsidRPr="0017080B">
        <w:rPr>
          <w:b/>
        </w:rPr>
        <w:t xml:space="preserve">Theories and Studies of </w:t>
      </w:r>
      <w:r w:rsidRPr="0017080B">
        <w:rPr>
          <w:b/>
        </w:rPr>
        <w:t>Mass R</w:t>
      </w:r>
      <w:r w:rsidR="00387F1A" w:rsidRPr="0017080B">
        <w:rPr>
          <w:b/>
        </w:rPr>
        <w:t xml:space="preserve">ape </w:t>
      </w:r>
    </w:p>
    <w:p w:rsidR="00264CA4" w:rsidRDefault="00C84739" w:rsidP="00264CA4">
      <w:pPr>
        <w:ind w:left="60"/>
      </w:pPr>
      <w:r>
        <w:t>A</w:t>
      </w:r>
      <w:r w:rsidR="00AB44D7">
        <w:t>pril 9</w:t>
      </w:r>
    </w:p>
    <w:p w:rsidR="00582308" w:rsidRDefault="00387F1A" w:rsidP="00387F1A">
      <w:r>
        <w:t xml:space="preserve"> </w:t>
      </w:r>
      <w:r w:rsidR="00264CA4">
        <w:t>Seifert,</w:t>
      </w:r>
      <w:r w:rsidR="00E722D4">
        <w:t xml:space="preserve"> “</w:t>
      </w:r>
      <w:r w:rsidR="00BE4DE1">
        <w:t>W</w:t>
      </w:r>
      <w:r w:rsidR="00E722D4">
        <w:t>ar and Rape”;</w:t>
      </w:r>
      <w:r w:rsidR="00264CA4">
        <w:t xml:space="preserve"> Copelan</w:t>
      </w:r>
      <w:r w:rsidR="00E722D4">
        <w:t>d</w:t>
      </w:r>
      <w:r w:rsidR="00264CA4">
        <w:t>,</w:t>
      </w:r>
      <w:r w:rsidR="00582308">
        <w:t xml:space="preserve"> “Surfa</w:t>
      </w:r>
      <w:r w:rsidR="00E722D4">
        <w:t>cing Gender</w:t>
      </w:r>
      <w:proofErr w:type="gramStart"/>
      <w:r w:rsidR="00E722D4">
        <w:t xml:space="preserve">”; </w:t>
      </w:r>
      <w:r w:rsidR="00264CA4">
        <w:t xml:space="preserve"> Enloe</w:t>
      </w:r>
      <w:proofErr w:type="gramEnd"/>
      <w:r w:rsidR="00264CA4">
        <w:t>,</w:t>
      </w:r>
      <w:r w:rsidR="00BE4DE1">
        <w:t xml:space="preserve"> </w:t>
      </w:r>
      <w:r w:rsidR="00582308">
        <w:t>“</w:t>
      </w:r>
      <w:r w:rsidR="00BE4DE1">
        <w:t xml:space="preserve">Have the Bosnian Rapes </w:t>
      </w:r>
      <w:r w:rsidR="00582308">
        <w:t xml:space="preserve">  </w:t>
      </w:r>
    </w:p>
    <w:p w:rsidR="00264CA4" w:rsidRPr="00264CA4" w:rsidRDefault="00582308" w:rsidP="00582308">
      <w:r>
        <w:t xml:space="preserve"> </w:t>
      </w:r>
      <w:r w:rsidR="00BE4DE1">
        <w:t>Opened Up a New Era of Feminist Conscio</w:t>
      </w:r>
      <w:r>
        <w:t>usness?’;</w:t>
      </w:r>
      <w:r w:rsidR="00E14E51">
        <w:t xml:space="preserve"> Salzman</w:t>
      </w:r>
      <w:r>
        <w:t>, “Rape Camps” (on reserve)</w:t>
      </w:r>
    </w:p>
    <w:p w:rsidR="00107A74" w:rsidRDefault="00107A74" w:rsidP="00611345">
      <w:pPr>
        <w:ind w:left="60"/>
        <w:rPr>
          <w:b/>
        </w:rPr>
      </w:pPr>
    </w:p>
    <w:p w:rsidR="00E14E51" w:rsidRPr="00E14E51" w:rsidRDefault="00E14E51" w:rsidP="00E14E51">
      <w:pPr>
        <w:rPr>
          <w:b/>
        </w:rPr>
      </w:pPr>
      <w:r>
        <w:rPr>
          <w:b/>
        </w:rPr>
        <w:t xml:space="preserve">Part VI Theories </w:t>
      </w:r>
      <w:proofErr w:type="gramStart"/>
      <w:r>
        <w:rPr>
          <w:b/>
        </w:rPr>
        <w:t>of  Mass</w:t>
      </w:r>
      <w:proofErr w:type="gramEnd"/>
      <w:r>
        <w:rPr>
          <w:b/>
        </w:rPr>
        <w:t xml:space="preserve"> Trauma, Collective Identity and Post Traumatic Memory</w:t>
      </w:r>
    </w:p>
    <w:p w:rsidR="00E14E51" w:rsidRDefault="00E14E51" w:rsidP="00E14E51">
      <w:pPr>
        <w:ind w:left="60"/>
      </w:pPr>
      <w:r>
        <w:t>April 16</w:t>
      </w:r>
    </w:p>
    <w:p w:rsidR="00E14E51" w:rsidRPr="0017080B" w:rsidRDefault="00E14E51" w:rsidP="00E14E51">
      <w:pPr>
        <w:pStyle w:val="ListParagraph"/>
        <w:numPr>
          <w:ilvl w:val="0"/>
          <w:numId w:val="14"/>
        </w:numPr>
        <w:rPr>
          <w:b/>
        </w:rPr>
      </w:pPr>
      <w:r w:rsidRPr="0017080B">
        <w:rPr>
          <w:b/>
        </w:rPr>
        <w:t>Cultural Trauma and Collective Identity</w:t>
      </w:r>
    </w:p>
    <w:p w:rsidR="00E14E51" w:rsidRDefault="00EA2B7A" w:rsidP="00E14E51">
      <w:pPr>
        <w:ind w:left="60"/>
      </w:pPr>
      <w:r>
        <w:t xml:space="preserve"> Alexander, Chaps, 1, 2,</w:t>
      </w:r>
      <w:r w:rsidR="00E14E51">
        <w:t xml:space="preserve"> </w:t>
      </w:r>
      <w:r>
        <w:t>6</w:t>
      </w:r>
    </w:p>
    <w:p w:rsidR="00E14E51" w:rsidRPr="00834C97" w:rsidRDefault="00E14E51" w:rsidP="00E14E51">
      <w:pPr>
        <w:pStyle w:val="ListParagraph"/>
        <w:numPr>
          <w:ilvl w:val="0"/>
          <w:numId w:val="14"/>
        </w:numPr>
        <w:rPr>
          <w:b/>
        </w:rPr>
      </w:pPr>
      <w:r>
        <w:t xml:space="preserve"> </w:t>
      </w:r>
      <w:r w:rsidRPr="00834C97">
        <w:rPr>
          <w:b/>
        </w:rPr>
        <w:t xml:space="preserve">Trauma and Post Memory in Descendants of Survivors  </w:t>
      </w:r>
    </w:p>
    <w:p w:rsidR="00E14E51" w:rsidRDefault="00E14E51" w:rsidP="00E14E51">
      <w:pPr>
        <w:ind w:left="60"/>
      </w:pPr>
      <w:r>
        <w:t>Hirsch</w:t>
      </w:r>
      <w:r w:rsidR="00BE4DE1">
        <w:t xml:space="preserve">, “The Generation of </w:t>
      </w:r>
      <w:proofErr w:type="spellStart"/>
      <w:r w:rsidR="00BE4DE1">
        <w:t>Postmemory</w:t>
      </w:r>
      <w:proofErr w:type="spellEnd"/>
      <w:r w:rsidR="00BE4DE1">
        <w:t>” (on reserve)</w:t>
      </w:r>
    </w:p>
    <w:p w:rsidR="00E14E51" w:rsidRDefault="00E14E51" w:rsidP="00E14E51">
      <w:pPr>
        <w:ind w:left="60"/>
      </w:pPr>
    </w:p>
    <w:p w:rsidR="00E14E51" w:rsidRDefault="00E14E51" w:rsidP="00E14E51">
      <w:pPr>
        <w:ind w:left="60"/>
        <w:rPr>
          <w:b/>
        </w:rPr>
      </w:pPr>
      <w:r>
        <w:rPr>
          <w:b/>
        </w:rPr>
        <w:t xml:space="preserve">Part </w:t>
      </w:r>
      <w:proofErr w:type="gramStart"/>
      <w:r>
        <w:rPr>
          <w:b/>
        </w:rPr>
        <w:t xml:space="preserve">VII </w:t>
      </w:r>
      <w:r w:rsidR="004A202D">
        <w:rPr>
          <w:b/>
        </w:rPr>
        <w:t xml:space="preserve"> </w:t>
      </w:r>
      <w:r>
        <w:rPr>
          <w:b/>
        </w:rPr>
        <w:t>The</w:t>
      </w:r>
      <w:proofErr w:type="gramEnd"/>
      <w:r>
        <w:rPr>
          <w:b/>
        </w:rPr>
        <w:t xml:space="preserve"> Intergeneration</w:t>
      </w:r>
      <w:r w:rsidR="00387F1A">
        <w:rPr>
          <w:b/>
        </w:rPr>
        <w:t>al</w:t>
      </w:r>
      <w:r>
        <w:rPr>
          <w:b/>
        </w:rPr>
        <w:t xml:space="preserve"> Transition of Trauma</w:t>
      </w:r>
    </w:p>
    <w:p w:rsidR="00107A74" w:rsidRPr="0017080B" w:rsidRDefault="00387F1A" w:rsidP="00C84739">
      <w:pPr>
        <w:pStyle w:val="ListParagraph"/>
        <w:numPr>
          <w:ilvl w:val="0"/>
          <w:numId w:val="21"/>
        </w:numPr>
        <w:rPr>
          <w:b/>
        </w:rPr>
      </w:pPr>
      <w:r w:rsidRPr="0017080B">
        <w:rPr>
          <w:b/>
        </w:rPr>
        <w:t>The Origins of Cultural Representations of Inherited Trauma</w:t>
      </w:r>
    </w:p>
    <w:p w:rsidR="00387F1A" w:rsidRPr="00387F1A" w:rsidRDefault="00387F1A" w:rsidP="00C84739">
      <w:r>
        <w:t>April 23</w:t>
      </w:r>
    </w:p>
    <w:p w:rsidR="00611345" w:rsidRDefault="00C84739" w:rsidP="00387F1A">
      <w:pPr>
        <w:rPr>
          <w:i/>
        </w:rPr>
      </w:pPr>
      <w:r>
        <w:t xml:space="preserve">  </w:t>
      </w:r>
      <w:r w:rsidR="00387F1A">
        <w:t xml:space="preserve">Spiegelman, </w:t>
      </w:r>
      <w:r>
        <w:rPr>
          <w:i/>
        </w:rPr>
        <w:t>Maus</w:t>
      </w:r>
    </w:p>
    <w:p w:rsidR="00387F1A" w:rsidRPr="0017080B" w:rsidRDefault="00387F1A" w:rsidP="00C84739">
      <w:pPr>
        <w:pStyle w:val="ListParagraph"/>
        <w:numPr>
          <w:ilvl w:val="0"/>
          <w:numId w:val="21"/>
        </w:numPr>
        <w:rPr>
          <w:b/>
          <w:i/>
        </w:rPr>
      </w:pPr>
      <w:r w:rsidRPr="0017080B">
        <w:rPr>
          <w:b/>
        </w:rPr>
        <w:t>The Social T</w:t>
      </w:r>
      <w:r w:rsidR="00C84739" w:rsidRPr="0017080B">
        <w:rPr>
          <w:b/>
        </w:rPr>
        <w:t>ransmission of Inherited Trauma</w:t>
      </w:r>
    </w:p>
    <w:p w:rsidR="00C84739" w:rsidRDefault="00C84739" w:rsidP="00C84739">
      <w:r>
        <w:t>April 30</w:t>
      </w:r>
    </w:p>
    <w:p w:rsidR="00C84739" w:rsidRDefault="00C84739" w:rsidP="00C84739">
      <w:r>
        <w:t xml:space="preserve">  </w:t>
      </w:r>
      <w:r w:rsidR="008B12EB">
        <w:t>Jacobs, Introduction, Chaps 1, 2, 5, 6</w:t>
      </w:r>
    </w:p>
    <w:p w:rsidR="00C84739" w:rsidRDefault="00C84739" w:rsidP="00C84739">
      <w:pPr>
        <w:ind w:left="360"/>
      </w:pPr>
      <w:r>
        <w:t xml:space="preserve">    </w:t>
      </w:r>
    </w:p>
    <w:p w:rsidR="00C84739" w:rsidRDefault="00C84739" w:rsidP="00C84739">
      <w:pPr>
        <w:pStyle w:val="ListParagraph"/>
      </w:pPr>
    </w:p>
    <w:p w:rsidR="0091753C" w:rsidRPr="0017080B" w:rsidRDefault="0091753C" w:rsidP="0091753C">
      <w:pPr>
        <w:rPr>
          <w:b/>
        </w:rPr>
      </w:pPr>
      <w:r w:rsidRPr="0017080B">
        <w:rPr>
          <w:b/>
          <w:u w:val="single"/>
        </w:rPr>
        <w:t>Course Requirements</w:t>
      </w:r>
      <w:r w:rsidRPr="0017080B">
        <w:rPr>
          <w:b/>
        </w:rPr>
        <w:t xml:space="preserve">  </w:t>
      </w:r>
    </w:p>
    <w:p w:rsidR="0091753C" w:rsidRDefault="0091753C" w:rsidP="0091753C">
      <w:r>
        <w:t xml:space="preserve">The requirements for this course include leading class discussion, weekly thought questions, 7 thought papers and a final research paper.   </w:t>
      </w:r>
    </w:p>
    <w:p w:rsidR="0091753C" w:rsidRDefault="0091753C" w:rsidP="0091753C">
      <w:pPr>
        <w:rPr>
          <w:u w:val="single"/>
        </w:rPr>
      </w:pPr>
    </w:p>
    <w:p w:rsidR="0091753C" w:rsidRDefault="0091753C" w:rsidP="0091753C">
      <w:pPr>
        <w:rPr>
          <w:u w:val="single"/>
        </w:rPr>
      </w:pPr>
      <w:r w:rsidRPr="0017080B">
        <w:rPr>
          <w:b/>
          <w:u w:val="single"/>
        </w:rPr>
        <w:t>Leading Class Discussion</w:t>
      </w:r>
      <w:r>
        <w:t>: Each student is required to lead two class discussions during the semester. The responsibility of the discussion leader is to guide the students through a discussion of the material assigned for that day.  Although it is expected that all students will have read the material prior to class, it might be useful to summarize the main points of the readings as you understand them and to pose questions and ideas to critique, challenge and further interrogate the theoretical concepts</w:t>
      </w:r>
      <w:r w:rsidR="0036509F">
        <w:t xml:space="preserve"> and/or research findings</w:t>
      </w:r>
      <w:r>
        <w:t xml:space="preserve"> presented in the texts.   </w:t>
      </w:r>
    </w:p>
    <w:p w:rsidR="0091753C" w:rsidRDefault="0091753C" w:rsidP="0091753C">
      <w:r w:rsidRPr="0017080B">
        <w:rPr>
          <w:b/>
          <w:u w:val="single"/>
        </w:rPr>
        <w:t>Weekly Thought Questions</w:t>
      </w:r>
      <w:r>
        <w:rPr>
          <w:u w:val="single"/>
        </w:rPr>
        <w:t xml:space="preserve">:  </w:t>
      </w:r>
      <w:r>
        <w:t>Each student is required to come to class prepared with one thought question from the weekly readings.  This question will be turned in at the end of class.</w:t>
      </w:r>
    </w:p>
    <w:p w:rsidR="0091753C" w:rsidRDefault="0091753C" w:rsidP="0091753C">
      <w:pPr>
        <w:rPr>
          <w:u w:val="single"/>
        </w:rPr>
      </w:pPr>
      <w:r w:rsidRPr="0017080B">
        <w:rPr>
          <w:b/>
          <w:u w:val="single"/>
        </w:rPr>
        <w:t>Thought Papers</w:t>
      </w:r>
      <w:r>
        <w:rPr>
          <w:u w:val="single"/>
        </w:rPr>
        <w:t xml:space="preserve">: </w:t>
      </w:r>
      <w:r>
        <w:t xml:space="preserve"> To facilitate class discussion and critical thinking, a total of 7 thought papers (3-4 pages in length) are due throughout the semester. You may choose from any of the topic areas on which to write your thought papers. Thought papers are intended to consider the points that the author is making and the author’s contribution to the area of study. Thought papers should not merely be a summary of the ideas but should address what you think are the most significant and meani</w:t>
      </w:r>
      <w:r w:rsidR="00834C97">
        <w:t>ngful aspects of the</w:t>
      </w:r>
      <w:r>
        <w:t xml:space="preserve"> work</w:t>
      </w:r>
      <w:r w:rsidR="00834C97">
        <w:t>.</w:t>
      </w:r>
      <w:r>
        <w:t xml:space="preserve"> *The thought paper is due on the day of the reading assignment and may not be turned in after class.  </w:t>
      </w:r>
    </w:p>
    <w:p w:rsidR="0091753C" w:rsidRDefault="0091753C" w:rsidP="0091753C">
      <w:pPr>
        <w:rPr>
          <w:u w:val="single"/>
        </w:rPr>
      </w:pPr>
    </w:p>
    <w:p w:rsidR="0091753C" w:rsidRDefault="0091753C" w:rsidP="0091753C">
      <w:pPr>
        <w:rPr>
          <w:u w:val="single"/>
        </w:rPr>
      </w:pPr>
    </w:p>
    <w:p w:rsidR="0091753C" w:rsidRDefault="0091753C" w:rsidP="0091753C">
      <w:pPr>
        <w:rPr>
          <w:u w:val="single"/>
        </w:rPr>
      </w:pPr>
    </w:p>
    <w:p w:rsidR="0091753C" w:rsidRDefault="0091753C" w:rsidP="0091753C">
      <w:pPr>
        <w:rPr>
          <w:u w:val="single"/>
        </w:rPr>
      </w:pPr>
    </w:p>
    <w:p w:rsidR="0091753C" w:rsidRDefault="0091753C" w:rsidP="0091753C">
      <w:pPr>
        <w:rPr>
          <w:u w:val="single"/>
        </w:rPr>
      </w:pPr>
    </w:p>
    <w:p w:rsidR="0091753C" w:rsidRDefault="0091753C" w:rsidP="0091753C">
      <w:r w:rsidRPr="0017080B">
        <w:rPr>
          <w:b/>
          <w:u w:val="single"/>
        </w:rPr>
        <w:lastRenderedPageBreak/>
        <w:t>Research Paper</w:t>
      </w:r>
      <w:r>
        <w:rPr>
          <w:u w:val="single"/>
        </w:rPr>
        <w:t>:</w:t>
      </w:r>
      <w:r w:rsidR="00C9358C">
        <w:t xml:space="preserve"> A little over half your grade will be</w:t>
      </w:r>
      <w:r>
        <w:t xml:space="preserve"> based on a research paper </w:t>
      </w:r>
      <w:r w:rsidR="00834C97">
        <w:t>(</w:t>
      </w:r>
      <w:r>
        <w:t>12-15 pages in length</w:t>
      </w:r>
      <w:r w:rsidR="00834C97">
        <w:t>)</w:t>
      </w:r>
      <w:r>
        <w:t xml:space="preserve">.  The paper should address a field of study that we are examining in class and should relate to one of the topic areas.  Students will be required to turn in a paper proposal and a tentative bibliography at various points throughout the semester.  Students may also want to schedule at least one appointment with me, either during my office hours or at another </w:t>
      </w:r>
      <w:proofErr w:type="gramStart"/>
      <w:r>
        <w:t>time,  to</w:t>
      </w:r>
      <w:proofErr w:type="gramEnd"/>
      <w:r>
        <w:t xml:space="preserve"> discuss their research ideas and or the progress of their paper.  The </w:t>
      </w:r>
      <w:r>
        <w:rPr>
          <w:u w:val="single"/>
        </w:rPr>
        <w:t>fixed</w:t>
      </w:r>
      <w:r>
        <w:t xml:space="preserve"> due dates for the proposal, bibliography and research paper are:</w:t>
      </w:r>
    </w:p>
    <w:p w:rsidR="0091753C" w:rsidRDefault="0091753C" w:rsidP="0091753C">
      <w:r>
        <w:t>Paper proposal:                   March 5</w:t>
      </w:r>
    </w:p>
    <w:p w:rsidR="0091753C" w:rsidRDefault="0091753C" w:rsidP="0091753C">
      <w:r>
        <w:t xml:space="preserve">Tentative Bibliography:      </w:t>
      </w:r>
      <w:r w:rsidR="004102CA">
        <w:t>April 2</w:t>
      </w:r>
    </w:p>
    <w:p w:rsidR="0091753C" w:rsidRDefault="0091753C" w:rsidP="0091753C">
      <w:r>
        <w:t xml:space="preserve">Paper Due:                           </w:t>
      </w:r>
      <w:proofErr w:type="gramStart"/>
      <w:r>
        <w:t>April  30</w:t>
      </w:r>
      <w:proofErr w:type="gramEnd"/>
    </w:p>
    <w:p w:rsidR="0091753C" w:rsidRDefault="0091753C" w:rsidP="0091753C"/>
    <w:p w:rsidR="0091753C" w:rsidRDefault="0091753C" w:rsidP="0091753C">
      <w:r w:rsidRPr="0017080B">
        <w:rPr>
          <w:b/>
          <w:u w:val="single"/>
        </w:rPr>
        <w:t>Point Distribution</w:t>
      </w:r>
      <w:r w:rsidR="00C9358C">
        <w:t xml:space="preserve">: </w:t>
      </w:r>
      <w:r>
        <w:t>The following is the point distribution for the course requirements:</w:t>
      </w:r>
    </w:p>
    <w:p w:rsidR="0091753C" w:rsidRDefault="0091753C" w:rsidP="0091753C">
      <w:r>
        <w:t xml:space="preserve"> Discussion Leader                                        </w:t>
      </w:r>
      <w:r w:rsidR="00C9358C">
        <w:t xml:space="preserve"> 100 points (50 points</w:t>
      </w:r>
      <w:r>
        <w:t xml:space="preserve"> per discussion)</w:t>
      </w:r>
    </w:p>
    <w:p w:rsidR="0091753C" w:rsidRDefault="0091753C" w:rsidP="0091753C">
      <w:r>
        <w:t xml:space="preserve"> Thought Papers                                             210 points (30 points each) </w:t>
      </w:r>
    </w:p>
    <w:p w:rsidR="0091753C" w:rsidRDefault="0091753C" w:rsidP="0091753C">
      <w:r>
        <w:t xml:space="preserve"> Thought Questions                                        140 points (10 points each)   </w:t>
      </w:r>
    </w:p>
    <w:p w:rsidR="0091753C" w:rsidRDefault="0091753C" w:rsidP="0091753C">
      <w:r>
        <w:t xml:space="preserve"> Research Paper                                              </w:t>
      </w:r>
      <w:r>
        <w:rPr>
          <w:u w:val="single"/>
        </w:rPr>
        <w:t xml:space="preserve">550 </w:t>
      </w:r>
      <w:r>
        <w:t>points</w:t>
      </w:r>
    </w:p>
    <w:p w:rsidR="0091753C" w:rsidRDefault="0091753C" w:rsidP="0091753C">
      <w:r>
        <w:t xml:space="preserve"> Total                                                            1000 points </w:t>
      </w:r>
    </w:p>
    <w:p w:rsidR="0091753C" w:rsidRDefault="0091753C" w:rsidP="0091753C"/>
    <w:p w:rsidR="0091753C" w:rsidRDefault="0091753C" w:rsidP="0091753C">
      <w:r>
        <w:t>I look forward to an exciting and dynamic semester together.</w:t>
      </w:r>
    </w:p>
    <w:p w:rsidR="0091753C" w:rsidRDefault="0091753C" w:rsidP="0091753C"/>
    <w:p w:rsidR="00C84739" w:rsidRDefault="00C84739" w:rsidP="00C84739">
      <w:pPr>
        <w:pStyle w:val="ListParagraph"/>
      </w:pPr>
    </w:p>
    <w:p w:rsidR="00C84739" w:rsidRPr="00387F1A" w:rsidRDefault="00C84739" w:rsidP="00C84739">
      <w:pPr>
        <w:pStyle w:val="ListParagraph"/>
      </w:pPr>
    </w:p>
    <w:p w:rsidR="00387F1A" w:rsidRPr="00387F1A" w:rsidRDefault="00387F1A" w:rsidP="00387F1A">
      <w:r>
        <w:rPr>
          <w:i/>
        </w:rPr>
        <w:t xml:space="preserve">    </w:t>
      </w:r>
    </w:p>
    <w:p w:rsidR="00387F1A" w:rsidRPr="00387F1A" w:rsidRDefault="00387F1A" w:rsidP="00387F1A"/>
    <w:p w:rsidR="00611345" w:rsidRPr="00387F1A" w:rsidRDefault="00611345" w:rsidP="00611345">
      <w:pPr>
        <w:pStyle w:val="ListParagraph"/>
        <w:ind w:left="420"/>
      </w:pPr>
    </w:p>
    <w:p w:rsidR="001A0B16" w:rsidRDefault="001A0B16" w:rsidP="00D4061B">
      <w:pPr>
        <w:pStyle w:val="ListParagraph"/>
        <w:ind w:left="420"/>
      </w:pPr>
    </w:p>
    <w:p w:rsidR="00D4061B" w:rsidRPr="00D4061B" w:rsidRDefault="00D4061B" w:rsidP="00D4061B">
      <w:pPr>
        <w:pStyle w:val="ListParagraph"/>
        <w:ind w:left="420"/>
      </w:pPr>
    </w:p>
    <w:p w:rsidR="00FD39BE" w:rsidRDefault="00FD39BE" w:rsidP="00FD39BE"/>
    <w:p w:rsidR="00FD39BE" w:rsidRDefault="00FD39BE" w:rsidP="00FD39BE"/>
    <w:p w:rsidR="00FD39BE" w:rsidRDefault="00FD39BE" w:rsidP="00FD39BE"/>
    <w:p w:rsidR="00FD39BE" w:rsidRDefault="00FD39BE" w:rsidP="00FD39BE"/>
    <w:sectPr w:rsidR="00FD39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33"/>
    <w:multiLevelType w:val="hybridMultilevel"/>
    <w:tmpl w:val="9326C2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845AD"/>
    <w:multiLevelType w:val="hybridMultilevel"/>
    <w:tmpl w:val="137AA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7188F"/>
    <w:multiLevelType w:val="hybridMultilevel"/>
    <w:tmpl w:val="F4586D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496BE1"/>
    <w:multiLevelType w:val="hybridMultilevel"/>
    <w:tmpl w:val="02666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4110B"/>
    <w:multiLevelType w:val="hybridMultilevel"/>
    <w:tmpl w:val="4272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F44F7"/>
    <w:multiLevelType w:val="hybridMultilevel"/>
    <w:tmpl w:val="272634AE"/>
    <w:lvl w:ilvl="0" w:tplc="615EDCCA">
      <w:start w:val="1"/>
      <w:numFmt w:val="decimal"/>
      <w:lvlText w:val="%1."/>
      <w:lvlJc w:val="left"/>
      <w:pPr>
        <w:ind w:left="420" w:hanging="360"/>
      </w:pPr>
      <w:rPr>
        <w:rFonts w:hint="default"/>
        <w:b w:val="0"/>
        <w:i w:val="0"/>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2FE17A6E"/>
    <w:multiLevelType w:val="hybridMultilevel"/>
    <w:tmpl w:val="D11CDF1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B845D3"/>
    <w:multiLevelType w:val="hybridMultilevel"/>
    <w:tmpl w:val="A0DEDCDE"/>
    <w:lvl w:ilvl="0" w:tplc="6B80AB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C4F3072"/>
    <w:multiLevelType w:val="hybridMultilevel"/>
    <w:tmpl w:val="4866FB96"/>
    <w:lvl w:ilvl="0" w:tplc="441AEDE2">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 w15:restartNumberingAfterBreak="0">
    <w:nsid w:val="4E154EEA"/>
    <w:multiLevelType w:val="hybridMultilevel"/>
    <w:tmpl w:val="CB3AF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775649"/>
    <w:multiLevelType w:val="hybridMultilevel"/>
    <w:tmpl w:val="235AB22E"/>
    <w:lvl w:ilvl="0" w:tplc="6682096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5643005C"/>
    <w:multiLevelType w:val="hybridMultilevel"/>
    <w:tmpl w:val="BEECD340"/>
    <w:lvl w:ilvl="0" w:tplc="9750532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15:restartNumberingAfterBreak="0">
    <w:nsid w:val="5699611B"/>
    <w:multiLevelType w:val="hybridMultilevel"/>
    <w:tmpl w:val="02049BBC"/>
    <w:lvl w:ilvl="0" w:tplc="3904D1B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15:restartNumberingAfterBreak="0">
    <w:nsid w:val="5D45633B"/>
    <w:multiLevelType w:val="hybridMultilevel"/>
    <w:tmpl w:val="EB7EC782"/>
    <w:lvl w:ilvl="0" w:tplc="7B3E86D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5D8E6A9B"/>
    <w:multiLevelType w:val="hybridMultilevel"/>
    <w:tmpl w:val="F4449014"/>
    <w:lvl w:ilvl="0" w:tplc="E4D2E50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62B3328E"/>
    <w:multiLevelType w:val="hybridMultilevel"/>
    <w:tmpl w:val="75269B90"/>
    <w:lvl w:ilvl="0" w:tplc="E356EFB4">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6" w15:restartNumberingAfterBreak="0">
    <w:nsid w:val="64E15091"/>
    <w:multiLevelType w:val="hybridMultilevel"/>
    <w:tmpl w:val="9A1C93A2"/>
    <w:lvl w:ilvl="0" w:tplc="0874BE6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7" w15:restartNumberingAfterBreak="0">
    <w:nsid w:val="65856E08"/>
    <w:multiLevelType w:val="hybridMultilevel"/>
    <w:tmpl w:val="357AEAE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E62621"/>
    <w:multiLevelType w:val="hybridMultilevel"/>
    <w:tmpl w:val="56D6C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556A6B"/>
    <w:multiLevelType w:val="hybridMultilevel"/>
    <w:tmpl w:val="38D220C0"/>
    <w:lvl w:ilvl="0" w:tplc="D2E099FE">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0" w15:restartNumberingAfterBreak="0">
    <w:nsid w:val="766C6395"/>
    <w:multiLevelType w:val="hybridMultilevel"/>
    <w:tmpl w:val="83A23E2A"/>
    <w:lvl w:ilvl="0" w:tplc="C4709B2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78006AAE"/>
    <w:multiLevelType w:val="hybridMultilevel"/>
    <w:tmpl w:val="E97A7190"/>
    <w:lvl w:ilvl="0" w:tplc="0896CF00">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9"/>
  </w:num>
  <w:num w:numId="2">
    <w:abstractNumId w:val="0"/>
  </w:num>
  <w:num w:numId="3">
    <w:abstractNumId w:val="8"/>
  </w:num>
  <w:num w:numId="4">
    <w:abstractNumId w:val="1"/>
  </w:num>
  <w:num w:numId="5">
    <w:abstractNumId w:val="7"/>
  </w:num>
  <w:num w:numId="6">
    <w:abstractNumId w:val="20"/>
  </w:num>
  <w:num w:numId="7">
    <w:abstractNumId w:val="18"/>
  </w:num>
  <w:num w:numId="8">
    <w:abstractNumId w:val="3"/>
  </w:num>
  <w:num w:numId="9">
    <w:abstractNumId w:val="15"/>
  </w:num>
  <w:num w:numId="10">
    <w:abstractNumId w:val="11"/>
  </w:num>
  <w:num w:numId="11">
    <w:abstractNumId w:val="12"/>
  </w:num>
  <w:num w:numId="12">
    <w:abstractNumId w:val="14"/>
  </w:num>
  <w:num w:numId="13">
    <w:abstractNumId w:val="10"/>
  </w:num>
  <w:num w:numId="14">
    <w:abstractNumId w:val="16"/>
  </w:num>
  <w:num w:numId="15">
    <w:abstractNumId w:val="13"/>
  </w:num>
  <w:num w:numId="16">
    <w:abstractNumId w:val="17"/>
  </w:num>
  <w:num w:numId="17">
    <w:abstractNumId w:val="2"/>
  </w:num>
  <w:num w:numId="18">
    <w:abstractNumId w:val="6"/>
  </w:num>
  <w:num w:numId="19">
    <w:abstractNumId w:val="9"/>
  </w:num>
  <w:num w:numId="20">
    <w:abstractNumId w:val="4"/>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9BE"/>
    <w:rsid w:val="000C2814"/>
    <w:rsid w:val="000E12B0"/>
    <w:rsid w:val="00107A74"/>
    <w:rsid w:val="0017080B"/>
    <w:rsid w:val="00171E58"/>
    <w:rsid w:val="001A0B16"/>
    <w:rsid w:val="00203B51"/>
    <w:rsid w:val="002139EB"/>
    <w:rsid w:val="002178C3"/>
    <w:rsid w:val="00264CA4"/>
    <w:rsid w:val="0027143A"/>
    <w:rsid w:val="0036509F"/>
    <w:rsid w:val="00387F1A"/>
    <w:rsid w:val="00391F45"/>
    <w:rsid w:val="003C244D"/>
    <w:rsid w:val="004015AB"/>
    <w:rsid w:val="004102CA"/>
    <w:rsid w:val="004A202D"/>
    <w:rsid w:val="00582308"/>
    <w:rsid w:val="00611345"/>
    <w:rsid w:val="00635BF0"/>
    <w:rsid w:val="006719FE"/>
    <w:rsid w:val="006F55BF"/>
    <w:rsid w:val="00731431"/>
    <w:rsid w:val="00772397"/>
    <w:rsid w:val="00834C97"/>
    <w:rsid w:val="00844209"/>
    <w:rsid w:val="00846E8F"/>
    <w:rsid w:val="008B12EB"/>
    <w:rsid w:val="008F3114"/>
    <w:rsid w:val="0091753C"/>
    <w:rsid w:val="00931FB4"/>
    <w:rsid w:val="00AB44D7"/>
    <w:rsid w:val="00B276B7"/>
    <w:rsid w:val="00BE4DE1"/>
    <w:rsid w:val="00C425B1"/>
    <w:rsid w:val="00C84739"/>
    <w:rsid w:val="00C9358C"/>
    <w:rsid w:val="00D4061B"/>
    <w:rsid w:val="00D65F58"/>
    <w:rsid w:val="00DC5BCD"/>
    <w:rsid w:val="00E14E51"/>
    <w:rsid w:val="00E157CD"/>
    <w:rsid w:val="00E722D4"/>
    <w:rsid w:val="00E76BCA"/>
    <w:rsid w:val="00EA2B7A"/>
    <w:rsid w:val="00EC138B"/>
    <w:rsid w:val="00F3298B"/>
    <w:rsid w:val="00FB1073"/>
    <w:rsid w:val="00FD39BE"/>
    <w:rsid w:val="00FD6E01"/>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B6714306-DEF0-46C2-A5AA-34C8C0959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9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3A"/>
    <w:pPr>
      <w:ind w:left="720"/>
      <w:contextualSpacing/>
    </w:pPr>
  </w:style>
  <w:style w:type="paragraph" w:styleId="BalloonText">
    <w:name w:val="Balloon Text"/>
    <w:basedOn w:val="Normal"/>
    <w:link w:val="BalloonTextChar"/>
    <w:uiPriority w:val="99"/>
    <w:semiHidden/>
    <w:unhideWhenUsed/>
    <w:rsid w:val="00844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20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064665">
      <w:bodyDiv w:val="1"/>
      <w:marLeft w:val="0"/>
      <w:marRight w:val="0"/>
      <w:marTop w:val="0"/>
      <w:marBottom w:val="0"/>
      <w:divBdr>
        <w:top w:val="none" w:sz="0" w:space="0" w:color="auto"/>
        <w:left w:val="none" w:sz="0" w:space="0" w:color="auto"/>
        <w:bottom w:val="none" w:sz="0" w:space="0" w:color="auto"/>
        <w:right w:val="none" w:sz="0" w:space="0" w:color="auto"/>
      </w:divBdr>
    </w:div>
    <w:div w:id="1110200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1195</Words>
  <Characters>6812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dc:description/>
  <cp:lastModifiedBy>Sociology</cp:lastModifiedBy>
  <cp:revision>2</cp:revision>
  <cp:lastPrinted>2019-01-15T03:41:00Z</cp:lastPrinted>
  <dcterms:created xsi:type="dcterms:W3CDTF">2019-01-17T16:44:00Z</dcterms:created>
  <dcterms:modified xsi:type="dcterms:W3CDTF">2019-01-17T16:44:00Z</dcterms:modified>
</cp:coreProperties>
</file>