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8C" w:rsidRDefault="00C70545">
      <w:pPr>
        <w:widowControl w:val="0"/>
        <w:autoSpaceDE w:val="0"/>
        <w:autoSpaceDN w:val="0"/>
        <w:adjustRightInd w:val="0"/>
        <w:spacing w:line="240" w:lineRule="atLeast"/>
        <w:jc w:val="center"/>
        <w:rPr>
          <w:b/>
          <w:bCs/>
          <w:sz w:val="20"/>
          <w:szCs w:val="20"/>
        </w:rPr>
      </w:pPr>
      <w:r>
        <w:rPr>
          <w:b/>
          <w:bCs/>
          <w:sz w:val="28"/>
          <w:szCs w:val="28"/>
        </w:rPr>
        <w:t>Graduate Gender, Race, Class &amp; Crime</w:t>
      </w:r>
    </w:p>
    <w:p w:rsidR="00886E8C" w:rsidRDefault="00C4295B">
      <w:pPr>
        <w:widowControl w:val="0"/>
        <w:autoSpaceDE w:val="0"/>
        <w:autoSpaceDN w:val="0"/>
        <w:adjustRightInd w:val="0"/>
        <w:spacing w:line="240" w:lineRule="atLeast"/>
        <w:jc w:val="center"/>
        <w:rPr>
          <w:b/>
          <w:bCs/>
          <w:sz w:val="20"/>
          <w:szCs w:val="20"/>
        </w:rPr>
      </w:pPr>
      <w:r>
        <w:rPr>
          <w:b/>
          <w:bCs/>
          <w:sz w:val="20"/>
          <w:szCs w:val="20"/>
        </w:rPr>
        <w:t>SOCY</w:t>
      </w:r>
      <w:r w:rsidR="00E33234">
        <w:rPr>
          <w:b/>
          <w:bCs/>
          <w:sz w:val="20"/>
          <w:szCs w:val="20"/>
        </w:rPr>
        <w:t xml:space="preserve"> </w:t>
      </w:r>
      <w:r w:rsidR="00C70545">
        <w:rPr>
          <w:b/>
          <w:bCs/>
          <w:sz w:val="20"/>
          <w:szCs w:val="20"/>
        </w:rPr>
        <w:t>7171-004</w:t>
      </w:r>
      <w:r w:rsidR="00E33234">
        <w:rPr>
          <w:b/>
          <w:bCs/>
          <w:sz w:val="20"/>
          <w:szCs w:val="20"/>
        </w:rPr>
        <w:t xml:space="preserve"> </w:t>
      </w:r>
      <w:r>
        <w:rPr>
          <w:b/>
          <w:bCs/>
          <w:sz w:val="20"/>
          <w:szCs w:val="20"/>
        </w:rPr>
        <w:t>Fall 20</w:t>
      </w:r>
      <w:r w:rsidR="00A9531B">
        <w:rPr>
          <w:b/>
          <w:bCs/>
          <w:sz w:val="20"/>
          <w:szCs w:val="20"/>
        </w:rPr>
        <w:t>1</w:t>
      </w:r>
      <w:r w:rsidR="00C746AB">
        <w:rPr>
          <w:b/>
          <w:bCs/>
          <w:sz w:val="20"/>
          <w:szCs w:val="20"/>
        </w:rPr>
        <w:t>3</w:t>
      </w:r>
    </w:p>
    <w:p w:rsidR="00A71994" w:rsidRDefault="00A71994">
      <w:pPr>
        <w:widowControl w:val="0"/>
        <w:autoSpaceDE w:val="0"/>
        <w:autoSpaceDN w:val="0"/>
        <w:adjustRightInd w:val="0"/>
        <w:spacing w:line="240" w:lineRule="atLeast"/>
        <w:jc w:val="center"/>
        <w:rPr>
          <w:sz w:val="20"/>
          <w:szCs w:val="20"/>
        </w:rPr>
      </w:pPr>
    </w:p>
    <w:p w:rsidR="00886E8C" w:rsidRDefault="003E7D65" w:rsidP="003E7D65">
      <w:pPr>
        <w:widowControl w:val="0"/>
        <w:autoSpaceDE w:val="0"/>
        <w:autoSpaceDN w:val="0"/>
        <w:adjustRightInd w:val="0"/>
        <w:spacing w:line="240" w:lineRule="atLeast"/>
        <w:rPr>
          <w:sz w:val="20"/>
          <w:szCs w:val="20"/>
        </w:rPr>
      </w:pPr>
      <w:r>
        <w:rPr>
          <w:sz w:val="20"/>
          <w:szCs w:val="20"/>
        </w:rPr>
        <w:t xml:space="preserve">Professor:  </w:t>
      </w:r>
      <w:r w:rsidR="00886E8C">
        <w:rPr>
          <w:sz w:val="20"/>
          <w:szCs w:val="20"/>
        </w:rPr>
        <w:t>Joanne Belknap, Ph.D.</w:t>
      </w:r>
      <w:r w:rsidR="00E32F9F">
        <w:rPr>
          <w:sz w:val="20"/>
          <w:szCs w:val="20"/>
        </w:rPr>
        <w:t>, Dept. Chair</w:t>
      </w:r>
      <w:r w:rsidR="00886E8C">
        <w:rPr>
          <w:sz w:val="20"/>
          <w:szCs w:val="20"/>
        </w:rPr>
        <w:tab/>
      </w:r>
      <w:r w:rsidR="00886E8C">
        <w:rPr>
          <w:sz w:val="20"/>
          <w:szCs w:val="20"/>
        </w:rPr>
        <w:tab/>
      </w:r>
      <w:r w:rsidR="00886E8C">
        <w:rPr>
          <w:sz w:val="20"/>
          <w:szCs w:val="20"/>
        </w:rPr>
        <w:tab/>
      </w:r>
      <w:r w:rsidR="00886E8C">
        <w:rPr>
          <w:sz w:val="20"/>
          <w:szCs w:val="20"/>
        </w:rPr>
        <w:tab/>
      </w:r>
      <w:r w:rsidR="00886E8C">
        <w:rPr>
          <w:sz w:val="20"/>
          <w:szCs w:val="20"/>
        </w:rPr>
        <w:tab/>
      </w:r>
      <w:r w:rsidR="00886E8C">
        <w:rPr>
          <w:sz w:val="20"/>
          <w:szCs w:val="20"/>
        </w:rPr>
        <w:tab/>
      </w:r>
    </w:p>
    <w:p w:rsidR="00131DF4" w:rsidRPr="00131DF4" w:rsidRDefault="00131DF4" w:rsidP="00131DF4">
      <w:pPr>
        <w:widowControl w:val="0"/>
        <w:autoSpaceDE w:val="0"/>
        <w:autoSpaceDN w:val="0"/>
        <w:adjustRightInd w:val="0"/>
        <w:spacing w:line="240" w:lineRule="atLeast"/>
        <w:rPr>
          <w:sz w:val="20"/>
          <w:szCs w:val="20"/>
        </w:rPr>
      </w:pPr>
      <w:r>
        <w:rPr>
          <w:sz w:val="20"/>
          <w:szCs w:val="20"/>
        </w:rPr>
        <w:tab/>
      </w:r>
      <w:r w:rsidR="00C746AB">
        <w:rPr>
          <w:sz w:val="20"/>
          <w:szCs w:val="20"/>
        </w:rPr>
        <w:t>Ketchum 210</w:t>
      </w:r>
    </w:p>
    <w:p w:rsidR="00131DF4" w:rsidRPr="00131DF4" w:rsidRDefault="00131DF4" w:rsidP="00131DF4">
      <w:pPr>
        <w:widowControl w:val="0"/>
        <w:autoSpaceDE w:val="0"/>
        <w:autoSpaceDN w:val="0"/>
        <w:adjustRightInd w:val="0"/>
        <w:spacing w:line="240" w:lineRule="atLeast"/>
        <w:rPr>
          <w:sz w:val="20"/>
          <w:szCs w:val="20"/>
        </w:rPr>
      </w:pPr>
      <w:r>
        <w:rPr>
          <w:sz w:val="20"/>
          <w:szCs w:val="20"/>
        </w:rPr>
        <w:tab/>
      </w:r>
      <w:r w:rsidRPr="00131DF4">
        <w:rPr>
          <w:sz w:val="20"/>
          <w:szCs w:val="20"/>
        </w:rPr>
        <w:t xml:space="preserve">Phone: </w:t>
      </w:r>
      <w:r w:rsidR="00C03FCC">
        <w:rPr>
          <w:sz w:val="20"/>
          <w:szCs w:val="20"/>
        </w:rPr>
        <w:t>303/</w:t>
      </w:r>
      <w:r w:rsidRPr="00131DF4">
        <w:rPr>
          <w:sz w:val="20"/>
          <w:szCs w:val="20"/>
        </w:rPr>
        <w:t>735-2182</w:t>
      </w:r>
      <w:r w:rsidRPr="00131DF4">
        <w:rPr>
          <w:sz w:val="20"/>
          <w:szCs w:val="20"/>
        </w:rPr>
        <w:tab/>
      </w:r>
    </w:p>
    <w:p w:rsidR="00131DF4" w:rsidRPr="00131DF4" w:rsidRDefault="00131DF4" w:rsidP="00131DF4">
      <w:pPr>
        <w:widowControl w:val="0"/>
        <w:autoSpaceDE w:val="0"/>
        <w:autoSpaceDN w:val="0"/>
        <w:adjustRightInd w:val="0"/>
        <w:spacing w:line="240" w:lineRule="atLeast"/>
        <w:rPr>
          <w:sz w:val="20"/>
          <w:szCs w:val="20"/>
        </w:rPr>
      </w:pPr>
      <w:r>
        <w:rPr>
          <w:sz w:val="20"/>
          <w:szCs w:val="20"/>
        </w:rPr>
        <w:tab/>
      </w:r>
      <w:proofErr w:type="gramStart"/>
      <w:r w:rsidRPr="00131DF4">
        <w:rPr>
          <w:sz w:val="20"/>
          <w:szCs w:val="20"/>
        </w:rPr>
        <w:t>e-mail</w:t>
      </w:r>
      <w:proofErr w:type="gramEnd"/>
      <w:r w:rsidRPr="00131DF4">
        <w:rPr>
          <w:sz w:val="20"/>
          <w:szCs w:val="20"/>
        </w:rPr>
        <w:t>: joanne.belknap@colorado.edu</w:t>
      </w:r>
      <w:r w:rsidRPr="00131DF4">
        <w:rPr>
          <w:sz w:val="20"/>
          <w:szCs w:val="20"/>
        </w:rPr>
        <w:tab/>
      </w:r>
    </w:p>
    <w:p w:rsidR="00131DF4" w:rsidRPr="00131DF4" w:rsidRDefault="00131DF4" w:rsidP="00131DF4">
      <w:pPr>
        <w:widowControl w:val="0"/>
        <w:autoSpaceDE w:val="0"/>
        <w:autoSpaceDN w:val="0"/>
        <w:adjustRightInd w:val="0"/>
        <w:spacing w:line="240" w:lineRule="atLeast"/>
        <w:rPr>
          <w:sz w:val="20"/>
          <w:szCs w:val="20"/>
        </w:rPr>
      </w:pPr>
      <w:r w:rsidRPr="00131DF4">
        <w:rPr>
          <w:sz w:val="20"/>
          <w:szCs w:val="20"/>
        </w:rPr>
        <w:t xml:space="preserve">Office Hours:  </w:t>
      </w:r>
      <w:r w:rsidR="00C03FCC" w:rsidRPr="00C03FCC">
        <w:rPr>
          <w:sz w:val="20"/>
          <w:szCs w:val="20"/>
        </w:rPr>
        <w:t>Mondays</w:t>
      </w:r>
      <w:r w:rsidR="00924A80" w:rsidRPr="00C03FCC">
        <w:rPr>
          <w:sz w:val="20"/>
          <w:szCs w:val="20"/>
        </w:rPr>
        <w:t xml:space="preserve"> </w:t>
      </w:r>
      <w:r w:rsidR="00C03FCC" w:rsidRPr="00C03FCC">
        <w:rPr>
          <w:sz w:val="20"/>
          <w:szCs w:val="20"/>
        </w:rPr>
        <w:t>1:00-3:00 p</w:t>
      </w:r>
      <w:r w:rsidR="00924A80" w:rsidRPr="00C03FCC">
        <w:rPr>
          <w:sz w:val="20"/>
          <w:szCs w:val="20"/>
        </w:rPr>
        <w:t>.m.</w:t>
      </w:r>
      <w:r w:rsidRPr="00C03FCC">
        <w:rPr>
          <w:sz w:val="20"/>
          <w:szCs w:val="20"/>
        </w:rPr>
        <w:t xml:space="preserve"> and by appointmen</w:t>
      </w:r>
      <w:r w:rsidR="00C03FCC" w:rsidRPr="00C03FCC">
        <w:rPr>
          <w:sz w:val="20"/>
          <w:szCs w:val="20"/>
        </w:rPr>
        <w:t>t</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jc w:val="center"/>
        <w:rPr>
          <w:sz w:val="20"/>
          <w:szCs w:val="20"/>
        </w:rPr>
      </w:pPr>
      <w:r>
        <w:rPr>
          <w:b/>
          <w:bCs/>
          <w:sz w:val="20"/>
          <w:szCs w:val="20"/>
        </w:rPr>
        <w:t xml:space="preserve">REQUIRED </w:t>
      </w:r>
      <w:smartTag w:uri="urn:schemas-microsoft-com:office:smarttags" w:element="place">
        <w:smartTag w:uri="urn:schemas-microsoft-com:office:smarttags" w:element="City">
          <w:r>
            <w:rPr>
              <w:b/>
              <w:bCs/>
              <w:sz w:val="20"/>
              <w:szCs w:val="20"/>
            </w:rPr>
            <w:t>READINGS</w:t>
          </w:r>
        </w:smartTag>
      </w:smartTag>
    </w:p>
    <w:p w:rsidR="00886E8C" w:rsidRDefault="00886E8C">
      <w:pPr>
        <w:widowControl w:val="0"/>
        <w:autoSpaceDE w:val="0"/>
        <w:autoSpaceDN w:val="0"/>
        <w:adjustRightInd w:val="0"/>
        <w:spacing w:line="240" w:lineRule="atLeast"/>
        <w:jc w:val="center"/>
        <w:rPr>
          <w:sz w:val="20"/>
          <w:szCs w:val="20"/>
        </w:rPr>
      </w:pPr>
    </w:p>
    <w:p w:rsidR="0044706F" w:rsidRDefault="00E32F9F" w:rsidP="0044706F">
      <w:pPr>
        <w:widowControl w:val="0"/>
        <w:numPr>
          <w:ilvl w:val="0"/>
          <w:numId w:val="1"/>
        </w:numPr>
        <w:autoSpaceDE w:val="0"/>
        <w:autoSpaceDN w:val="0"/>
        <w:adjustRightInd w:val="0"/>
        <w:spacing w:line="240" w:lineRule="atLeast"/>
        <w:rPr>
          <w:sz w:val="20"/>
          <w:szCs w:val="20"/>
        </w:rPr>
      </w:pPr>
      <w:r>
        <w:rPr>
          <w:sz w:val="20"/>
          <w:szCs w:val="20"/>
        </w:rPr>
        <w:t xml:space="preserve">Alexander, Michelle. 2010 </w:t>
      </w:r>
      <w:r>
        <w:rPr>
          <w:i/>
          <w:sz w:val="20"/>
          <w:szCs w:val="20"/>
        </w:rPr>
        <w:t xml:space="preserve">The New Jim Crow: Mass Incarceration in the Age of Colorblindness. </w:t>
      </w:r>
      <w:r>
        <w:rPr>
          <w:sz w:val="20"/>
          <w:szCs w:val="20"/>
        </w:rPr>
        <w:t xml:space="preserve"> New York: New Press.</w:t>
      </w:r>
    </w:p>
    <w:p w:rsidR="00621AA2" w:rsidRDefault="00E32F9F" w:rsidP="0044706F">
      <w:pPr>
        <w:widowControl w:val="0"/>
        <w:numPr>
          <w:ilvl w:val="0"/>
          <w:numId w:val="1"/>
        </w:numPr>
        <w:autoSpaceDE w:val="0"/>
        <w:autoSpaceDN w:val="0"/>
        <w:adjustRightInd w:val="0"/>
        <w:spacing w:line="240" w:lineRule="atLeast"/>
        <w:rPr>
          <w:sz w:val="20"/>
          <w:szCs w:val="20"/>
        </w:rPr>
      </w:pPr>
      <w:r>
        <w:rPr>
          <w:sz w:val="20"/>
          <w:szCs w:val="20"/>
        </w:rPr>
        <w:t xml:space="preserve">Richie, Beth E. 2012. </w:t>
      </w:r>
      <w:r>
        <w:rPr>
          <w:i/>
          <w:sz w:val="20"/>
          <w:szCs w:val="20"/>
        </w:rPr>
        <w:t>Arrested Justice: Black Women, Violence, and America’s Prison Nation.</w:t>
      </w:r>
      <w:r>
        <w:rPr>
          <w:sz w:val="20"/>
          <w:szCs w:val="20"/>
        </w:rPr>
        <w:t xml:space="preserve"> New York: New York University Press.</w:t>
      </w:r>
    </w:p>
    <w:p w:rsidR="00E32F9F" w:rsidRDefault="00E32F9F" w:rsidP="0044706F">
      <w:pPr>
        <w:widowControl w:val="0"/>
        <w:numPr>
          <w:ilvl w:val="0"/>
          <w:numId w:val="1"/>
        </w:numPr>
        <w:autoSpaceDE w:val="0"/>
        <w:autoSpaceDN w:val="0"/>
        <w:adjustRightInd w:val="0"/>
        <w:spacing w:line="240" w:lineRule="atLeast"/>
        <w:rPr>
          <w:sz w:val="20"/>
          <w:szCs w:val="20"/>
        </w:rPr>
      </w:pPr>
      <w:r>
        <w:rPr>
          <w:sz w:val="20"/>
          <w:szCs w:val="20"/>
        </w:rPr>
        <w:t>Journal articles</w:t>
      </w:r>
      <w:r w:rsidR="00F060DC">
        <w:rPr>
          <w:sz w:val="20"/>
          <w:szCs w:val="20"/>
        </w:rPr>
        <w:t xml:space="preserve"> listed later in this syllabus and available on </w:t>
      </w:r>
      <w:r w:rsidR="00C03FCC">
        <w:rPr>
          <w:sz w:val="20"/>
          <w:szCs w:val="20"/>
        </w:rPr>
        <w:t>D2L</w:t>
      </w:r>
      <w:r w:rsidR="00F060DC">
        <w:rPr>
          <w:sz w:val="20"/>
          <w:szCs w:val="20"/>
        </w:rPr>
        <w:t xml:space="preserve"> or in a course packet.</w:t>
      </w:r>
    </w:p>
    <w:p w:rsidR="0044706F" w:rsidRDefault="0044706F" w:rsidP="0044706F">
      <w:pPr>
        <w:widowControl w:val="0"/>
        <w:autoSpaceDE w:val="0"/>
        <w:autoSpaceDN w:val="0"/>
        <w:adjustRightInd w:val="0"/>
        <w:spacing w:line="240" w:lineRule="atLeast"/>
        <w:rPr>
          <w:sz w:val="20"/>
          <w:szCs w:val="20"/>
        </w:rPr>
      </w:pPr>
    </w:p>
    <w:p w:rsidR="00886E8C" w:rsidRDefault="00A9531B">
      <w:pPr>
        <w:widowControl w:val="0"/>
        <w:autoSpaceDE w:val="0"/>
        <w:autoSpaceDN w:val="0"/>
        <w:adjustRightInd w:val="0"/>
        <w:spacing w:line="240" w:lineRule="atLeast"/>
        <w:jc w:val="center"/>
        <w:rPr>
          <w:sz w:val="20"/>
          <w:szCs w:val="20"/>
        </w:rPr>
      </w:pPr>
      <w:r>
        <w:rPr>
          <w:b/>
          <w:bCs/>
          <w:sz w:val="20"/>
          <w:szCs w:val="20"/>
        </w:rPr>
        <w:t>COURSE</w:t>
      </w:r>
      <w:r w:rsidR="00886E8C">
        <w:rPr>
          <w:b/>
          <w:bCs/>
          <w:sz w:val="20"/>
          <w:szCs w:val="20"/>
        </w:rPr>
        <w:t xml:space="preserve"> IDEOLOGY</w:t>
      </w:r>
    </w:p>
    <w:p w:rsidR="00886E8C" w:rsidRDefault="00886E8C">
      <w:pPr>
        <w:widowControl w:val="0"/>
        <w:autoSpaceDE w:val="0"/>
        <w:autoSpaceDN w:val="0"/>
        <w:adjustRightInd w:val="0"/>
        <w:spacing w:line="240" w:lineRule="atLeast"/>
        <w:rPr>
          <w:sz w:val="20"/>
          <w:szCs w:val="20"/>
        </w:rPr>
      </w:pPr>
    </w:p>
    <w:p w:rsidR="00C4295B" w:rsidRPr="00C4295B" w:rsidRDefault="00E32F9F" w:rsidP="00C4295B">
      <w:pPr>
        <w:widowControl w:val="0"/>
        <w:autoSpaceDE w:val="0"/>
        <w:autoSpaceDN w:val="0"/>
        <w:adjustRightInd w:val="0"/>
        <w:spacing w:line="240" w:lineRule="atLeast"/>
        <w:rPr>
          <w:sz w:val="20"/>
          <w:szCs w:val="20"/>
        </w:rPr>
      </w:pPr>
      <w:r>
        <w:rPr>
          <w:sz w:val="20"/>
          <w:szCs w:val="20"/>
        </w:rPr>
        <w:t xml:space="preserve">The goal of this course is to examine </w:t>
      </w:r>
      <w:r w:rsidR="007C4C8A">
        <w:rPr>
          <w:sz w:val="20"/>
          <w:szCs w:val="20"/>
        </w:rPr>
        <w:t>crime and the</w:t>
      </w:r>
      <w:r>
        <w:rPr>
          <w:sz w:val="20"/>
          <w:szCs w:val="20"/>
        </w:rPr>
        <w:t xml:space="preserve"> criminal legal system practices, </w:t>
      </w:r>
      <w:r w:rsidR="00C03FCC">
        <w:rPr>
          <w:sz w:val="20"/>
          <w:szCs w:val="20"/>
        </w:rPr>
        <w:t>through the lens of intersecting oppressions</w:t>
      </w:r>
      <w:r>
        <w:rPr>
          <w:sz w:val="20"/>
          <w:szCs w:val="20"/>
        </w:rPr>
        <w:t xml:space="preserve">, particularly racism, sexism and classism.  Other types of oppression are also in some of the readings (e.g., heterosexism/homophobia), and some research in countries outside of the U.S.  </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jc w:val="center"/>
        <w:rPr>
          <w:sz w:val="20"/>
          <w:szCs w:val="20"/>
        </w:rPr>
      </w:pPr>
      <w:r>
        <w:rPr>
          <w:b/>
          <w:bCs/>
          <w:sz w:val="20"/>
          <w:szCs w:val="20"/>
        </w:rPr>
        <w:t>TEACHING IDEOLOGY</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sz w:val="20"/>
          <w:szCs w:val="20"/>
        </w:rPr>
        <w:t>I expect that this graduate seminar will involve little lecturing</w:t>
      </w:r>
      <w:r w:rsidR="0099756D">
        <w:rPr>
          <w:sz w:val="20"/>
          <w:szCs w:val="20"/>
        </w:rPr>
        <w:t xml:space="preserve"> per se after the first week</w:t>
      </w:r>
      <w:r>
        <w:rPr>
          <w:sz w:val="20"/>
          <w:szCs w:val="20"/>
        </w:rPr>
        <w:t xml:space="preserve"> (although there will be some), and consist more of an informed discussion based on a careful review of the assigned readings.  My goal is to have students leave the course with </w:t>
      </w:r>
      <w:r w:rsidR="007C4C8A">
        <w:rPr>
          <w:sz w:val="20"/>
          <w:szCs w:val="20"/>
        </w:rPr>
        <w:t>advanced</w:t>
      </w:r>
      <w:r>
        <w:rPr>
          <w:sz w:val="20"/>
          <w:szCs w:val="20"/>
        </w:rPr>
        <w:t xml:space="preserve"> knowledge </w:t>
      </w:r>
      <w:r w:rsidR="007C4C8A">
        <w:rPr>
          <w:sz w:val="20"/>
          <w:szCs w:val="20"/>
        </w:rPr>
        <w:t>on</w:t>
      </w:r>
      <w:r>
        <w:rPr>
          <w:sz w:val="20"/>
          <w:szCs w:val="20"/>
        </w:rPr>
        <w:t xml:space="preserve"> </w:t>
      </w:r>
      <w:r w:rsidR="00E32F9F">
        <w:rPr>
          <w:sz w:val="20"/>
          <w:szCs w:val="20"/>
        </w:rPr>
        <w:t xml:space="preserve">the intersections of oppression in </w:t>
      </w:r>
      <w:r w:rsidR="007C4C8A">
        <w:rPr>
          <w:sz w:val="20"/>
          <w:szCs w:val="20"/>
        </w:rPr>
        <w:t xml:space="preserve">crime and </w:t>
      </w:r>
      <w:r w:rsidR="00E32F9F">
        <w:rPr>
          <w:sz w:val="20"/>
          <w:szCs w:val="20"/>
        </w:rPr>
        <w:t>the criminal legal system</w:t>
      </w:r>
      <w:r>
        <w:rPr>
          <w:sz w:val="20"/>
          <w:szCs w:val="20"/>
        </w:rPr>
        <w:t>.</w:t>
      </w:r>
      <w:r w:rsidR="0099756D">
        <w:rPr>
          <w:sz w:val="20"/>
          <w:szCs w:val="20"/>
        </w:rPr>
        <w:t xml:space="preserve">  </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jc w:val="center"/>
        <w:rPr>
          <w:sz w:val="20"/>
          <w:szCs w:val="20"/>
        </w:rPr>
      </w:pPr>
      <w:r>
        <w:rPr>
          <w:b/>
          <w:bCs/>
          <w:sz w:val="20"/>
          <w:szCs w:val="20"/>
        </w:rPr>
        <w:t>GRADING</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sz w:val="20"/>
          <w:szCs w:val="20"/>
        </w:rPr>
        <w:t xml:space="preserve">There are two tracks for this course. Both tracks will write 10 “weekly” papers. </w:t>
      </w:r>
      <w:r w:rsidRPr="00CA2452">
        <w:rPr>
          <w:b/>
          <w:sz w:val="20"/>
          <w:szCs w:val="20"/>
        </w:rPr>
        <w:t>Track 1</w:t>
      </w:r>
      <w:r>
        <w:rPr>
          <w:sz w:val="20"/>
          <w:szCs w:val="20"/>
        </w:rPr>
        <w:t xml:space="preserve"> students will take </w:t>
      </w:r>
      <w:r w:rsidR="00515FD6">
        <w:rPr>
          <w:sz w:val="20"/>
          <w:szCs w:val="20"/>
        </w:rPr>
        <w:t xml:space="preserve">two take-home exams.  One will be due to on </w:t>
      </w:r>
      <w:r w:rsidR="00CA2452">
        <w:rPr>
          <w:sz w:val="20"/>
          <w:szCs w:val="20"/>
        </w:rPr>
        <w:t>October 2</w:t>
      </w:r>
      <w:r w:rsidR="007C4C8A">
        <w:rPr>
          <w:sz w:val="20"/>
          <w:szCs w:val="20"/>
        </w:rPr>
        <w:t>1</w:t>
      </w:r>
      <w:r w:rsidR="00346713" w:rsidRPr="00346713">
        <w:rPr>
          <w:sz w:val="20"/>
          <w:szCs w:val="20"/>
          <w:vertAlign w:val="superscript"/>
        </w:rPr>
        <w:t>th</w:t>
      </w:r>
      <w:r w:rsidR="00515FD6">
        <w:rPr>
          <w:sz w:val="20"/>
          <w:szCs w:val="20"/>
        </w:rPr>
        <w:t xml:space="preserve"> by </w:t>
      </w:r>
      <w:r w:rsidR="0036173E">
        <w:rPr>
          <w:sz w:val="20"/>
          <w:szCs w:val="20"/>
        </w:rPr>
        <w:t>9:</w:t>
      </w:r>
      <w:proofErr w:type="gramStart"/>
      <w:r w:rsidR="0036173E">
        <w:rPr>
          <w:sz w:val="20"/>
          <w:szCs w:val="20"/>
        </w:rPr>
        <w:t>00a.m,</w:t>
      </w:r>
      <w:proofErr w:type="gramEnd"/>
      <w:r w:rsidR="00515FD6">
        <w:rPr>
          <w:sz w:val="20"/>
          <w:szCs w:val="20"/>
        </w:rPr>
        <w:t xml:space="preserve"> and the second will be due on </w:t>
      </w:r>
      <w:r w:rsidR="00CA2452">
        <w:rPr>
          <w:sz w:val="20"/>
          <w:szCs w:val="20"/>
        </w:rPr>
        <w:t>December 1</w:t>
      </w:r>
      <w:r w:rsidR="00346713">
        <w:rPr>
          <w:sz w:val="20"/>
          <w:szCs w:val="20"/>
        </w:rPr>
        <w:t>5</w:t>
      </w:r>
      <w:r w:rsidR="00CA2452" w:rsidRPr="00CA2452">
        <w:rPr>
          <w:sz w:val="20"/>
          <w:szCs w:val="20"/>
          <w:vertAlign w:val="superscript"/>
        </w:rPr>
        <w:t>th</w:t>
      </w:r>
      <w:r w:rsidR="00515FD6">
        <w:rPr>
          <w:sz w:val="20"/>
          <w:szCs w:val="20"/>
        </w:rPr>
        <w:t xml:space="preserve"> </w:t>
      </w:r>
      <w:r w:rsidR="00346713">
        <w:rPr>
          <w:sz w:val="20"/>
          <w:szCs w:val="20"/>
        </w:rPr>
        <w:t xml:space="preserve">by </w:t>
      </w:r>
      <w:r w:rsidR="007C4C8A">
        <w:rPr>
          <w:sz w:val="20"/>
          <w:szCs w:val="20"/>
        </w:rPr>
        <w:t>5</w:t>
      </w:r>
      <w:r w:rsidR="00346713">
        <w:rPr>
          <w:sz w:val="20"/>
          <w:szCs w:val="20"/>
        </w:rPr>
        <w:t>:0</w:t>
      </w:r>
      <w:r w:rsidR="00515FD6">
        <w:rPr>
          <w:sz w:val="20"/>
          <w:szCs w:val="20"/>
        </w:rPr>
        <w:t>0 p.m.  The first exam is worth 20 points and the second exam is worth 30 points</w:t>
      </w:r>
      <w:r>
        <w:rPr>
          <w:sz w:val="20"/>
          <w:szCs w:val="20"/>
        </w:rPr>
        <w:t xml:space="preserve">.  </w:t>
      </w:r>
      <w:r w:rsidRPr="00CA2452">
        <w:rPr>
          <w:b/>
          <w:sz w:val="20"/>
          <w:szCs w:val="20"/>
        </w:rPr>
        <w:t xml:space="preserve">Track 2 </w:t>
      </w:r>
      <w:r>
        <w:rPr>
          <w:sz w:val="20"/>
          <w:szCs w:val="20"/>
        </w:rPr>
        <w:t xml:space="preserve">students will hand in a final paper </w:t>
      </w:r>
      <w:r w:rsidR="001D5583">
        <w:rPr>
          <w:sz w:val="20"/>
          <w:szCs w:val="20"/>
        </w:rPr>
        <w:t>(on a topic approved by the professor) due December 9</w:t>
      </w:r>
      <w:r w:rsidR="001D5583" w:rsidRPr="001D5583">
        <w:rPr>
          <w:sz w:val="20"/>
          <w:szCs w:val="20"/>
          <w:vertAlign w:val="superscript"/>
        </w:rPr>
        <w:t>th</w:t>
      </w:r>
      <w:r w:rsidR="001D5583">
        <w:rPr>
          <w:sz w:val="20"/>
          <w:szCs w:val="20"/>
        </w:rPr>
        <w:t xml:space="preserve"> 9:00 a.m.</w:t>
      </w:r>
      <w:r>
        <w:rPr>
          <w:sz w:val="20"/>
          <w:szCs w:val="20"/>
        </w:rPr>
        <w:t xml:space="preserve">  </w:t>
      </w:r>
      <w:r w:rsidR="002524C4">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i/>
          <w:iCs/>
          <w:sz w:val="20"/>
          <w:szCs w:val="20"/>
        </w:rPr>
        <w:t>Weekly papers</w:t>
      </w:r>
      <w:r>
        <w:rPr>
          <w:sz w:val="20"/>
          <w:szCs w:val="20"/>
        </w:rPr>
        <w:t xml:space="preserve"> are due at the beginning of class for the assigned readings due that week.  These papers should be 1 to 2 pages using a 10 to 12 point font</w:t>
      </w:r>
      <w:r w:rsidR="006D406D">
        <w:rPr>
          <w:sz w:val="20"/>
          <w:szCs w:val="20"/>
        </w:rPr>
        <w:t xml:space="preserve"> and brought to class and submitted on </w:t>
      </w:r>
      <w:r w:rsidR="001D5583">
        <w:rPr>
          <w:sz w:val="20"/>
          <w:szCs w:val="20"/>
        </w:rPr>
        <w:t>D2L</w:t>
      </w:r>
      <w:r>
        <w:rPr>
          <w:sz w:val="20"/>
          <w:szCs w:val="20"/>
        </w:rPr>
        <w:t xml:space="preserve">.  Ten of these papers are due, and </w:t>
      </w:r>
      <w:r w:rsidRPr="001D5583">
        <w:rPr>
          <w:i/>
          <w:sz w:val="20"/>
          <w:szCs w:val="20"/>
        </w:rPr>
        <w:t>to count, must be handed it at the beginning of class</w:t>
      </w:r>
      <w:r w:rsidR="00C4295B" w:rsidRPr="001D5583">
        <w:rPr>
          <w:i/>
          <w:sz w:val="20"/>
          <w:szCs w:val="20"/>
        </w:rPr>
        <w:t xml:space="preserve"> or e-mailed or submitted on </w:t>
      </w:r>
      <w:r w:rsidR="001D5583">
        <w:rPr>
          <w:i/>
          <w:sz w:val="20"/>
          <w:szCs w:val="20"/>
        </w:rPr>
        <w:t>D2L</w:t>
      </w:r>
      <w:r w:rsidR="00C4295B" w:rsidRPr="001D5583">
        <w:rPr>
          <w:i/>
          <w:sz w:val="20"/>
          <w:szCs w:val="20"/>
        </w:rPr>
        <w:t xml:space="preserve"> before the start of class</w:t>
      </w:r>
      <w:r>
        <w:rPr>
          <w:sz w:val="20"/>
          <w:szCs w:val="20"/>
        </w:rPr>
        <w:t>. (If a student is ill or misses class for any o</w:t>
      </w:r>
      <w:r w:rsidR="001D5583">
        <w:rPr>
          <w:sz w:val="20"/>
          <w:szCs w:val="20"/>
        </w:rPr>
        <w:t xml:space="preserve">ther reason, s/he can e-mail the paper, </w:t>
      </w:r>
      <w:r>
        <w:rPr>
          <w:sz w:val="20"/>
          <w:szCs w:val="20"/>
        </w:rPr>
        <w:t xml:space="preserve">but it must be received by the beginning of the class to be </w:t>
      </w:r>
      <w:proofErr w:type="gramStart"/>
      <w:r>
        <w:rPr>
          <w:sz w:val="20"/>
          <w:szCs w:val="20"/>
        </w:rPr>
        <w:t>graded/counted</w:t>
      </w:r>
      <w:proofErr w:type="gramEnd"/>
      <w:r>
        <w:rPr>
          <w:sz w:val="20"/>
          <w:szCs w:val="20"/>
        </w:rPr>
        <w:t xml:space="preserve">.)  Students may hand in 12 papers and drop the two lowest grades (or 11 and drop the lowest).  In these papers, the student should summarize the writings, pulling them together around a common theme.  </w:t>
      </w:r>
      <w:r w:rsidR="004E7B9B">
        <w:rPr>
          <w:sz w:val="20"/>
          <w:szCs w:val="20"/>
        </w:rPr>
        <w:t xml:space="preserve">If there is room (keeping to the page limit), the students are welcome to indicate the strengths and weaknesses of the various readings.  </w:t>
      </w:r>
      <w:r w:rsidR="001D5583">
        <w:rPr>
          <w:sz w:val="20"/>
          <w:szCs w:val="20"/>
        </w:rPr>
        <w:t>Late papers will not be accepted for any reason, so it is a good idea to get more done at the beginning of the semester so that if you have some emergency later in the semester you don’</w:t>
      </w:r>
      <w:r w:rsidR="004E7B9B">
        <w:rPr>
          <w:sz w:val="20"/>
          <w:szCs w:val="20"/>
        </w:rPr>
        <w:t xml:space="preserve">t have a scenario where you don’t have enough weeks left to write papers and have handed in ten. </w:t>
      </w:r>
      <w:r>
        <w:rPr>
          <w:sz w:val="20"/>
          <w:szCs w:val="20"/>
        </w:rPr>
        <w:t xml:space="preserve">Please follow the Scholarly Paper Guidelines attached to this syllabus.  </w:t>
      </w:r>
    </w:p>
    <w:p w:rsidR="001D5583" w:rsidRDefault="001D5583">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i/>
          <w:iCs/>
          <w:sz w:val="20"/>
          <w:szCs w:val="20"/>
        </w:rPr>
        <w:t>Track 2: Term papers</w:t>
      </w:r>
      <w:r>
        <w:rPr>
          <w:sz w:val="20"/>
          <w:szCs w:val="20"/>
        </w:rPr>
        <w:t xml:space="preserve"> will be for those students who would like to use this course to work on a project </w:t>
      </w:r>
      <w:r w:rsidR="001D5583">
        <w:rPr>
          <w:sz w:val="20"/>
          <w:szCs w:val="20"/>
        </w:rPr>
        <w:t xml:space="preserve">(e.g., dissertation) </w:t>
      </w:r>
      <w:r>
        <w:rPr>
          <w:sz w:val="20"/>
          <w:szCs w:val="20"/>
        </w:rPr>
        <w:t>they have already started or would like to start</w:t>
      </w:r>
      <w:r w:rsidR="001D5583">
        <w:rPr>
          <w:sz w:val="20"/>
          <w:szCs w:val="20"/>
        </w:rPr>
        <w:t>, as long as it is about the course topic, or simply write a paper instead of taking the two exams</w:t>
      </w:r>
      <w:r>
        <w:rPr>
          <w:sz w:val="20"/>
          <w:szCs w:val="20"/>
        </w:rPr>
        <w:t xml:space="preserve">.  </w:t>
      </w:r>
      <w:r w:rsidR="001D5583">
        <w:rPr>
          <w:sz w:val="20"/>
          <w:szCs w:val="20"/>
        </w:rPr>
        <w:t>It is important that this is not a paper that was turned in for another course or will be turned in this semester for another course, and that it is sole-authored (by the student enrolled in the class)</w:t>
      </w:r>
      <w:r>
        <w:rPr>
          <w:sz w:val="20"/>
          <w:szCs w:val="20"/>
        </w:rPr>
        <w:t xml:space="preserve">.  </w:t>
      </w:r>
      <w:r>
        <w:rPr>
          <w:sz w:val="20"/>
          <w:szCs w:val="20"/>
        </w:rPr>
        <w:lastRenderedPageBreak/>
        <w:t xml:space="preserve">Thus, if the student is just thinking about the dissertation research project s/he is planning, then s/he needs to let me know that s/he is starting “from scratch.”  </w:t>
      </w:r>
      <w:r w:rsidR="001D5583">
        <w:rPr>
          <w:sz w:val="20"/>
          <w:szCs w:val="20"/>
        </w:rPr>
        <w:t>It is not expected that these papers will be empirical, but if students have data they would like to use in their term paper, they should talk to the professor.</w:t>
      </w:r>
      <w:r>
        <w:rPr>
          <w:sz w:val="20"/>
          <w:szCs w:val="20"/>
        </w:rPr>
        <w:t xml:space="preserve"> </w:t>
      </w:r>
      <w:r w:rsidRPr="001D5583">
        <w:rPr>
          <w:i/>
          <w:sz w:val="20"/>
          <w:szCs w:val="20"/>
        </w:rPr>
        <w:t xml:space="preserve">Obviously, for this track, the topic needs to be </w:t>
      </w:r>
      <w:r w:rsidR="001D5583" w:rsidRPr="001D5583">
        <w:rPr>
          <w:i/>
          <w:sz w:val="20"/>
          <w:szCs w:val="20"/>
        </w:rPr>
        <w:t>relevant to the course</w:t>
      </w:r>
      <w:r w:rsidRPr="001D5583">
        <w:rPr>
          <w:i/>
          <w:sz w:val="20"/>
          <w:szCs w:val="20"/>
        </w:rPr>
        <w:t xml:space="preserve"> topic and thus I need to approve </w:t>
      </w:r>
      <w:r w:rsidR="001D5583">
        <w:rPr>
          <w:i/>
          <w:sz w:val="20"/>
          <w:szCs w:val="20"/>
        </w:rPr>
        <w:t>the term paper topic</w:t>
      </w:r>
      <w:r>
        <w:rPr>
          <w:sz w:val="20"/>
          <w:szCs w:val="20"/>
        </w:rPr>
        <w:t xml:space="preserve">.   </w:t>
      </w:r>
      <w:r w:rsidR="00751111">
        <w:rPr>
          <w:sz w:val="20"/>
          <w:szCs w:val="20"/>
        </w:rPr>
        <w:t xml:space="preserve">The term papers will probably be 20 to 23 pages without the references.  It is expected </w:t>
      </w:r>
      <w:proofErr w:type="gramStart"/>
      <w:r w:rsidR="00751111">
        <w:rPr>
          <w:sz w:val="20"/>
          <w:szCs w:val="20"/>
        </w:rPr>
        <w:t>that  the</w:t>
      </w:r>
      <w:proofErr w:type="gramEnd"/>
      <w:r w:rsidR="00751111">
        <w:rPr>
          <w:sz w:val="20"/>
          <w:szCs w:val="20"/>
        </w:rPr>
        <w:t xml:space="preserve"> term papers will include any of the class readings that are relevant for the topic and that many additional references (outside of what is required for class) will also be included.  </w:t>
      </w:r>
      <w:r>
        <w:rPr>
          <w:sz w:val="20"/>
          <w:szCs w:val="20"/>
        </w:rPr>
        <w:t>Students who write term papers will do a brief (10 minute) presentation of their paper on the last day of the class (</w:t>
      </w:r>
      <w:r w:rsidR="00346713">
        <w:rPr>
          <w:sz w:val="20"/>
          <w:szCs w:val="20"/>
        </w:rPr>
        <w:t xml:space="preserve">December </w:t>
      </w:r>
      <w:r w:rsidR="001D5583">
        <w:rPr>
          <w:sz w:val="20"/>
          <w:szCs w:val="20"/>
        </w:rPr>
        <w:t>9</w:t>
      </w:r>
      <w:r w:rsidR="00346713" w:rsidRPr="00346713">
        <w:rPr>
          <w:sz w:val="20"/>
          <w:szCs w:val="20"/>
          <w:vertAlign w:val="superscript"/>
        </w:rPr>
        <w:t>th</w:t>
      </w:r>
      <w:r>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i/>
          <w:iCs/>
          <w:sz w:val="20"/>
          <w:szCs w:val="20"/>
        </w:rPr>
        <w:t>Class Participation:</w:t>
      </w:r>
      <w:r>
        <w:rPr>
          <w:sz w:val="20"/>
          <w:szCs w:val="20"/>
        </w:rPr>
        <w:t xml:space="preserve">  Class participation will be based on attendance and quality of contribution to discussions.  It is expected that everyone will arrive on time and plan to stay the whole class period, and that attendance will be “perfect.”  </w:t>
      </w:r>
      <w:r>
        <w:rPr>
          <w:b/>
          <w:bCs/>
          <w:sz w:val="20"/>
          <w:szCs w:val="20"/>
        </w:rPr>
        <w:t>Students who miss more than two classes for any reason will be expected to drop the class.</w:t>
      </w:r>
      <w:r>
        <w:rPr>
          <w:sz w:val="20"/>
          <w:szCs w:val="20"/>
        </w:rPr>
        <w:t xml:space="preserve">  Missing one or two classes will also negatively affect the course grade.  A huge portion of the learning will be our class discussion of the readings, studies, and issues.  Therefore, lack of presence makes this impossible.  </w:t>
      </w:r>
      <w:r w:rsidR="00F8617F" w:rsidRPr="00F8617F">
        <w:rPr>
          <w:i/>
          <w:sz w:val="20"/>
          <w:szCs w:val="20"/>
        </w:rPr>
        <w:t>I do not allow laptops in any of my courses unless the student has arranged something with me to use one.  I also ask everyone to turn off their cell phones, and I seriously just about blow a gasket if I see someone texting during class.  If you’re waiting for an organ donation, your partner is pregnant and due any second, etc., let me know and we will decide if it’s acceptable for you to have your cell phone turned on and in view.  Violation of this is harmful to grades.</w:t>
      </w:r>
    </w:p>
    <w:p w:rsidR="00350B82" w:rsidRDefault="00350B82">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i/>
          <w:iCs/>
          <w:sz w:val="20"/>
          <w:szCs w:val="20"/>
        </w:rPr>
        <w:t>Leading Class Discussion:</w:t>
      </w:r>
      <w:r>
        <w:rPr>
          <w:sz w:val="20"/>
          <w:szCs w:val="20"/>
        </w:rPr>
        <w:t xml:space="preserve"> Each student must sign up for </w:t>
      </w:r>
      <w:r w:rsidR="00B935B7">
        <w:rPr>
          <w:sz w:val="20"/>
          <w:szCs w:val="20"/>
        </w:rPr>
        <w:t>one</w:t>
      </w:r>
      <w:r>
        <w:rPr>
          <w:sz w:val="20"/>
          <w:szCs w:val="20"/>
        </w:rPr>
        <w:t xml:space="preserve"> week where s/he will take responsibility for co-facilitating the class discussion around the readings.  In the past, some students have approached this by bringing a list of discussion questions to distribute.  Th</w:t>
      </w:r>
      <w:r w:rsidR="00B935B7">
        <w:rPr>
          <w:sz w:val="20"/>
          <w:szCs w:val="20"/>
        </w:rPr>
        <w:t>e</w:t>
      </w:r>
      <w:r>
        <w:rPr>
          <w:sz w:val="20"/>
          <w:szCs w:val="20"/>
        </w:rPr>
        <w:t xml:space="preserve"> portion of the final grade</w:t>
      </w:r>
      <w:r w:rsidR="00B935B7">
        <w:rPr>
          <w:sz w:val="20"/>
          <w:szCs w:val="20"/>
        </w:rPr>
        <w:t xml:space="preserve"> from leading a class discussion</w:t>
      </w:r>
      <w:r>
        <w:rPr>
          <w:sz w:val="20"/>
          <w:szCs w:val="20"/>
        </w:rPr>
        <w:t xml:space="preserve"> will be based on the quality of questions for the class discussion and facilitation.  It is expected that students will conduct an </w:t>
      </w:r>
      <w:r w:rsidR="004E7B9B">
        <w:rPr>
          <w:sz w:val="20"/>
          <w:szCs w:val="20"/>
        </w:rPr>
        <w:t>even more</w:t>
      </w:r>
      <w:r>
        <w:rPr>
          <w:sz w:val="20"/>
          <w:szCs w:val="20"/>
        </w:rPr>
        <w:t xml:space="preserve"> careful reading the weeks they are co-facilitating </w:t>
      </w:r>
      <w:r w:rsidR="004E7B9B">
        <w:rPr>
          <w:sz w:val="20"/>
          <w:szCs w:val="20"/>
        </w:rPr>
        <w:t xml:space="preserve">the class </w:t>
      </w:r>
      <w:r>
        <w:rPr>
          <w:sz w:val="20"/>
          <w:szCs w:val="20"/>
        </w:rPr>
        <w:t>with me.</w:t>
      </w:r>
    </w:p>
    <w:p w:rsidR="00404754" w:rsidRDefault="00404754">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u w:val="single"/>
        </w:rPr>
      </w:pPr>
      <w:r>
        <w:rPr>
          <w:sz w:val="20"/>
          <w:szCs w:val="20"/>
          <w:u w:val="single"/>
        </w:rPr>
        <w:t>Grade Breakdown</w:t>
      </w:r>
      <w:r>
        <w:rPr>
          <w:sz w:val="20"/>
          <w:szCs w:val="20"/>
        </w:rPr>
        <w:t>:</w:t>
      </w:r>
      <w:r>
        <w:rPr>
          <w:sz w:val="20"/>
          <w:szCs w:val="20"/>
        </w:rPr>
        <w:tab/>
      </w:r>
      <w:r>
        <w:rPr>
          <w:sz w:val="20"/>
          <w:szCs w:val="20"/>
        </w:rPr>
        <w:tab/>
      </w:r>
      <w:r>
        <w:rPr>
          <w:sz w:val="20"/>
          <w:szCs w:val="20"/>
        </w:rPr>
        <w:tab/>
      </w:r>
      <w:r>
        <w:rPr>
          <w:sz w:val="20"/>
          <w:szCs w:val="20"/>
        </w:rPr>
        <w:tab/>
      </w:r>
      <w:r>
        <w:rPr>
          <w:sz w:val="20"/>
          <w:szCs w:val="20"/>
          <w:u w:val="single"/>
        </w:rPr>
        <w:t>Points</w:t>
      </w:r>
    </w:p>
    <w:p w:rsidR="00886E8C" w:rsidRDefault="00EF0536">
      <w:pPr>
        <w:widowControl w:val="0"/>
        <w:autoSpaceDE w:val="0"/>
        <w:autoSpaceDN w:val="0"/>
        <w:adjustRightInd w:val="0"/>
        <w:spacing w:line="240" w:lineRule="atLeast"/>
        <w:rPr>
          <w:sz w:val="20"/>
          <w:szCs w:val="20"/>
        </w:rPr>
      </w:pPr>
      <w:r>
        <w:rPr>
          <w:sz w:val="20"/>
          <w:szCs w:val="20"/>
        </w:rPr>
        <w:t>Weekly Papers</w:t>
      </w:r>
      <w:r>
        <w:rPr>
          <w:sz w:val="20"/>
          <w:szCs w:val="20"/>
        </w:rPr>
        <w:tab/>
      </w:r>
      <w:r>
        <w:rPr>
          <w:sz w:val="20"/>
          <w:szCs w:val="20"/>
        </w:rPr>
        <w:tab/>
      </w:r>
      <w:r>
        <w:rPr>
          <w:sz w:val="20"/>
          <w:szCs w:val="20"/>
        </w:rPr>
        <w:tab/>
      </w:r>
      <w:r>
        <w:rPr>
          <w:sz w:val="20"/>
          <w:szCs w:val="20"/>
        </w:rPr>
        <w:tab/>
      </w:r>
      <w:r>
        <w:rPr>
          <w:sz w:val="20"/>
          <w:szCs w:val="20"/>
        </w:rPr>
        <w:tab/>
        <w:t xml:space="preserve">   </w:t>
      </w:r>
      <w:r w:rsidR="00886E8C">
        <w:rPr>
          <w:sz w:val="20"/>
          <w:szCs w:val="20"/>
        </w:rPr>
        <w:t>100 (total for 10 papers, each paper worth 10 points)</w:t>
      </w:r>
    </w:p>
    <w:p w:rsidR="00EF0536" w:rsidRDefault="00886E8C">
      <w:pPr>
        <w:widowControl w:val="0"/>
        <w:autoSpaceDE w:val="0"/>
        <w:autoSpaceDN w:val="0"/>
        <w:adjustRightInd w:val="0"/>
        <w:spacing w:line="240" w:lineRule="atLeast"/>
        <w:rPr>
          <w:sz w:val="20"/>
          <w:szCs w:val="20"/>
        </w:rPr>
      </w:pPr>
      <w:r>
        <w:rPr>
          <w:sz w:val="20"/>
          <w:szCs w:val="20"/>
        </w:rPr>
        <w:t>Ex</w:t>
      </w:r>
      <w:r w:rsidR="00EF0536">
        <w:rPr>
          <w:sz w:val="20"/>
          <w:szCs w:val="20"/>
        </w:rPr>
        <w:t>ams</w:t>
      </w:r>
      <w:r w:rsidR="00350B82">
        <w:rPr>
          <w:sz w:val="20"/>
          <w:szCs w:val="20"/>
        </w:rPr>
        <w:t>* (Track I)</w:t>
      </w:r>
      <w:r w:rsidR="00EF0536">
        <w:rPr>
          <w:sz w:val="20"/>
          <w:szCs w:val="20"/>
        </w:rPr>
        <w:t xml:space="preserve"> OR Final Paper</w:t>
      </w:r>
      <w:r w:rsidR="00350B82">
        <w:rPr>
          <w:sz w:val="20"/>
          <w:szCs w:val="20"/>
        </w:rPr>
        <w:t xml:space="preserve"> (Track II)</w:t>
      </w:r>
      <w:r w:rsidR="00EF0536">
        <w:rPr>
          <w:sz w:val="20"/>
          <w:szCs w:val="20"/>
        </w:rPr>
        <w:t xml:space="preserve"> </w:t>
      </w:r>
      <w:r w:rsidR="00EF0536">
        <w:rPr>
          <w:sz w:val="20"/>
          <w:szCs w:val="20"/>
        </w:rPr>
        <w:tab/>
      </w:r>
      <w:r w:rsidR="00EF0536">
        <w:rPr>
          <w:sz w:val="20"/>
          <w:szCs w:val="20"/>
        </w:rPr>
        <w:tab/>
      </w:r>
      <w:r w:rsidR="00515FD6">
        <w:rPr>
          <w:sz w:val="20"/>
          <w:szCs w:val="20"/>
        </w:rPr>
        <w:t xml:space="preserve">   </w:t>
      </w:r>
      <w:r w:rsidR="00EF0536">
        <w:rPr>
          <w:sz w:val="20"/>
          <w:szCs w:val="20"/>
        </w:rPr>
        <w:t xml:space="preserve">  </w:t>
      </w:r>
      <w:r>
        <w:rPr>
          <w:sz w:val="20"/>
          <w:szCs w:val="20"/>
        </w:rPr>
        <w:t xml:space="preserve">50 </w:t>
      </w:r>
      <w:r w:rsidR="00EF0536">
        <w:rPr>
          <w:sz w:val="20"/>
          <w:szCs w:val="20"/>
        </w:rPr>
        <w:t xml:space="preserve"> </w:t>
      </w:r>
    </w:p>
    <w:p w:rsidR="00886E8C" w:rsidRDefault="00EF0536">
      <w:pPr>
        <w:widowControl w:val="0"/>
        <w:autoSpaceDE w:val="0"/>
        <w:autoSpaceDN w:val="0"/>
        <w:adjustRightInd w:val="0"/>
        <w:spacing w:line="240" w:lineRule="atLeast"/>
        <w:rPr>
          <w:sz w:val="20"/>
          <w:szCs w:val="20"/>
        </w:rPr>
      </w:pPr>
      <w:r>
        <w:rPr>
          <w:sz w:val="20"/>
          <w:szCs w:val="20"/>
        </w:rPr>
        <w:t xml:space="preserve">Class </w:t>
      </w:r>
      <w:r w:rsidR="00640CDF">
        <w:rPr>
          <w:sz w:val="20"/>
          <w:szCs w:val="20"/>
        </w:rPr>
        <w:t>Facilitation</w:t>
      </w:r>
      <w:r>
        <w:rPr>
          <w:sz w:val="20"/>
          <w:szCs w:val="20"/>
        </w:rPr>
        <w:tab/>
      </w:r>
      <w:r>
        <w:rPr>
          <w:sz w:val="20"/>
          <w:szCs w:val="20"/>
        </w:rPr>
        <w:tab/>
      </w:r>
      <w:r>
        <w:rPr>
          <w:sz w:val="20"/>
          <w:szCs w:val="20"/>
        </w:rPr>
        <w:tab/>
        <w:t xml:space="preserve">      </w:t>
      </w:r>
      <w:r w:rsidR="00886E8C">
        <w:rPr>
          <w:sz w:val="20"/>
          <w:szCs w:val="20"/>
        </w:rPr>
        <w:t xml:space="preserve">  </w:t>
      </w:r>
      <w:r w:rsidR="00886E8C">
        <w:rPr>
          <w:sz w:val="20"/>
          <w:szCs w:val="20"/>
        </w:rPr>
        <w:tab/>
        <w:t xml:space="preserve">  </w:t>
      </w:r>
      <w:r>
        <w:rPr>
          <w:sz w:val="20"/>
          <w:szCs w:val="20"/>
        </w:rPr>
        <w:t xml:space="preserve">   </w:t>
      </w:r>
      <w:r w:rsidR="00515FD6">
        <w:rPr>
          <w:sz w:val="20"/>
          <w:szCs w:val="20"/>
        </w:rPr>
        <w:tab/>
        <w:t xml:space="preserve">     </w:t>
      </w:r>
      <w:r w:rsidR="00886E8C">
        <w:rPr>
          <w:sz w:val="20"/>
          <w:szCs w:val="20"/>
        </w:rPr>
        <w:t>25</w:t>
      </w:r>
    </w:p>
    <w:p w:rsidR="00886E8C" w:rsidRDefault="00886E8C">
      <w:pPr>
        <w:widowControl w:val="0"/>
        <w:autoSpaceDE w:val="0"/>
        <w:autoSpaceDN w:val="0"/>
        <w:adjustRightInd w:val="0"/>
        <w:spacing w:line="240" w:lineRule="atLeast"/>
        <w:ind w:left="4320" w:hanging="4320"/>
        <w:rPr>
          <w:sz w:val="20"/>
          <w:szCs w:val="20"/>
          <w:u w:val="single"/>
        </w:rPr>
      </w:pPr>
      <w:r>
        <w:rPr>
          <w:sz w:val="20"/>
          <w:szCs w:val="20"/>
          <w:u w:val="single"/>
        </w:rPr>
        <w:t xml:space="preserve">Class Participation      </w:t>
      </w:r>
      <w:r>
        <w:rPr>
          <w:sz w:val="20"/>
          <w:szCs w:val="20"/>
          <w:u w:val="single"/>
        </w:rPr>
        <w:tab/>
      </w:r>
      <w:r w:rsidR="009245D6">
        <w:rPr>
          <w:sz w:val="20"/>
          <w:szCs w:val="20"/>
          <w:u w:val="single"/>
        </w:rPr>
        <w:t xml:space="preserve">   </w:t>
      </w:r>
      <w:r>
        <w:rPr>
          <w:sz w:val="20"/>
          <w:szCs w:val="20"/>
          <w:u w:val="single"/>
        </w:rPr>
        <w:t xml:space="preserve">  25</w:t>
      </w:r>
    </w:p>
    <w:p w:rsidR="00886E8C" w:rsidRDefault="00886E8C">
      <w:pPr>
        <w:widowControl w:val="0"/>
        <w:autoSpaceDE w:val="0"/>
        <w:autoSpaceDN w:val="0"/>
        <w:adjustRightInd w:val="0"/>
        <w:spacing w:line="240" w:lineRule="atLeast"/>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245D6">
        <w:rPr>
          <w:sz w:val="20"/>
          <w:szCs w:val="20"/>
        </w:rPr>
        <w:t xml:space="preserve">  </w:t>
      </w:r>
      <w:r>
        <w:rPr>
          <w:sz w:val="20"/>
          <w:szCs w:val="20"/>
        </w:rPr>
        <w:t>200 points</w:t>
      </w:r>
    </w:p>
    <w:p w:rsidR="00886E8C" w:rsidRDefault="00886E8C">
      <w:pPr>
        <w:widowControl w:val="0"/>
        <w:autoSpaceDE w:val="0"/>
        <w:autoSpaceDN w:val="0"/>
        <w:adjustRightInd w:val="0"/>
        <w:spacing w:line="240" w:lineRule="atLeast"/>
        <w:rPr>
          <w:sz w:val="20"/>
          <w:szCs w:val="20"/>
        </w:rPr>
      </w:pPr>
    </w:p>
    <w:p w:rsidR="00886E8C" w:rsidRDefault="00886E8C">
      <w:pPr>
        <w:widowControl w:val="0"/>
        <w:autoSpaceDE w:val="0"/>
        <w:autoSpaceDN w:val="0"/>
        <w:adjustRightInd w:val="0"/>
        <w:spacing w:line="240" w:lineRule="atLeast"/>
        <w:rPr>
          <w:sz w:val="20"/>
          <w:szCs w:val="20"/>
        </w:rPr>
      </w:pPr>
      <w:r>
        <w:rPr>
          <w:sz w:val="20"/>
          <w:szCs w:val="20"/>
        </w:rPr>
        <w:t>*Each student chooses wheth</w:t>
      </w:r>
      <w:r w:rsidR="00515FD6">
        <w:rPr>
          <w:sz w:val="20"/>
          <w:szCs w:val="20"/>
        </w:rPr>
        <w:t xml:space="preserve">er s/he wants to do two </w:t>
      </w:r>
      <w:r>
        <w:rPr>
          <w:sz w:val="20"/>
          <w:szCs w:val="20"/>
        </w:rPr>
        <w:t>essay exam</w:t>
      </w:r>
      <w:r w:rsidR="00515FD6">
        <w:rPr>
          <w:sz w:val="20"/>
          <w:szCs w:val="20"/>
        </w:rPr>
        <w:t>s</w:t>
      </w:r>
      <w:r>
        <w:rPr>
          <w:sz w:val="20"/>
          <w:szCs w:val="20"/>
        </w:rPr>
        <w:t xml:space="preserve"> OR a final paper designing or continuing the method part on an existing study of their own</w:t>
      </w:r>
      <w:r w:rsidR="00515FD6">
        <w:rPr>
          <w:sz w:val="20"/>
          <w:szCs w:val="20"/>
        </w:rPr>
        <w:t>.  The first exam is worth 20 points and the second exam is worth 30 points.</w:t>
      </w:r>
      <w:r>
        <w:rPr>
          <w:sz w:val="20"/>
          <w:szCs w:val="20"/>
        </w:rPr>
        <w:tab/>
        <w:t xml:space="preserve">                     </w:t>
      </w:r>
    </w:p>
    <w:p w:rsidR="004E7B9B" w:rsidRDefault="004E7B9B" w:rsidP="004E7B9B">
      <w:pPr>
        <w:spacing w:after="200" w:line="276" w:lineRule="auto"/>
        <w:rPr>
          <w:b/>
          <w:bCs/>
          <w:sz w:val="20"/>
          <w:szCs w:val="20"/>
        </w:rPr>
      </w:pPr>
    </w:p>
    <w:p w:rsidR="00886E8C" w:rsidRDefault="00886E8C" w:rsidP="004E7B9B">
      <w:pPr>
        <w:spacing w:after="200" w:line="276" w:lineRule="auto"/>
        <w:jc w:val="center"/>
        <w:rPr>
          <w:b/>
          <w:bCs/>
          <w:sz w:val="20"/>
          <w:szCs w:val="20"/>
        </w:rPr>
      </w:pPr>
      <w:r>
        <w:rPr>
          <w:b/>
          <w:bCs/>
          <w:sz w:val="20"/>
          <w:szCs w:val="20"/>
        </w:rPr>
        <w:t>COURSE SCHEDULE</w:t>
      </w:r>
    </w:p>
    <w:p w:rsidR="00966C65" w:rsidRDefault="00966C65">
      <w:pPr>
        <w:widowControl w:val="0"/>
        <w:autoSpaceDE w:val="0"/>
        <w:autoSpaceDN w:val="0"/>
        <w:adjustRightInd w:val="0"/>
        <w:spacing w:line="240" w:lineRule="atLeast"/>
        <w:rPr>
          <w:b/>
          <w:bCs/>
          <w:sz w:val="20"/>
          <w:szCs w:val="20"/>
        </w:rPr>
      </w:pPr>
    </w:p>
    <w:p w:rsidR="00886E8C" w:rsidRPr="007A2453" w:rsidRDefault="00941C35" w:rsidP="004E7B9B">
      <w:pPr>
        <w:widowControl w:val="0"/>
        <w:autoSpaceDE w:val="0"/>
        <w:autoSpaceDN w:val="0"/>
        <w:adjustRightInd w:val="0"/>
        <w:spacing w:line="240" w:lineRule="atLeast"/>
        <w:ind w:left="720" w:hanging="720"/>
        <w:rPr>
          <w:sz w:val="20"/>
          <w:szCs w:val="20"/>
        </w:rPr>
      </w:pPr>
      <w:r>
        <w:rPr>
          <w:b/>
          <w:bCs/>
          <w:sz w:val="20"/>
          <w:szCs w:val="20"/>
        </w:rPr>
        <w:t>Week</w:t>
      </w:r>
      <w:r>
        <w:rPr>
          <w:b/>
          <w:bCs/>
          <w:sz w:val="20"/>
          <w:szCs w:val="20"/>
        </w:rPr>
        <w:tab/>
        <w:t>Date</w:t>
      </w:r>
      <w:r>
        <w:rPr>
          <w:b/>
          <w:bCs/>
          <w:sz w:val="20"/>
          <w:szCs w:val="20"/>
        </w:rPr>
        <w:tab/>
      </w:r>
      <w:r>
        <w:rPr>
          <w:b/>
          <w:bCs/>
          <w:sz w:val="20"/>
          <w:szCs w:val="20"/>
        </w:rPr>
        <w:tab/>
      </w:r>
      <w:r w:rsidR="00886E8C">
        <w:rPr>
          <w:b/>
          <w:bCs/>
          <w:sz w:val="20"/>
          <w:szCs w:val="20"/>
        </w:rPr>
        <w:t>Readings Due</w:t>
      </w:r>
      <w:r w:rsidR="006F213B">
        <w:rPr>
          <w:b/>
          <w:bCs/>
          <w:sz w:val="20"/>
          <w:szCs w:val="20"/>
        </w:rPr>
        <w:t xml:space="preserve"> </w:t>
      </w:r>
    </w:p>
    <w:p w:rsidR="00886E8C" w:rsidRPr="006F213B" w:rsidRDefault="00886E8C">
      <w:pPr>
        <w:widowControl w:val="0"/>
        <w:autoSpaceDE w:val="0"/>
        <w:autoSpaceDN w:val="0"/>
        <w:adjustRightInd w:val="0"/>
        <w:spacing w:line="240" w:lineRule="atLeast"/>
        <w:rPr>
          <w:sz w:val="20"/>
          <w:szCs w:val="20"/>
        </w:rPr>
      </w:pPr>
    </w:p>
    <w:p w:rsidR="00886E8C" w:rsidRDefault="00941C35" w:rsidP="00966C65">
      <w:pPr>
        <w:widowControl w:val="0"/>
        <w:autoSpaceDE w:val="0"/>
        <w:autoSpaceDN w:val="0"/>
        <w:adjustRightInd w:val="0"/>
        <w:spacing w:line="240" w:lineRule="atLeast"/>
        <w:rPr>
          <w:sz w:val="20"/>
          <w:szCs w:val="20"/>
        </w:rPr>
      </w:pPr>
      <w:r>
        <w:rPr>
          <w:sz w:val="20"/>
          <w:szCs w:val="20"/>
        </w:rPr>
        <w:t>1</w:t>
      </w:r>
      <w:r>
        <w:rPr>
          <w:sz w:val="20"/>
          <w:szCs w:val="20"/>
        </w:rPr>
        <w:tab/>
      </w:r>
      <w:r w:rsidR="00CA2452">
        <w:rPr>
          <w:sz w:val="20"/>
          <w:szCs w:val="20"/>
        </w:rPr>
        <w:t>Aug 2</w:t>
      </w:r>
      <w:r w:rsidR="004E7B9B">
        <w:rPr>
          <w:sz w:val="20"/>
          <w:szCs w:val="20"/>
        </w:rPr>
        <w:t>6</w:t>
      </w:r>
      <w:r w:rsidR="00886E8C">
        <w:rPr>
          <w:sz w:val="20"/>
          <w:szCs w:val="20"/>
        </w:rPr>
        <w:tab/>
      </w:r>
      <w:r w:rsidR="00886E8C">
        <w:rPr>
          <w:sz w:val="20"/>
          <w:szCs w:val="20"/>
        </w:rPr>
        <w:tab/>
        <w:t>Course Introduction (no readings)</w:t>
      </w:r>
    </w:p>
    <w:p w:rsidR="00886E8C" w:rsidRDefault="00886E8C">
      <w:pPr>
        <w:widowControl w:val="0"/>
        <w:autoSpaceDE w:val="0"/>
        <w:autoSpaceDN w:val="0"/>
        <w:adjustRightInd w:val="0"/>
        <w:spacing w:line="240" w:lineRule="atLeast"/>
        <w:rPr>
          <w:sz w:val="20"/>
          <w:szCs w:val="20"/>
        </w:rPr>
      </w:pPr>
    </w:p>
    <w:p w:rsidR="00C5743A" w:rsidRDefault="00941C35" w:rsidP="004E7B9B">
      <w:pPr>
        <w:widowControl w:val="0"/>
        <w:autoSpaceDE w:val="0"/>
        <w:autoSpaceDN w:val="0"/>
        <w:adjustRightInd w:val="0"/>
        <w:spacing w:line="240" w:lineRule="atLeast"/>
        <w:ind w:left="2160" w:hanging="2160"/>
        <w:rPr>
          <w:sz w:val="20"/>
          <w:szCs w:val="20"/>
        </w:rPr>
      </w:pPr>
      <w:r>
        <w:rPr>
          <w:sz w:val="20"/>
          <w:szCs w:val="20"/>
        </w:rPr>
        <w:t xml:space="preserve">2             </w:t>
      </w:r>
      <w:r w:rsidR="00CA2452">
        <w:rPr>
          <w:sz w:val="20"/>
          <w:szCs w:val="20"/>
        </w:rPr>
        <w:t xml:space="preserve">Sep </w:t>
      </w:r>
      <w:r w:rsidR="004E7B9B">
        <w:rPr>
          <w:sz w:val="20"/>
          <w:szCs w:val="20"/>
        </w:rPr>
        <w:t>2</w:t>
      </w:r>
      <w:r w:rsidR="00966C65">
        <w:rPr>
          <w:sz w:val="20"/>
          <w:szCs w:val="20"/>
        </w:rPr>
        <w:tab/>
      </w:r>
      <w:r w:rsidR="00250EAB">
        <w:rPr>
          <w:sz w:val="20"/>
          <w:szCs w:val="20"/>
        </w:rPr>
        <w:t>Grappling with Discrimination and Oppression</w:t>
      </w:r>
    </w:p>
    <w:p w:rsidR="00CE7E11" w:rsidRPr="006D406D" w:rsidRDefault="00250EAB" w:rsidP="009C6FD6">
      <w:pPr>
        <w:widowControl w:val="0"/>
        <w:autoSpaceDE w:val="0"/>
        <w:autoSpaceDN w:val="0"/>
        <w:adjustRightInd w:val="0"/>
        <w:spacing w:line="240" w:lineRule="atLeast"/>
        <w:ind w:left="2160" w:hanging="2160"/>
        <w:rPr>
          <w:sz w:val="20"/>
          <w:szCs w:val="20"/>
        </w:rPr>
      </w:pPr>
      <w:r>
        <w:rPr>
          <w:sz w:val="20"/>
          <w:szCs w:val="20"/>
        </w:rPr>
        <w:tab/>
      </w:r>
    </w:p>
    <w:p w:rsidR="00AE3D9F" w:rsidRPr="006D406D" w:rsidRDefault="00941C35" w:rsidP="004E7B9B">
      <w:pPr>
        <w:widowControl w:val="0"/>
        <w:autoSpaceDE w:val="0"/>
        <w:autoSpaceDN w:val="0"/>
        <w:adjustRightInd w:val="0"/>
        <w:spacing w:line="240" w:lineRule="atLeast"/>
        <w:rPr>
          <w:sz w:val="20"/>
          <w:szCs w:val="20"/>
        </w:rPr>
      </w:pPr>
      <w:r w:rsidRPr="006D406D">
        <w:rPr>
          <w:sz w:val="20"/>
          <w:szCs w:val="20"/>
        </w:rPr>
        <w:t>3</w:t>
      </w:r>
      <w:r w:rsidRPr="006D406D">
        <w:rPr>
          <w:sz w:val="20"/>
          <w:szCs w:val="20"/>
        </w:rPr>
        <w:tab/>
      </w:r>
      <w:r w:rsidR="00CA2452" w:rsidRPr="006D406D">
        <w:rPr>
          <w:sz w:val="20"/>
          <w:szCs w:val="20"/>
        </w:rPr>
        <w:t xml:space="preserve">Sep </w:t>
      </w:r>
      <w:r w:rsidR="00351859" w:rsidRPr="006D406D">
        <w:rPr>
          <w:sz w:val="20"/>
          <w:szCs w:val="20"/>
        </w:rPr>
        <w:t>8</w:t>
      </w:r>
      <w:r w:rsidR="00886E8C" w:rsidRPr="006D406D">
        <w:rPr>
          <w:sz w:val="20"/>
          <w:szCs w:val="20"/>
        </w:rPr>
        <w:tab/>
      </w:r>
      <w:r w:rsidR="00886E8C" w:rsidRPr="006D406D">
        <w:rPr>
          <w:sz w:val="20"/>
          <w:szCs w:val="20"/>
        </w:rPr>
        <w:tab/>
      </w:r>
      <w:r w:rsidR="00250EAB">
        <w:rPr>
          <w:sz w:val="20"/>
          <w:szCs w:val="20"/>
        </w:rPr>
        <w:t>Theories and Youth Offending</w:t>
      </w:r>
    </w:p>
    <w:p w:rsidR="00AE3D9F" w:rsidRPr="006D406D" w:rsidRDefault="00AE3D9F" w:rsidP="00AE3D9F">
      <w:pPr>
        <w:widowControl w:val="0"/>
        <w:autoSpaceDE w:val="0"/>
        <w:autoSpaceDN w:val="0"/>
        <w:adjustRightInd w:val="0"/>
        <w:spacing w:line="240" w:lineRule="atLeast"/>
        <w:rPr>
          <w:sz w:val="20"/>
          <w:szCs w:val="20"/>
        </w:rPr>
      </w:pPr>
    </w:p>
    <w:p w:rsidR="00067CE0" w:rsidRPr="006D406D" w:rsidRDefault="00AE3D9F" w:rsidP="004E7B9B">
      <w:pPr>
        <w:widowControl w:val="0"/>
        <w:autoSpaceDE w:val="0"/>
        <w:autoSpaceDN w:val="0"/>
        <w:adjustRightInd w:val="0"/>
        <w:spacing w:line="240" w:lineRule="atLeast"/>
        <w:rPr>
          <w:sz w:val="20"/>
          <w:szCs w:val="20"/>
        </w:rPr>
      </w:pPr>
      <w:r w:rsidRPr="006D406D">
        <w:rPr>
          <w:sz w:val="20"/>
          <w:szCs w:val="20"/>
        </w:rPr>
        <w:t>4</w:t>
      </w:r>
      <w:r w:rsidRPr="006D406D">
        <w:rPr>
          <w:sz w:val="20"/>
          <w:szCs w:val="20"/>
        </w:rPr>
        <w:tab/>
        <w:t xml:space="preserve">Sep </w:t>
      </w:r>
      <w:r w:rsidR="00351859" w:rsidRPr="006D406D">
        <w:rPr>
          <w:sz w:val="20"/>
          <w:szCs w:val="20"/>
        </w:rPr>
        <w:t>15</w:t>
      </w:r>
      <w:r w:rsidRPr="006D406D">
        <w:rPr>
          <w:sz w:val="20"/>
          <w:szCs w:val="20"/>
        </w:rPr>
        <w:tab/>
      </w:r>
      <w:r w:rsidRPr="006D406D">
        <w:rPr>
          <w:sz w:val="20"/>
          <w:szCs w:val="20"/>
        </w:rPr>
        <w:tab/>
      </w:r>
      <w:r w:rsidR="009C6FD6">
        <w:rPr>
          <w:sz w:val="20"/>
          <w:szCs w:val="20"/>
        </w:rPr>
        <w:t>Policing</w:t>
      </w:r>
    </w:p>
    <w:p w:rsidR="001A338B" w:rsidRPr="006D406D" w:rsidRDefault="001A338B" w:rsidP="001A338B">
      <w:pPr>
        <w:widowControl w:val="0"/>
        <w:autoSpaceDE w:val="0"/>
        <w:autoSpaceDN w:val="0"/>
        <w:adjustRightInd w:val="0"/>
        <w:spacing w:line="240" w:lineRule="atLeast"/>
        <w:rPr>
          <w:sz w:val="20"/>
          <w:szCs w:val="20"/>
        </w:rPr>
      </w:pPr>
    </w:p>
    <w:p w:rsidR="001A338B" w:rsidRPr="006D406D" w:rsidRDefault="00AE3D9F" w:rsidP="001A338B">
      <w:pPr>
        <w:widowControl w:val="0"/>
        <w:autoSpaceDE w:val="0"/>
        <w:autoSpaceDN w:val="0"/>
        <w:adjustRightInd w:val="0"/>
        <w:spacing w:line="240" w:lineRule="atLeast"/>
        <w:rPr>
          <w:sz w:val="20"/>
          <w:szCs w:val="20"/>
        </w:rPr>
      </w:pPr>
      <w:r w:rsidRPr="006D406D">
        <w:rPr>
          <w:sz w:val="20"/>
          <w:szCs w:val="20"/>
        </w:rPr>
        <w:t>5</w:t>
      </w:r>
      <w:r w:rsidRPr="006D406D">
        <w:rPr>
          <w:sz w:val="20"/>
          <w:szCs w:val="20"/>
        </w:rPr>
        <w:tab/>
        <w:t xml:space="preserve">Sep </w:t>
      </w:r>
      <w:r w:rsidR="00351859" w:rsidRPr="006D406D">
        <w:rPr>
          <w:sz w:val="20"/>
          <w:szCs w:val="20"/>
        </w:rPr>
        <w:t>22</w:t>
      </w:r>
      <w:r w:rsidRPr="006D406D">
        <w:rPr>
          <w:sz w:val="20"/>
          <w:szCs w:val="20"/>
        </w:rPr>
        <w:tab/>
      </w:r>
      <w:r w:rsidR="00515FD6" w:rsidRPr="006D406D">
        <w:rPr>
          <w:sz w:val="20"/>
          <w:szCs w:val="20"/>
        </w:rPr>
        <w:tab/>
      </w:r>
      <w:r w:rsidR="009C6FD6">
        <w:rPr>
          <w:sz w:val="20"/>
          <w:szCs w:val="20"/>
        </w:rPr>
        <w:t>Sentencing Patterns</w:t>
      </w:r>
    </w:p>
    <w:p w:rsidR="00BA4A17" w:rsidRPr="006D406D" w:rsidRDefault="00BA4A17" w:rsidP="00C6195E">
      <w:pPr>
        <w:widowControl w:val="0"/>
        <w:autoSpaceDE w:val="0"/>
        <w:autoSpaceDN w:val="0"/>
        <w:adjustRightInd w:val="0"/>
        <w:spacing w:line="240" w:lineRule="atLeast"/>
        <w:rPr>
          <w:sz w:val="20"/>
          <w:szCs w:val="20"/>
        </w:rPr>
      </w:pPr>
    </w:p>
    <w:p w:rsidR="00250EAB" w:rsidRPr="006D406D" w:rsidRDefault="006A0A18" w:rsidP="00437B01">
      <w:pPr>
        <w:widowControl w:val="0"/>
        <w:autoSpaceDE w:val="0"/>
        <w:autoSpaceDN w:val="0"/>
        <w:adjustRightInd w:val="0"/>
        <w:spacing w:line="240" w:lineRule="atLeast"/>
        <w:rPr>
          <w:sz w:val="20"/>
          <w:szCs w:val="20"/>
        </w:rPr>
      </w:pPr>
      <w:r w:rsidRPr="006D406D">
        <w:rPr>
          <w:sz w:val="20"/>
          <w:szCs w:val="20"/>
        </w:rPr>
        <w:t xml:space="preserve">6            Sep </w:t>
      </w:r>
      <w:r w:rsidR="00351859" w:rsidRPr="006D406D">
        <w:rPr>
          <w:sz w:val="20"/>
          <w:szCs w:val="20"/>
        </w:rPr>
        <w:t>29</w:t>
      </w:r>
      <w:r w:rsidRPr="006D406D">
        <w:rPr>
          <w:sz w:val="20"/>
          <w:szCs w:val="20"/>
        </w:rPr>
        <w:tab/>
      </w:r>
      <w:r w:rsidR="00515FD6" w:rsidRPr="006D406D">
        <w:rPr>
          <w:sz w:val="20"/>
          <w:szCs w:val="20"/>
        </w:rPr>
        <w:tab/>
      </w:r>
      <w:r w:rsidR="009C6FD6">
        <w:rPr>
          <w:sz w:val="20"/>
          <w:szCs w:val="20"/>
        </w:rPr>
        <w:t>Court Decisions</w:t>
      </w:r>
    </w:p>
    <w:p w:rsidR="00966C65" w:rsidRPr="006D406D" w:rsidRDefault="00966C65" w:rsidP="001A338B">
      <w:pPr>
        <w:widowControl w:val="0"/>
        <w:autoSpaceDE w:val="0"/>
        <w:autoSpaceDN w:val="0"/>
        <w:adjustRightInd w:val="0"/>
        <w:spacing w:line="240" w:lineRule="atLeast"/>
        <w:rPr>
          <w:sz w:val="20"/>
          <w:szCs w:val="20"/>
        </w:rPr>
      </w:pPr>
    </w:p>
    <w:p w:rsidR="00437B01" w:rsidRPr="006D406D" w:rsidRDefault="00941C35" w:rsidP="00437B01">
      <w:pPr>
        <w:widowControl w:val="0"/>
        <w:autoSpaceDE w:val="0"/>
        <w:autoSpaceDN w:val="0"/>
        <w:adjustRightInd w:val="0"/>
        <w:spacing w:line="240" w:lineRule="atLeast"/>
        <w:rPr>
          <w:sz w:val="20"/>
          <w:szCs w:val="20"/>
        </w:rPr>
      </w:pPr>
      <w:r w:rsidRPr="006D406D">
        <w:rPr>
          <w:sz w:val="20"/>
          <w:szCs w:val="20"/>
        </w:rPr>
        <w:lastRenderedPageBreak/>
        <w:t>7</w:t>
      </w:r>
      <w:r w:rsidRPr="006D406D">
        <w:rPr>
          <w:sz w:val="20"/>
          <w:szCs w:val="20"/>
        </w:rPr>
        <w:tab/>
      </w:r>
      <w:r w:rsidR="00695A49" w:rsidRPr="006D406D">
        <w:rPr>
          <w:sz w:val="20"/>
          <w:szCs w:val="20"/>
        </w:rPr>
        <w:t xml:space="preserve">Oct </w:t>
      </w:r>
      <w:r w:rsidR="00351859" w:rsidRPr="006D406D">
        <w:rPr>
          <w:sz w:val="20"/>
          <w:szCs w:val="20"/>
        </w:rPr>
        <w:t>6</w:t>
      </w:r>
      <w:r w:rsidR="00515FD6" w:rsidRPr="006D406D">
        <w:rPr>
          <w:sz w:val="20"/>
          <w:szCs w:val="20"/>
        </w:rPr>
        <w:tab/>
      </w:r>
      <w:r w:rsidR="00515FD6" w:rsidRPr="006D406D">
        <w:rPr>
          <w:sz w:val="20"/>
          <w:szCs w:val="20"/>
        </w:rPr>
        <w:tab/>
      </w:r>
      <w:proofErr w:type="gramStart"/>
      <w:r w:rsidR="009C6FD6">
        <w:rPr>
          <w:sz w:val="20"/>
          <w:szCs w:val="20"/>
        </w:rPr>
        <w:t>The</w:t>
      </w:r>
      <w:proofErr w:type="gramEnd"/>
      <w:r w:rsidR="009C6FD6">
        <w:rPr>
          <w:sz w:val="20"/>
          <w:szCs w:val="20"/>
        </w:rPr>
        <w:t xml:space="preserve"> New Jim Crow: Mass Incarceration</w:t>
      </w:r>
    </w:p>
    <w:p w:rsidR="00437B01" w:rsidRPr="006D406D" w:rsidRDefault="00437B01" w:rsidP="004E7B9B">
      <w:pPr>
        <w:widowControl w:val="0"/>
        <w:autoSpaceDE w:val="0"/>
        <w:autoSpaceDN w:val="0"/>
        <w:adjustRightInd w:val="0"/>
        <w:spacing w:line="240" w:lineRule="atLeast"/>
        <w:rPr>
          <w:sz w:val="20"/>
          <w:szCs w:val="20"/>
        </w:rPr>
      </w:pPr>
      <w:r w:rsidRPr="006D406D">
        <w:rPr>
          <w:sz w:val="20"/>
          <w:szCs w:val="20"/>
        </w:rPr>
        <w:tab/>
      </w:r>
      <w:r w:rsidRPr="006D406D">
        <w:rPr>
          <w:sz w:val="20"/>
          <w:szCs w:val="20"/>
        </w:rPr>
        <w:tab/>
      </w:r>
      <w:r w:rsidRPr="006D406D">
        <w:rPr>
          <w:sz w:val="20"/>
          <w:szCs w:val="20"/>
        </w:rPr>
        <w:tab/>
      </w:r>
    </w:p>
    <w:p w:rsidR="00966F53" w:rsidRPr="006D406D" w:rsidRDefault="00966F53" w:rsidP="00966F53">
      <w:pPr>
        <w:widowControl w:val="0"/>
        <w:autoSpaceDE w:val="0"/>
        <w:autoSpaceDN w:val="0"/>
        <w:adjustRightInd w:val="0"/>
        <w:spacing w:line="240" w:lineRule="atLeast"/>
        <w:ind w:left="2160"/>
        <w:rPr>
          <w:sz w:val="20"/>
          <w:szCs w:val="20"/>
        </w:rPr>
      </w:pPr>
    </w:p>
    <w:p w:rsidR="00067CE0" w:rsidRPr="006D406D" w:rsidRDefault="00941C35" w:rsidP="009C6FD6">
      <w:pPr>
        <w:widowControl w:val="0"/>
        <w:autoSpaceDE w:val="0"/>
        <w:autoSpaceDN w:val="0"/>
        <w:adjustRightInd w:val="0"/>
        <w:spacing w:line="240" w:lineRule="atLeast"/>
        <w:rPr>
          <w:sz w:val="20"/>
          <w:szCs w:val="20"/>
        </w:rPr>
      </w:pPr>
      <w:r w:rsidRPr="006D406D">
        <w:rPr>
          <w:sz w:val="20"/>
          <w:szCs w:val="20"/>
        </w:rPr>
        <w:t>8</w:t>
      </w:r>
      <w:r w:rsidRPr="006D406D">
        <w:rPr>
          <w:sz w:val="20"/>
          <w:szCs w:val="20"/>
        </w:rPr>
        <w:tab/>
      </w:r>
      <w:r w:rsidR="00695A49" w:rsidRPr="006D406D">
        <w:rPr>
          <w:sz w:val="20"/>
          <w:szCs w:val="20"/>
        </w:rPr>
        <w:t xml:space="preserve">Oct </w:t>
      </w:r>
      <w:r w:rsidR="00351859" w:rsidRPr="006D406D">
        <w:rPr>
          <w:sz w:val="20"/>
          <w:szCs w:val="20"/>
        </w:rPr>
        <w:t>13</w:t>
      </w:r>
      <w:r w:rsidR="00515FD6" w:rsidRPr="006D406D">
        <w:rPr>
          <w:sz w:val="20"/>
          <w:szCs w:val="20"/>
        </w:rPr>
        <w:tab/>
      </w:r>
      <w:r w:rsidR="00515FD6" w:rsidRPr="006D406D">
        <w:rPr>
          <w:sz w:val="20"/>
          <w:szCs w:val="20"/>
        </w:rPr>
        <w:tab/>
      </w:r>
      <w:r w:rsidR="009C6FD6">
        <w:rPr>
          <w:sz w:val="20"/>
          <w:szCs w:val="20"/>
        </w:rPr>
        <w:t>Arrested Justice: Prison Nation</w:t>
      </w:r>
    </w:p>
    <w:p w:rsidR="00067CE0" w:rsidRPr="006D406D" w:rsidRDefault="00067CE0" w:rsidP="00067CE0">
      <w:pPr>
        <w:widowControl w:val="0"/>
        <w:autoSpaceDE w:val="0"/>
        <w:autoSpaceDN w:val="0"/>
        <w:adjustRightInd w:val="0"/>
        <w:spacing w:line="240" w:lineRule="atLeast"/>
        <w:rPr>
          <w:sz w:val="20"/>
          <w:szCs w:val="20"/>
        </w:rPr>
      </w:pPr>
    </w:p>
    <w:p w:rsidR="009D790D" w:rsidRPr="006D406D" w:rsidRDefault="00941C35" w:rsidP="004E7B9B">
      <w:pPr>
        <w:widowControl w:val="0"/>
        <w:autoSpaceDE w:val="0"/>
        <w:autoSpaceDN w:val="0"/>
        <w:adjustRightInd w:val="0"/>
        <w:spacing w:line="240" w:lineRule="atLeast"/>
        <w:rPr>
          <w:sz w:val="20"/>
          <w:szCs w:val="20"/>
        </w:rPr>
      </w:pPr>
      <w:r w:rsidRPr="006D406D">
        <w:rPr>
          <w:sz w:val="20"/>
          <w:szCs w:val="20"/>
        </w:rPr>
        <w:t>9</w:t>
      </w:r>
      <w:r w:rsidRPr="006D406D">
        <w:rPr>
          <w:sz w:val="20"/>
          <w:szCs w:val="20"/>
        </w:rPr>
        <w:tab/>
      </w:r>
      <w:r w:rsidR="00695A49" w:rsidRPr="006D406D">
        <w:rPr>
          <w:sz w:val="20"/>
          <w:szCs w:val="20"/>
        </w:rPr>
        <w:t xml:space="preserve">Oct </w:t>
      </w:r>
      <w:r w:rsidR="00351859" w:rsidRPr="006D406D">
        <w:rPr>
          <w:sz w:val="20"/>
          <w:szCs w:val="20"/>
        </w:rPr>
        <w:t>20</w:t>
      </w:r>
      <w:r w:rsidR="00515FD6" w:rsidRPr="006D406D">
        <w:rPr>
          <w:sz w:val="20"/>
          <w:szCs w:val="20"/>
        </w:rPr>
        <w:tab/>
      </w:r>
      <w:r w:rsidR="00515FD6" w:rsidRPr="006D406D">
        <w:rPr>
          <w:sz w:val="20"/>
          <w:szCs w:val="20"/>
        </w:rPr>
        <w:tab/>
      </w:r>
      <w:r w:rsidR="009C6FD6">
        <w:rPr>
          <w:sz w:val="20"/>
          <w:szCs w:val="20"/>
        </w:rPr>
        <w:t>More on Incarcerated Women</w:t>
      </w:r>
    </w:p>
    <w:p w:rsidR="00966F53" w:rsidRPr="006D406D" w:rsidRDefault="00854EA3" w:rsidP="00966F53">
      <w:pPr>
        <w:widowControl w:val="0"/>
        <w:autoSpaceDE w:val="0"/>
        <w:autoSpaceDN w:val="0"/>
        <w:adjustRightInd w:val="0"/>
        <w:spacing w:line="240" w:lineRule="atLeast"/>
        <w:rPr>
          <w:sz w:val="20"/>
          <w:szCs w:val="20"/>
        </w:rPr>
      </w:pPr>
      <w:r w:rsidRPr="006D406D">
        <w:rPr>
          <w:sz w:val="20"/>
          <w:szCs w:val="20"/>
        </w:rPr>
        <w:tab/>
      </w:r>
      <w:r w:rsidRPr="006D406D">
        <w:rPr>
          <w:sz w:val="20"/>
          <w:szCs w:val="20"/>
        </w:rPr>
        <w:tab/>
      </w:r>
      <w:r w:rsidRPr="006D406D">
        <w:rPr>
          <w:sz w:val="20"/>
          <w:szCs w:val="20"/>
        </w:rPr>
        <w:tab/>
      </w:r>
    </w:p>
    <w:p w:rsidR="00966C65" w:rsidRPr="006D406D" w:rsidRDefault="00941C35" w:rsidP="004E7B9B">
      <w:pPr>
        <w:widowControl w:val="0"/>
        <w:autoSpaceDE w:val="0"/>
        <w:autoSpaceDN w:val="0"/>
        <w:adjustRightInd w:val="0"/>
        <w:spacing w:line="240" w:lineRule="atLeast"/>
        <w:rPr>
          <w:sz w:val="20"/>
          <w:szCs w:val="20"/>
        </w:rPr>
      </w:pPr>
      <w:r w:rsidRPr="006D406D">
        <w:rPr>
          <w:sz w:val="20"/>
          <w:szCs w:val="20"/>
        </w:rPr>
        <w:t>10</w:t>
      </w:r>
      <w:r w:rsidRPr="006D406D">
        <w:rPr>
          <w:sz w:val="20"/>
          <w:szCs w:val="20"/>
        </w:rPr>
        <w:tab/>
      </w:r>
      <w:r w:rsidR="00695A49" w:rsidRPr="006D406D">
        <w:rPr>
          <w:sz w:val="20"/>
          <w:szCs w:val="20"/>
        </w:rPr>
        <w:t xml:space="preserve">Oct </w:t>
      </w:r>
      <w:r w:rsidR="00351859" w:rsidRPr="006D406D">
        <w:rPr>
          <w:sz w:val="20"/>
          <w:szCs w:val="20"/>
        </w:rPr>
        <w:t>27</w:t>
      </w:r>
      <w:r w:rsidR="00A506E1" w:rsidRPr="006D406D">
        <w:rPr>
          <w:sz w:val="20"/>
          <w:szCs w:val="20"/>
        </w:rPr>
        <w:tab/>
      </w:r>
      <w:r w:rsidR="00A506E1" w:rsidRPr="006D406D">
        <w:rPr>
          <w:sz w:val="20"/>
          <w:szCs w:val="20"/>
        </w:rPr>
        <w:tab/>
      </w:r>
      <w:r w:rsidR="009C6FD6">
        <w:rPr>
          <w:sz w:val="20"/>
          <w:szCs w:val="20"/>
        </w:rPr>
        <w:t>Sexual Abuse</w:t>
      </w:r>
    </w:p>
    <w:p w:rsidR="006D406D" w:rsidRPr="006D406D" w:rsidRDefault="006D406D">
      <w:pPr>
        <w:widowControl w:val="0"/>
        <w:autoSpaceDE w:val="0"/>
        <w:autoSpaceDN w:val="0"/>
        <w:adjustRightInd w:val="0"/>
        <w:spacing w:line="240" w:lineRule="atLeast"/>
        <w:rPr>
          <w:sz w:val="20"/>
          <w:szCs w:val="20"/>
        </w:rPr>
      </w:pPr>
    </w:p>
    <w:p w:rsidR="00201366" w:rsidRDefault="00941C35" w:rsidP="004E7B9B">
      <w:pPr>
        <w:widowControl w:val="0"/>
        <w:autoSpaceDE w:val="0"/>
        <w:autoSpaceDN w:val="0"/>
        <w:adjustRightInd w:val="0"/>
        <w:spacing w:line="240" w:lineRule="atLeast"/>
        <w:rPr>
          <w:sz w:val="20"/>
          <w:szCs w:val="20"/>
        </w:rPr>
      </w:pPr>
      <w:r w:rsidRPr="006D406D">
        <w:rPr>
          <w:sz w:val="20"/>
          <w:szCs w:val="20"/>
        </w:rPr>
        <w:t>1</w:t>
      </w:r>
      <w:r w:rsidR="00695A49" w:rsidRPr="006D406D">
        <w:rPr>
          <w:sz w:val="20"/>
          <w:szCs w:val="20"/>
        </w:rPr>
        <w:t>1</w:t>
      </w:r>
      <w:r w:rsidRPr="006D406D">
        <w:rPr>
          <w:sz w:val="20"/>
          <w:szCs w:val="20"/>
        </w:rPr>
        <w:tab/>
      </w:r>
      <w:r w:rsidR="00695A49" w:rsidRPr="006D406D">
        <w:rPr>
          <w:sz w:val="20"/>
          <w:szCs w:val="20"/>
        </w:rPr>
        <w:t xml:space="preserve">Nov </w:t>
      </w:r>
      <w:r w:rsidR="00351859" w:rsidRPr="006D406D">
        <w:rPr>
          <w:sz w:val="20"/>
          <w:szCs w:val="20"/>
        </w:rPr>
        <w:t>3</w:t>
      </w:r>
      <w:r w:rsidR="00F32655" w:rsidRPr="006D406D">
        <w:rPr>
          <w:sz w:val="20"/>
          <w:szCs w:val="20"/>
        </w:rPr>
        <w:tab/>
      </w:r>
      <w:r w:rsidR="00F32655" w:rsidRPr="006D406D">
        <w:rPr>
          <w:sz w:val="20"/>
          <w:szCs w:val="20"/>
        </w:rPr>
        <w:tab/>
      </w:r>
      <w:r w:rsidR="009C6FD6">
        <w:rPr>
          <w:sz w:val="20"/>
          <w:szCs w:val="20"/>
        </w:rPr>
        <w:t>Intimate Partner Abuse</w:t>
      </w:r>
    </w:p>
    <w:p w:rsidR="00695A49" w:rsidRPr="006D406D" w:rsidRDefault="00695A49" w:rsidP="00201366">
      <w:pPr>
        <w:widowControl w:val="0"/>
        <w:autoSpaceDE w:val="0"/>
        <w:autoSpaceDN w:val="0"/>
        <w:adjustRightInd w:val="0"/>
        <w:spacing w:line="240" w:lineRule="atLeast"/>
        <w:rPr>
          <w:sz w:val="20"/>
          <w:szCs w:val="20"/>
        </w:rPr>
      </w:pPr>
    </w:p>
    <w:p w:rsidR="00966C65" w:rsidRDefault="00941C35" w:rsidP="004E7B9B">
      <w:pPr>
        <w:widowControl w:val="0"/>
        <w:autoSpaceDE w:val="0"/>
        <w:autoSpaceDN w:val="0"/>
        <w:adjustRightInd w:val="0"/>
        <w:spacing w:line="240" w:lineRule="atLeast"/>
        <w:rPr>
          <w:sz w:val="20"/>
          <w:szCs w:val="20"/>
        </w:rPr>
      </w:pPr>
      <w:r w:rsidRPr="006D406D">
        <w:rPr>
          <w:sz w:val="20"/>
          <w:szCs w:val="20"/>
        </w:rPr>
        <w:t>1</w:t>
      </w:r>
      <w:r w:rsidR="00695A49" w:rsidRPr="006D406D">
        <w:rPr>
          <w:sz w:val="20"/>
          <w:szCs w:val="20"/>
        </w:rPr>
        <w:t>2</w:t>
      </w:r>
      <w:r w:rsidRPr="006D406D">
        <w:rPr>
          <w:sz w:val="20"/>
          <w:szCs w:val="20"/>
        </w:rPr>
        <w:tab/>
      </w:r>
      <w:r w:rsidR="00695A49" w:rsidRPr="006D406D">
        <w:rPr>
          <w:sz w:val="20"/>
          <w:szCs w:val="20"/>
        </w:rPr>
        <w:t xml:space="preserve">Nov </w:t>
      </w:r>
      <w:r w:rsidR="00351859" w:rsidRPr="006D406D">
        <w:rPr>
          <w:sz w:val="20"/>
          <w:szCs w:val="20"/>
        </w:rPr>
        <w:t>10</w:t>
      </w:r>
      <w:r w:rsidR="00F32655" w:rsidRPr="006D406D">
        <w:rPr>
          <w:sz w:val="20"/>
          <w:szCs w:val="20"/>
        </w:rPr>
        <w:tab/>
      </w:r>
      <w:r w:rsidR="00F32655" w:rsidRPr="006D406D">
        <w:rPr>
          <w:sz w:val="20"/>
          <w:szCs w:val="20"/>
        </w:rPr>
        <w:tab/>
      </w:r>
      <w:r w:rsidR="006B53F3">
        <w:rPr>
          <w:sz w:val="20"/>
          <w:szCs w:val="20"/>
        </w:rPr>
        <w:t>Police and Prison Workers</w:t>
      </w:r>
    </w:p>
    <w:p w:rsidR="004E7B9B" w:rsidRDefault="004E7B9B" w:rsidP="004E7B9B">
      <w:pPr>
        <w:widowControl w:val="0"/>
        <w:autoSpaceDE w:val="0"/>
        <w:autoSpaceDN w:val="0"/>
        <w:adjustRightInd w:val="0"/>
        <w:spacing w:line="240" w:lineRule="atLeast"/>
        <w:rPr>
          <w:sz w:val="20"/>
          <w:szCs w:val="20"/>
        </w:rPr>
      </w:pPr>
    </w:p>
    <w:p w:rsidR="00C03FCC" w:rsidRDefault="00941C35">
      <w:pPr>
        <w:widowControl w:val="0"/>
        <w:autoSpaceDE w:val="0"/>
        <w:autoSpaceDN w:val="0"/>
        <w:adjustRightInd w:val="0"/>
        <w:spacing w:line="240" w:lineRule="atLeast"/>
        <w:rPr>
          <w:sz w:val="20"/>
          <w:szCs w:val="20"/>
        </w:rPr>
      </w:pPr>
      <w:r>
        <w:rPr>
          <w:sz w:val="20"/>
          <w:szCs w:val="20"/>
        </w:rPr>
        <w:t>1</w:t>
      </w:r>
      <w:r w:rsidR="00695A49">
        <w:rPr>
          <w:sz w:val="20"/>
          <w:szCs w:val="20"/>
        </w:rPr>
        <w:t>3</w:t>
      </w:r>
      <w:r>
        <w:rPr>
          <w:sz w:val="20"/>
          <w:szCs w:val="20"/>
        </w:rPr>
        <w:tab/>
      </w:r>
      <w:r w:rsidR="00695A49">
        <w:rPr>
          <w:sz w:val="20"/>
          <w:szCs w:val="20"/>
        </w:rPr>
        <w:t>Nov 1</w:t>
      </w:r>
      <w:r w:rsidR="00351859">
        <w:rPr>
          <w:sz w:val="20"/>
          <w:szCs w:val="20"/>
        </w:rPr>
        <w:t>7</w:t>
      </w:r>
      <w:r w:rsidR="00F32655">
        <w:rPr>
          <w:sz w:val="20"/>
          <w:szCs w:val="20"/>
        </w:rPr>
        <w:tab/>
      </w:r>
      <w:r w:rsidR="00250EAB">
        <w:rPr>
          <w:sz w:val="20"/>
          <w:szCs w:val="20"/>
        </w:rPr>
        <w:tab/>
      </w:r>
      <w:r w:rsidR="006B53F3">
        <w:rPr>
          <w:sz w:val="20"/>
          <w:szCs w:val="20"/>
        </w:rPr>
        <w:t>Law Students, Lawyers, and Judges</w:t>
      </w:r>
    </w:p>
    <w:p w:rsidR="00695A49" w:rsidRDefault="00F32655">
      <w:pPr>
        <w:widowControl w:val="0"/>
        <w:autoSpaceDE w:val="0"/>
        <w:autoSpaceDN w:val="0"/>
        <w:adjustRightInd w:val="0"/>
        <w:spacing w:line="240" w:lineRule="atLeast"/>
        <w:rPr>
          <w:sz w:val="20"/>
          <w:szCs w:val="20"/>
        </w:rPr>
      </w:pPr>
      <w:r>
        <w:rPr>
          <w:sz w:val="20"/>
          <w:szCs w:val="20"/>
        </w:rPr>
        <w:tab/>
      </w:r>
    </w:p>
    <w:p w:rsidR="00695A49" w:rsidRDefault="00695A49">
      <w:pPr>
        <w:widowControl w:val="0"/>
        <w:autoSpaceDE w:val="0"/>
        <w:autoSpaceDN w:val="0"/>
        <w:adjustRightInd w:val="0"/>
        <w:spacing w:line="240" w:lineRule="atLeast"/>
        <w:rPr>
          <w:sz w:val="20"/>
          <w:szCs w:val="20"/>
        </w:rPr>
      </w:pPr>
      <w:r>
        <w:rPr>
          <w:sz w:val="20"/>
          <w:szCs w:val="20"/>
        </w:rPr>
        <w:t>14</w:t>
      </w:r>
      <w:r>
        <w:rPr>
          <w:sz w:val="20"/>
          <w:szCs w:val="20"/>
        </w:rPr>
        <w:tab/>
        <w:t xml:space="preserve">Nov </w:t>
      </w:r>
      <w:r w:rsidR="00351859">
        <w:rPr>
          <w:sz w:val="20"/>
          <w:szCs w:val="20"/>
        </w:rPr>
        <w:t>24</w:t>
      </w:r>
      <w:r>
        <w:rPr>
          <w:sz w:val="20"/>
          <w:szCs w:val="20"/>
        </w:rPr>
        <w:tab/>
      </w:r>
      <w:r>
        <w:rPr>
          <w:sz w:val="20"/>
          <w:szCs w:val="20"/>
        </w:rPr>
        <w:tab/>
        <w:t>No Readings~ Fall Break</w:t>
      </w:r>
    </w:p>
    <w:p w:rsidR="00966C65" w:rsidRDefault="00966C65">
      <w:pPr>
        <w:widowControl w:val="0"/>
        <w:autoSpaceDE w:val="0"/>
        <w:autoSpaceDN w:val="0"/>
        <w:adjustRightInd w:val="0"/>
        <w:spacing w:line="240" w:lineRule="atLeast"/>
        <w:rPr>
          <w:sz w:val="20"/>
          <w:szCs w:val="20"/>
        </w:rPr>
      </w:pPr>
    </w:p>
    <w:p w:rsidR="00966C65" w:rsidRDefault="00941C35" w:rsidP="004E7B9B">
      <w:pPr>
        <w:widowControl w:val="0"/>
        <w:autoSpaceDE w:val="0"/>
        <w:autoSpaceDN w:val="0"/>
        <w:adjustRightInd w:val="0"/>
        <w:spacing w:line="240" w:lineRule="atLeast"/>
        <w:rPr>
          <w:sz w:val="20"/>
          <w:szCs w:val="20"/>
        </w:rPr>
      </w:pPr>
      <w:r>
        <w:rPr>
          <w:sz w:val="20"/>
          <w:szCs w:val="20"/>
        </w:rPr>
        <w:t>15</w:t>
      </w:r>
      <w:r>
        <w:rPr>
          <w:sz w:val="20"/>
          <w:szCs w:val="20"/>
        </w:rPr>
        <w:tab/>
      </w:r>
      <w:r w:rsidR="00351859">
        <w:rPr>
          <w:sz w:val="20"/>
          <w:szCs w:val="20"/>
        </w:rPr>
        <w:t>Dec 1</w:t>
      </w:r>
      <w:r w:rsidR="00F32655">
        <w:rPr>
          <w:sz w:val="20"/>
          <w:szCs w:val="20"/>
        </w:rPr>
        <w:tab/>
      </w:r>
      <w:r w:rsidR="00F32655">
        <w:rPr>
          <w:sz w:val="20"/>
          <w:szCs w:val="20"/>
        </w:rPr>
        <w:tab/>
      </w:r>
      <w:r w:rsidR="006B53F3">
        <w:rPr>
          <w:sz w:val="20"/>
          <w:szCs w:val="20"/>
        </w:rPr>
        <w:t>Legal Reform, Social Justice and Activism</w:t>
      </w:r>
    </w:p>
    <w:p w:rsidR="004E7B9B" w:rsidRDefault="004E7B9B" w:rsidP="004E7B9B">
      <w:pPr>
        <w:widowControl w:val="0"/>
        <w:autoSpaceDE w:val="0"/>
        <w:autoSpaceDN w:val="0"/>
        <w:adjustRightInd w:val="0"/>
        <w:spacing w:line="240" w:lineRule="atLeast"/>
        <w:rPr>
          <w:sz w:val="20"/>
          <w:szCs w:val="20"/>
        </w:rPr>
      </w:pPr>
    </w:p>
    <w:p w:rsidR="00351859" w:rsidRDefault="00941C35">
      <w:pPr>
        <w:widowControl w:val="0"/>
        <w:autoSpaceDE w:val="0"/>
        <w:autoSpaceDN w:val="0"/>
        <w:adjustRightInd w:val="0"/>
        <w:spacing w:line="240" w:lineRule="atLeast"/>
        <w:rPr>
          <w:sz w:val="20"/>
          <w:szCs w:val="20"/>
        </w:rPr>
      </w:pPr>
      <w:r>
        <w:rPr>
          <w:sz w:val="20"/>
          <w:szCs w:val="20"/>
        </w:rPr>
        <w:t>16</w:t>
      </w:r>
      <w:r>
        <w:rPr>
          <w:sz w:val="20"/>
          <w:szCs w:val="20"/>
        </w:rPr>
        <w:tab/>
      </w:r>
      <w:r w:rsidR="00695A49">
        <w:rPr>
          <w:sz w:val="20"/>
          <w:szCs w:val="20"/>
        </w:rPr>
        <w:t xml:space="preserve">Dec </w:t>
      </w:r>
      <w:r w:rsidR="00351859">
        <w:rPr>
          <w:sz w:val="20"/>
          <w:szCs w:val="20"/>
        </w:rPr>
        <w:t>8</w:t>
      </w:r>
      <w:r w:rsidR="00BD537E">
        <w:rPr>
          <w:sz w:val="20"/>
          <w:szCs w:val="20"/>
        </w:rPr>
        <w:tab/>
      </w:r>
      <w:r w:rsidR="00BD537E">
        <w:rPr>
          <w:sz w:val="20"/>
          <w:szCs w:val="20"/>
        </w:rPr>
        <w:tab/>
      </w:r>
      <w:r w:rsidR="00250EAB" w:rsidRPr="00250EAB">
        <w:rPr>
          <w:sz w:val="20"/>
          <w:szCs w:val="20"/>
        </w:rPr>
        <w:t>Term Paper Presentations and Conclusions</w:t>
      </w:r>
      <w:r w:rsidR="00067CE0">
        <w:rPr>
          <w:sz w:val="20"/>
          <w:szCs w:val="20"/>
        </w:rPr>
        <w:tab/>
      </w:r>
    </w:p>
    <w:p w:rsidR="00067CE0" w:rsidRDefault="00067CE0">
      <w:pPr>
        <w:widowControl w:val="0"/>
        <w:autoSpaceDE w:val="0"/>
        <w:autoSpaceDN w:val="0"/>
        <w:adjustRightInd w:val="0"/>
        <w:spacing w:line="240" w:lineRule="atLeast"/>
        <w:rPr>
          <w:sz w:val="20"/>
          <w:szCs w:val="20"/>
        </w:rPr>
      </w:pPr>
    </w:p>
    <w:p w:rsidR="0036173E" w:rsidRDefault="006D406D">
      <w:pPr>
        <w:widowControl w:val="0"/>
        <w:autoSpaceDE w:val="0"/>
        <w:autoSpaceDN w:val="0"/>
        <w:adjustRightInd w:val="0"/>
        <w:spacing w:line="240" w:lineRule="atLeast"/>
        <w:rPr>
          <w:sz w:val="20"/>
          <w:szCs w:val="20"/>
        </w:rPr>
      </w:pPr>
      <w:r>
        <w:rPr>
          <w:sz w:val="20"/>
          <w:szCs w:val="20"/>
        </w:rPr>
        <w:t>Dec</w:t>
      </w:r>
      <w:r>
        <w:rPr>
          <w:sz w:val="20"/>
          <w:szCs w:val="20"/>
        </w:rPr>
        <w:tab/>
      </w:r>
      <w:r w:rsidR="004E7B9B">
        <w:rPr>
          <w:sz w:val="20"/>
          <w:szCs w:val="20"/>
        </w:rPr>
        <w:t xml:space="preserve">9  </w:t>
      </w:r>
      <w:r w:rsidR="0036173E">
        <w:rPr>
          <w:sz w:val="20"/>
          <w:szCs w:val="20"/>
        </w:rPr>
        <w:tab/>
      </w:r>
      <w:r w:rsidR="0036173E">
        <w:rPr>
          <w:sz w:val="20"/>
          <w:szCs w:val="20"/>
        </w:rPr>
        <w:tab/>
      </w:r>
      <w:r w:rsidR="007E661A">
        <w:rPr>
          <w:sz w:val="20"/>
          <w:szCs w:val="20"/>
        </w:rPr>
        <w:t xml:space="preserve"> </w:t>
      </w:r>
      <w:r w:rsidR="004E7B9B">
        <w:rPr>
          <w:sz w:val="20"/>
          <w:szCs w:val="20"/>
        </w:rPr>
        <w:t xml:space="preserve">Term </w:t>
      </w:r>
      <w:r w:rsidR="0036173E">
        <w:rPr>
          <w:sz w:val="20"/>
          <w:szCs w:val="20"/>
        </w:rPr>
        <w:t>Papers due emailed and paper copy turned in during class by 9:00 a.m.</w:t>
      </w:r>
    </w:p>
    <w:p w:rsidR="0036173E" w:rsidRDefault="0036173E">
      <w:pPr>
        <w:widowControl w:val="0"/>
        <w:autoSpaceDE w:val="0"/>
        <w:autoSpaceDN w:val="0"/>
        <w:adjustRightInd w:val="0"/>
        <w:spacing w:line="240" w:lineRule="atLeast"/>
        <w:rPr>
          <w:sz w:val="20"/>
          <w:szCs w:val="20"/>
        </w:rPr>
      </w:pPr>
    </w:p>
    <w:p w:rsidR="0036173E" w:rsidRDefault="0036173E">
      <w:pPr>
        <w:widowControl w:val="0"/>
        <w:autoSpaceDE w:val="0"/>
        <w:autoSpaceDN w:val="0"/>
        <w:adjustRightInd w:val="0"/>
        <w:spacing w:line="240" w:lineRule="atLeast"/>
        <w:rPr>
          <w:sz w:val="20"/>
          <w:szCs w:val="20"/>
        </w:rPr>
      </w:pPr>
      <w:r>
        <w:rPr>
          <w:sz w:val="20"/>
          <w:szCs w:val="20"/>
        </w:rPr>
        <w:t xml:space="preserve">December 15 </w:t>
      </w:r>
      <w:r>
        <w:rPr>
          <w:sz w:val="20"/>
          <w:szCs w:val="20"/>
        </w:rPr>
        <w:tab/>
      </w:r>
      <w:r>
        <w:rPr>
          <w:sz w:val="20"/>
          <w:szCs w:val="20"/>
        </w:rPr>
        <w:tab/>
      </w:r>
      <w:proofErr w:type="gramStart"/>
      <w:r>
        <w:rPr>
          <w:sz w:val="20"/>
          <w:szCs w:val="20"/>
        </w:rPr>
        <w:t>Take</w:t>
      </w:r>
      <w:proofErr w:type="gramEnd"/>
      <w:r>
        <w:rPr>
          <w:sz w:val="20"/>
          <w:szCs w:val="20"/>
        </w:rPr>
        <w:t xml:space="preserve"> home final due to professor via email by 5:00 p.m.  Late papers will be docked </w:t>
      </w:r>
    </w:p>
    <w:p w:rsidR="007E661A" w:rsidRDefault="0036173E">
      <w:pPr>
        <w:widowControl w:val="0"/>
        <w:autoSpaceDE w:val="0"/>
        <w:autoSpaceDN w:val="0"/>
        <w:adjustRightInd w:val="0"/>
        <w:spacing w:line="240" w:lineRule="atLeast"/>
        <w:rPr>
          <w:sz w:val="20"/>
          <w:szCs w:val="20"/>
        </w:rPr>
      </w:pPr>
      <w:r>
        <w:rPr>
          <w:sz w:val="20"/>
          <w:szCs w:val="20"/>
        </w:rPr>
        <w:t xml:space="preserve"> </w:t>
      </w:r>
      <w:r>
        <w:rPr>
          <w:sz w:val="20"/>
          <w:szCs w:val="20"/>
        </w:rPr>
        <w:tab/>
      </w:r>
      <w:r>
        <w:rPr>
          <w:sz w:val="20"/>
          <w:szCs w:val="20"/>
        </w:rPr>
        <w:tab/>
      </w:r>
      <w:r>
        <w:rPr>
          <w:sz w:val="20"/>
          <w:szCs w:val="20"/>
        </w:rPr>
        <w:tab/>
      </w:r>
      <w:proofErr w:type="gramStart"/>
      <w:r>
        <w:rPr>
          <w:sz w:val="20"/>
          <w:szCs w:val="20"/>
        </w:rPr>
        <w:t>points</w:t>
      </w:r>
      <w:proofErr w:type="gramEnd"/>
      <w:r>
        <w:rPr>
          <w:sz w:val="20"/>
          <w:szCs w:val="20"/>
        </w:rPr>
        <w:t xml:space="preserve"> (one grade per every 1 minute to 24 hours late).</w:t>
      </w:r>
      <w:r w:rsidR="00F53516">
        <w:rPr>
          <w:sz w:val="20"/>
          <w:szCs w:val="20"/>
        </w:rPr>
        <w:tab/>
      </w:r>
    </w:p>
    <w:p w:rsidR="007E661A" w:rsidRDefault="007E661A">
      <w:pPr>
        <w:widowControl w:val="0"/>
        <w:autoSpaceDE w:val="0"/>
        <w:autoSpaceDN w:val="0"/>
        <w:adjustRightInd w:val="0"/>
        <w:spacing w:line="240" w:lineRule="atLeast"/>
        <w:rPr>
          <w:sz w:val="20"/>
          <w:szCs w:val="20"/>
        </w:rPr>
      </w:pPr>
    </w:p>
    <w:p w:rsidR="007E661A" w:rsidRDefault="007E661A" w:rsidP="007E661A">
      <w:pPr>
        <w:widowControl w:val="0"/>
        <w:autoSpaceDE w:val="0"/>
        <w:autoSpaceDN w:val="0"/>
        <w:adjustRightInd w:val="0"/>
        <w:spacing w:line="240" w:lineRule="atLeast"/>
        <w:jc w:val="center"/>
        <w:rPr>
          <w:b/>
          <w:sz w:val="20"/>
          <w:szCs w:val="20"/>
        </w:rPr>
      </w:pPr>
      <w:r>
        <w:rPr>
          <w:b/>
          <w:sz w:val="20"/>
          <w:szCs w:val="20"/>
        </w:rPr>
        <w:t xml:space="preserve">References for </w:t>
      </w:r>
      <w:r w:rsidR="009C6FD6">
        <w:rPr>
          <w:b/>
          <w:sz w:val="20"/>
          <w:szCs w:val="20"/>
        </w:rPr>
        <w:t xml:space="preserve">(Most of the) </w:t>
      </w:r>
      <w:r>
        <w:rPr>
          <w:b/>
          <w:sz w:val="20"/>
          <w:szCs w:val="20"/>
        </w:rPr>
        <w:t xml:space="preserve">Additional Readings on E-Reserve (listed </w:t>
      </w:r>
      <w:r w:rsidR="005609AF">
        <w:rPr>
          <w:b/>
          <w:sz w:val="20"/>
          <w:szCs w:val="20"/>
        </w:rPr>
        <w:t>alphabetically</w:t>
      </w:r>
      <w:r>
        <w:rPr>
          <w:b/>
          <w:sz w:val="20"/>
          <w:szCs w:val="20"/>
        </w:rPr>
        <w:t>)</w:t>
      </w:r>
    </w:p>
    <w:p w:rsidR="00886E8C" w:rsidRDefault="00F53516">
      <w:pPr>
        <w:widowControl w:val="0"/>
        <w:autoSpaceDE w:val="0"/>
        <w:autoSpaceDN w:val="0"/>
        <w:adjustRightInd w:val="0"/>
        <w:spacing w:line="240" w:lineRule="atLeast"/>
        <w:rPr>
          <w:b/>
          <w:bCs/>
          <w:sz w:val="20"/>
          <w:szCs w:val="20"/>
        </w:rPr>
      </w:pPr>
      <w:r>
        <w:rPr>
          <w:sz w:val="20"/>
          <w:szCs w:val="20"/>
        </w:rPr>
        <w:tab/>
      </w:r>
    </w:p>
    <w:p w:rsidR="009C6FD6" w:rsidRPr="004A7AED" w:rsidRDefault="009C6FD6" w:rsidP="009C6FD6">
      <w:pPr>
        <w:rPr>
          <w:noProof/>
          <w:sz w:val="20"/>
          <w:szCs w:val="20"/>
        </w:rPr>
      </w:pPr>
      <w:r w:rsidRPr="004A7AED">
        <w:rPr>
          <w:sz w:val="20"/>
          <w:szCs w:val="20"/>
        </w:rPr>
        <w:fldChar w:fldCharType="begin"/>
      </w:r>
      <w:r w:rsidRPr="004A7AED">
        <w:rPr>
          <w:sz w:val="20"/>
          <w:szCs w:val="20"/>
        </w:rPr>
        <w:instrText xml:space="preserve"> ADDIN EN.REFLIST </w:instrText>
      </w:r>
      <w:r w:rsidRPr="004A7AED">
        <w:rPr>
          <w:sz w:val="20"/>
          <w:szCs w:val="20"/>
        </w:rPr>
        <w:fldChar w:fldCharType="separate"/>
      </w:r>
      <w:bookmarkStart w:id="0" w:name="_ENREF_1"/>
      <w:r w:rsidRPr="004A7AED">
        <w:rPr>
          <w:noProof/>
          <w:sz w:val="20"/>
          <w:szCs w:val="20"/>
        </w:rPr>
        <w:t xml:space="preserve">Barber, N. (2008). Evolutionary social science: A new approach to violent crime. </w:t>
      </w:r>
      <w:r w:rsidRPr="004A7AED">
        <w:rPr>
          <w:i/>
          <w:noProof/>
          <w:sz w:val="20"/>
          <w:szCs w:val="20"/>
        </w:rPr>
        <w:t>Aggression and Violent Behavior, 13</w:t>
      </w:r>
      <w:r w:rsidRPr="004A7AED">
        <w:rPr>
          <w:noProof/>
          <w:sz w:val="20"/>
          <w:szCs w:val="20"/>
        </w:rPr>
        <w:t>(3), 237-250.</w:t>
      </w:r>
      <w:bookmarkEnd w:id="0"/>
    </w:p>
    <w:p w:rsidR="009C6FD6" w:rsidRPr="004A7AED" w:rsidRDefault="009C6FD6" w:rsidP="009C6FD6">
      <w:pPr>
        <w:rPr>
          <w:noProof/>
          <w:sz w:val="20"/>
          <w:szCs w:val="20"/>
        </w:rPr>
      </w:pPr>
      <w:bookmarkStart w:id="1" w:name="_ENREF_2"/>
      <w:r w:rsidRPr="004A7AED">
        <w:rPr>
          <w:noProof/>
          <w:sz w:val="20"/>
          <w:szCs w:val="20"/>
        </w:rPr>
        <w:t xml:space="preserve">Belknap, J., Holsinger, K., &amp; Little, J. (2012). Sexual minority status, abuse, and self-harming behaviors among incarcerated girls, </w:t>
      </w:r>
      <w:r w:rsidRPr="004A7AED">
        <w:rPr>
          <w:i/>
          <w:noProof/>
          <w:sz w:val="20"/>
          <w:szCs w:val="20"/>
        </w:rPr>
        <w:t>Journal of Child and Adolescent Trauma</w:t>
      </w:r>
      <w:r w:rsidRPr="004A7AED">
        <w:rPr>
          <w:noProof/>
          <w:sz w:val="20"/>
          <w:szCs w:val="20"/>
        </w:rPr>
        <w:t xml:space="preserve"> (Vol. 5, pp. 173-185).</w:t>
      </w:r>
      <w:bookmarkEnd w:id="1"/>
    </w:p>
    <w:p w:rsidR="009C6FD6" w:rsidRPr="004A7AED" w:rsidRDefault="009C6FD6" w:rsidP="009C6FD6">
      <w:pPr>
        <w:rPr>
          <w:noProof/>
          <w:sz w:val="20"/>
          <w:szCs w:val="20"/>
        </w:rPr>
      </w:pPr>
      <w:bookmarkStart w:id="2" w:name="_ENREF_3"/>
      <w:r w:rsidRPr="004A7AED">
        <w:rPr>
          <w:noProof/>
          <w:sz w:val="20"/>
          <w:szCs w:val="20"/>
        </w:rPr>
        <w:t xml:space="preserve">Bevan, M., &amp; MacKenzie, M. H. (2012). 'Cowboy' policing versus 'the softer stuff': Masculinities and policekeeping. </w:t>
      </w:r>
      <w:r w:rsidRPr="004A7AED">
        <w:rPr>
          <w:i/>
          <w:noProof/>
          <w:sz w:val="20"/>
          <w:szCs w:val="20"/>
        </w:rPr>
        <w:t>International Feminist Journal of Politics, 14</w:t>
      </w:r>
      <w:r w:rsidRPr="004A7AED">
        <w:rPr>
          <w:noProof/>
          <w:sz w:val="20"/>
          <w:szCs w:val="20"/>
        </w:rPr>
        <w:t>(4), 508-528.</w:t>
      </w:r>
      <w:bookmarkEnd w:id="2"/>
    </w:p>
    <w:p w:rsidR="009C6FD6" w:rsidRPr="004A7AED" w:rsidRDefault="009C6FD6" w:rsidP="009C6FD6">
      <w:pPr>
        <w:rPr>
          <w:noProof/>
          <w:sz w:val="20"/>
          <w:szCs w:val="20"/>
        </w:rPr>
      </w:pPr>
      <w:bookmarkStart w:id="3" w:name="_ENREF_4"/>
      <w:r w:rsidRPr="004A7AED">
        <w:rPr>
          <w:noProof/>
          <w:sz w:val="20"/>
          <w:szCs w:val="20"/>
        </w:rPr>
        <w:t xml:space="preserve">Chauhan, P., Burnette, M. L., &amp; Repucci, N. D. (2010). Racial disparities among female juvenile offenders. </w:t>
      </w:r>
      <w:r w:rsidRPr="004A7AED">
        <w:rPr>
          <w:i/>
          <w:noProof/>
          <w:sz w:val="20"/>
          <w:szCs w:val="20"/>
        </w:rPr>
        <w:t>Court Review, 45</w:t>
      </w:r>
      <w:r w:rsidRPr="004A7AED">
        <w:rPr>
          <w:noProof/>
          <w:sz w:val="20"/>
          <w:szCs w:val="20"/>
        </w:rPr>
        <w:t>(1-2), 8-13.</w:t>
      </w:r>
      <w:bookmarkEnd w:id="3"/>
    </w:p>
    <w:p w:rsidR="009C6FD6" w:rsidRPr="004A7AED" w:rsidRDefault="009C6FD6" w:rsidP="009C6FD6">
      <w:pPr>
        <w:rPr>
          <w:noProof/>
          <w:sz w:val="20"/>
          <w:szCs w:val="20"/>
        </w:rPr>
      </w:pPr>
      <w:bookmarkStart w:id="4" w:name="_ENREF_5"/>
      <w:r w:rsidRPr="004A7AED">
        <w:rPr>
          <w:noProof/>
          <w:sz w:val="20"/>
          <w:szCs w:val="20"/>
        </w:rPr>
        <w:t xml:space="preserve">Chauhan, P., Reppucci, N. D., Burnette, M., &amp; Reiner, S. (2010). Race, neighborhood disadvantage, and antisocial behavior among female juvenile offenders. </w:t>
      </w:r>
      <w:r w:rsidRPr="004A7AED">
        <w:rPr>
          <w:i/>
          <w:noProof/>
          <w:sz w:val="20"/>
          <w:szCs w:val="20"/>
        </w:rPr>
        <w:t>Journal of Community Psychology, 38</w:t>
      </w:r>
      <w:r w:rsidRPr="004A7AED">
        <w:rPr>
          <w:noProof/>
          <w:sz w:val="20"/>
          <w:szCs w:val="20"/>
        </w:rPr>
        <w:t>(4), 532-540.</w:t>
      </w:r>
      <w:bookmarkEnd w:id="4"/>
    </w:p>
    <w:p w:rsidR="009C6FD6" w:rsidRPr="004A7AED" w:rsidRDefault="009C6FD6" w:rsidP="009C6FD6">
      <w:pPr>
        <w:rPr>
          <w:noProof/>
          <w:sz w:val="20"/>
          <w:szCs w:val="20"/>
        </w:rPr>
      </w:pPr>
      <w:bookmarkStart w:id="5" w:name="_ENREF_6"/>
      <w:r w:rsidRPr="004A7AED">
        <w:rPr>
          <w:noProof/>
          <w:sz w:val="20"/>
          <w:szCs w:val="20"/>
        </w:rPr>
        <w:t xml:space="preserve">Chui, W. H., &amp; Ong, R. (2008). Indecent assault on the public transport in Hong Kong. </w:t>
      </w:r>
      <w:r w:rsidRPr="004A7AED">
        <w:rPr>
          <w:i/>
          <w:noProof/>
          <w:sz w:val="20"/>
          <w:szCs w:val="20"/>
        </w:rPr>
        <w:t>International Journal of Law Crime and Justice, 36</w:t>
      </w:r>
      <w:r w:rsidRPr="004A7AED">
        <w:rPr>
          <w:noProof/>
          <w:sz w:val="20"/>
          <w:szCs w:val="20"/>
        </w:rPr>
        <w:t>(1), 2-14.</w:t>
      </w:r>
      <w:bookmarkEnd w:id="5"/>
    </w:p>
    <w:p w:rsidR="009C6FD6" w:rsidRPr="004A7AED" w:rsidRDefault="009C6FD6" w:rsidP="009C6FD6">
      <w:pPr>
        <w:rPr>
          <w:noProof/>
          <w:sz w:val="20"/>
          <w:szCs w:val="20"/>
        </w:rPr>
      </w:pPr>
      <w:bookmarkStart w:id="6" w:name="_ENREF_7"/>
      <w:r w:rsidRPr="004A7AED">
        <w:rPr>
          <w:noProof/>
          <w:sz w:val="20"/>
          <w:szCs w:val="20"/>
        </w:rPr>
        <w:t xml:space="preserve">Clay-Warner, J., &amp; McMahon-Howard, J. (2009). Rape Reporting: "Classic Rape" and the Behavior of Law. </w:t>
      </w:r>
      <w:r w:rsidRPr="004A7AED">
        <w:rPr>
          <w:i/>
          <w:noProof/>
          <w:sz w:val="20"/>
          <w:szCs w:val="20"/>
        </w:rPr>
        <w:t>Violence and Victims, 24</w:t>
      </w:r>
      <w:r w:rsidRPr="004A7AED">
        <w:rPr>
          <w:noProof/>
          <w:sz w:val="20"/>
          <w:szCs w:val="20"/>
        </w:rPr>
        <w:t>(6), 723-743.</w:t>
      </w:r>
      <w:bookmarkEnd w:id="6"/>
    </w:p>
    <w:p w:rsidR="009C6FD6" w:rsidRPr="004A7AED" w:rsidRDefault="009C6FD6" w:rsidP="009C6FD6">
      <w:pPr>
        <w:rPr>
          <w:noProof/>
          <w:sz w:val="20"/>
          <w:szCs w:val="20"/>
        </w:rPr>
      </w:pPr>
      <w:bookmarkStart w:id="7" w:name="_ENREF_8"/>
      <w:r w:rsidRPr="004A7AED">
        <w:rPr>
          <w:noProof/>
          <w:sz w:val="20"/>
          <w:szCs w:val="20"/>
        </w:rPr>
        <w:t xml:space="preserve">Crenshaw, K. W. (2012). From private violence to mass incarceration: Thinking intersectionally about women, race, and social control. </w:t>
      </w:r>
      <w:r w:rsidRPr="004A7AED">
        <w:rPr>
          <w:i/>
          <w:noProof/>
          <w:sz w:val="20"/>
          <w:szCs w:val="20"/>
        </w:rPr>
        <w:t>UCLA Law Review, 59</w:t>
      </w:r>
      <w:r w:rsidRPr="004A7AED">
        <w:rPr>
          <w:noProof/>
          <w:sz w:val="20"/>
          <w:szCs w:val="20"/>
        </w:rPr>
        <w:t>(6), 1418-1472.</w:t>
      </w:r>
      <w:bookmarkEnd w:id="7"/>
    </w:p>
    <w:p w:rsidR="009C6FD6" w:rsidRPr="004A7AED" w:rsidRDefault="009C6FD6" w:rsidP="009C6FD6">
      <w:pPr>
        <w:rPr>
          <w:noProof/>
          <w:sz w:val="20"/>
          <w:szCs w:val="20"/>
        </w:rPr>
      </w:pPr>
      <w:bookmarkStart w:id="8" w:name="_ENREF_9"/>
      <w:r w:rsidRPr="004A7AED">
        <w:rPr>
          <w:noProof/>
          <w:sz w:val="20"/>
          <w:szCs w:val="20"/>
        </w:rPr>
        <w:t xml:space="preserve">Crowley, U., &amp; Kitchin, R. (2008). Producing 'decent girls': Governmentality and the moral geographies of sexual conduct in Ireland (1922-1937). </w:t>
      </w:r>
      <w:r w:rsidRPr="004A7AED">
        <w:rPr>
          <w:i/>
          <w:noProof/>
          <w:sz w:val="20"/>
          <w:szCs w:val="20"/>
        </w:rPr>
        <w:t>Gender, Place, and Culture, 15</w:t>
      </w:r>
      <w:r w:rsidRPr="004A7AED">
        <w:rPr>
          <w:noProof/>
          <w:sz w:val="20"/>
          <w:szCs w:val="20"/>
        </w:rPr>
        <w:t>(4), 355-372.</w:t>
      </w:r>
      <w:bookmarkEnd w:id="8"/>
    </w:p>
    <w:p w:rsidR="009C6FD6" w:rsidRPr="004A7AED" w:rsidRDefault="009C6FD6" w:rsidP="009C6FD6">
      <w:pPr>
        <w:rPr>
          <w:noProof/>
          <w:sz w:val="20"/>
          <w:szCs w:val="20"/>
        </w:rPr>
      </w:pPr>
      <w:bookmarkStart w:id="9" w:name="_ENREF_10"/>
      <w:r w:rsidRPr="004A7AED">
        <w:rPr>
          <w:noProof/>
          <w:sz w:val="20"/>
          <w:szCs w:val="20"/>
        </w:rPr>
        <w:t xml:space="preserve">D'Errico, N. C., Kalala, T., Nzigire, L. B., Maisha, F., &amp; Kalisya, L. M. (2013). "You say rape, I say hospitals. But whose voice is louder?' Health, aid and decision-making in the Democratic Republic of Congo. </w:t>
      </w:r>
      <w:r w:rsidRPr="004A7AED">
        <w:rPr>
          <w:i/>
          <w:noProof/>
          <w:sz w:val="20"/>
          <w:szCs w:val="20"/>
        </w:rPr>
        <w:t>Review of African Political Economy, 40</w:t>
      </w:r>
      <w:r w:rsidRPr="004A7AED">
        <w:rPr>
          <w:noProof/>
          <w:sz w:val="20"/>
          <w:szCs w:val="20"/>
        </w:rPr>
        <w:t>(135), 51-66.</w:t>
      </w:r>
      <w:bookmarkEnd w:id="9"/>
    </w:p>
    <w:p w:rsidR="009C6FD6" w:rsidRPr="004A7AED" w:rsidRDefault="009C6FD6" w:rsidP="009C6FD6">
      <w:pPr>
        <w:rPr>
          <w:noProof/>
          <w:sz w:val="20"/>
          <w:szCs w:val="20"/>
        </w:rPr>
      </w:pPr>
      <w:bookmarkStart w:id="10" w:name="_ENREF_11"/>
      <w:r w:rsidRPr="004A7AED">
        <w:rPr>
          <w:noProof/>
          <w:sz w:val="20"/>
          <w:szCs w:val="20"/>
        </w:rPr>
        <w:t xml:space="preserve">Dick, P., &amp; Cassell, C. (2004). The position of policewomen: A discourse analytic study. </w:t>
      </w:r>
      <w:r w:rsidRPr="004A7AED">
        <w:rPr>
          <w:i/>
          <w:noProof/>
          <w:sz w:val="20"/>
          <w:szCs w:val="20"/>
        </w:rPr>
        <w:t>Work Employment and Society, 18</w:t>
      </w:r>
      <w:r w:rsidRPr="004A7AED">
        <w:rPr>
          <w:noProof/>
          <w:sz w:val="20"/>
          <w:szCs w:val="20"/>
        </w:rPr>
        <w:t>(1), 51-72.</w:t>
      </w:r>
      <w:bookmarkEnd w:id="10"/>
    </w:p>
    <w:p w:rsidR="009C6FD6" w:rsidRPr="004A7AED" w:rsidRDefault="009C6FD6" w:rsidP="009C6FD6">
      <w:pPr>
        <w:rPr>
          <w:noProof/>
          <w:sz w:val="20"/>
          <w:szCs w:val="20"/>
        </w:rPr>
      </w:pPr>
      <w:bookmarkStart w:id="11" w:name="_ENREF_12"/>
      <w:r w:rsidRPr="004A7AED">
        <w:rPr>
          <w:noProof/>
          <w:sz w:val="20"/>
          <w:szCs w:val="20"/>
        </w:rPr>
        <w:t xml:space="preserve">Franklin, C. (2012). Inventing the "traditional concept" of sex discrimination. </w:t>
      </w:r>
      <w:r w:rsidRPr="004A7AED">
        <w:rPr>
          <w:i/>
          <w:noProof/>
          <w:sz w:val="20"/>
          <w:szCs w:val="20"/>
        </w:rPr>
        <w:t>Harvard Law Review, 125</w:t>
      </w:r>
      <w:r w:rsidRPr="004A7AED">
        <w:rPr>
          <w:noProof/>
          <w:sz w:val="20"/>
          <w:szCs w:val="20"/>
        </w:rPr>
        <w:t>(6), 1307-1380.</w:t>
      </w:r>
      <w:bookmarkEnd w:id="11"/>
    </w:p>
    <w:p w:rsidR="009C6FD6" w:rsidRPr="004A7AED" w:rsidRDefault="009C6FD6" w:rsidP="009C6FD6">
      <w:pPr>
        <w:rPr>
          <w:noProof/>
          <w:sz w:val="20"/>
          <w:szCs w:val="20"/>
        </w:rPr>
      </w:pPr>
      <w:bookmarkStart w:id="12" w:name="_ENREF_13"/>
      <w:r w:rsidRPr="004A7AED">
        <w:rPr>
          <w:noProof/>
          <w:sz w:val="20"/>
          <w:szCs w:val="20"/>
        </w:rPr>
        <w:t xml:space="preserve">Gaskins, S. (2004). "Women of circumstance" - The effects of mandatory minimum sentencing on women minimally involved in drug crimes. </w:t>
      </w:r>
      <w:r w:rsidRPr="004A7AED">
        <w:rPr>
          <w:i/>
          <w:noProof/>
          <w:sz w:val="20"/>
          <w:szCs w:val="20"/>
        </w:rPr>
        <w:t>American Criminal Law Review, 41</w:t>
      </w:r>
      <w:r w:rsidRPr="004A7AED">
        <w:rPr>
          <w:noProof/>
          <w:sz w:val="20"/>
          <w:szCs w:val="20"/>
        </w:rPr>
        <w:t>(4), 1533-1553.</w:t>
      </w:r>
      <w:bookmarkEnd w:id="12"/>
    </w:p>
    <w:p w:rsidR="009C6FD6" w:rsidRPr="004A7AED" w:rsidRDefault="009C6FD6" w:rsidP="009C6FD6">
      <w:pPr>
        <w:rPr>
          <w:noProof/>
          <w:sz w:val="20"/>
          <w:szCs w:val="20"/>
        </w:rPr>
      </w:pPr>
      <w:bookmarkStart w:id="13" w:name="_ENREF_14"/>
      <w:r w:rsidRPr="004A7AED">
        <w:rPr>
          <w:noProof/>
          <w:sz w:val="20"/>
          <w:szCs w:val="20"/>
        </w:rPr>
        <w:lastRenderedPageBreak/>
        <w:t xml:space="preserve">Glaze, L. E., &amp; Maruschak, L. M. (2008). Parents in prison and their minor children (pp. 25). Washington, D.C.: Bureau of Justice Statistics. </w:t>
      </w:r>
      <w:hyperlink r:id="rId9" w:history="1">
        <w:r w:rsidRPr="004A7AED">
          <w:rPr>
            <w:rStyle w:val="Hyperlink"/>
            <w:rFonts w:eastAsiaTheme="majorEastAsia"/>
            <w:noProof/>
            <w:sz w:val="20"/>
            <w:szCs w:val="20"/>
          </w:rPr>
          <w:t>http://bjs.gov/content/pub/pdf/pptmc.pdf</w:t>
        </w:r>
      </w:hyperlink>
      <w:r w:rsidRPr="004A7AED">
        <w:rPr>
          <w:noProof/>
          <w:sz w:val="20"/>
          <w:szCs w:val="20"/>
        </w:rPr>
        <w:t>.</w:t>
      </w:r>
      <w:bookmarkEnd w:id="13"/>
    </w:p>
    <w:p w:rsidR="009C6FD6" w:rsidRPr="004A7AED" w:rsidRDefault="009C6FD6" w:rsidP="009C6FD6">
      <w:pPr>
        <w:rPr>
          <w:noProof/>
          <w:sz w:val="20"/>
          <w:szCs w:val="20"/>
        </w:rPr>
      </w:pPr>
      <w:bookmarkStart w:id="14" w:name="_ENREF_15"/>
      <w:r w:rsidRPr="004A7AED">
        <w:rPr>
          <w:noProof/>
          <w:sz w:val="20"/>
          <w:szCs w:val="20"/>
        </w:rPr>
        <w:t xml:space="preserve">Greener, B. K., Fish, W. J., &amp; Tekulu, K. (2011). Peacebuilding, gender and policing in Solomon Islands. </w:t>
      </w:r>
      <w:r w:rsidRPr="004A7AED">
        <w:rPr>
          <w:i/>
          <w:noProof/>
          <w:sz w:val="20"/>
          <w:szCs w:val="20"/>
        </w:rPr>
        <w:t>Asia Pacific Viewpoint, 52</w:t>
      </w:r>
      <w:r w:rsidRPr="004A7AED">
        <w:rPr>
          <w:noProof/>
          <w:sz w:val="20"/>
          <w:szCs w:val="20"/>
        </w:rPr>
        <w:t>(1), 17-28.</w:t>
      </w:r>
      <w:bookmarkEnd w:id="14"/>
    </w:p>
    <w:p w:rsidR="009C6FD6" w:rsidRPr="004A7AED" w:rsidRDefault="009C6FD6" w:rsidP="009C6FD6">
      <w:pPr>
        <w:rPr>
          <w:noProof/>
          <w:sz w:val="20"/>
          <w:szCs w:val="20"/>
        </w:rPr>
      </w:pPr>
      <w:bookmarkStart w:id="15" w:name="_ENREF_16"/>
      <w:r w:rsidRPr="004A7AED">
        <w:rPr>
          <w:noProof/>
          <w:sz w:val="20"/>
          <w:szCs w:val="20"/>
        </w:rPr>
        <w:t xml:space="preserve">Hagan, J., &amp; Foster, H. (2006). Profiles of punishment and privilege: Secret and disputed deviance during the racialized transition to American adulthood. </w:t>
      </w:r>
      <w:r w:rsidRPr="004A7AED">
        <w:rPr>
          <w:i/>
          <w:noProof/>
          <w:sz w:val="20"/>
          <w:szCs w:val="20"/>
        </w:rPr>
        <w:t>Crime Law and Social Change, 46</w:t>
      </w:r>
      <w:r w:rsidRPr="004A7AED">
        <w:rPr>
          <w:noProof/>
          <w:sz w:val="20"/>
          <w:szCs w:val="20"/>
        </w:rPr>
        <w:t>(1-2), 65-85.</w:t>
      </w:r>
      <w:bookmarkEnd w:id="15"/>
    </w:p>
    <w:p w:rsidR="009C6FD6" w:rsidRPr="004A7AED" w:rsidRDefault="009C6FD6" w:rsidP="009C6FD6">
      <w:pPr>
        <w:rPr>
          <w:noProof/>
          <w:sz w:val="20"/>
          <w:szCs w:val="20"/>
        </w:rPr>
      </w:pPr>
      <w:bookmarkStart w:id="16" w:name="_ENREF_17"/>
      <w:r w:rsidRPr="004A7AED">
        <w:rPr>
          <w:noProof/>
          <w:sz w:val="20"/>
          <w:szCs w:val="20"/>
        </w:rPr>
        <w:t xml:space="preserve">Hagan, J., &amp; Foster, H. (2012). Children of the American prison generation: Student and school spillover effects of incarcerating mothers. </w:t>
      </w:r>
      <w:r w:rsidRPr="004A7AED">
        <w:rPr>
          <w:i/>
          <w:noProof/>
          <w:sz w:val="20"/>
          <w:szCs w:val="20"/>
        </w:rPr>
        <w:t>Law &amp; Society Review, 46</w:t>
      </w:r>
      <w:r w:rsidRPr="004A7AED">
        <w:rPr>
          <w:noProof/>
          <w:sz w:val="20"/>
          <w:szCs w:val="20"/>
        </w:rPr>
        <w:t>(1), 37-69.</w:t>
      </w:r>
      <w:bookmarkEnd w:id="16"/>
    </w:p>
    <w:p w:rsidR="009C6FD6" w:rsidRPr="004A7AED" w:rsidRDefault="009C6FD6" w:rsidP="009C6FD6">
      <w:pPr>
        <w:rPr>
          <w:noProof/>
          <w:sz w:val="20"/>
          <w:szCs w:val="20"/>
        </w:rPr>
      </w:pPr>
      <w:bookmarkStart w:id="17" w:name="_ENREF_18"/>
      <w:r w:rsidRPr="004A7AED">
        <w:rPr>
          <w:noProof/>
          <w:sz w:val="20"/>
          <w:szCs w:val="20"/>
        </w:rPr>
        <w:t xml:space="preserve">Hagan, J., &amp; Foster, H. (2012). Intergenerational Educational Effects of Mass Imprisonment in America. </w:t>
      </w:r>
      <w:r w:rsidRPr="004A7AED">
        <w:rPr>
          <w:i/>
          <w:noProof/>
          <w:sz w:val="20"/>
          <w:szCs w:val="20"/>
        </w:rPr>
        <w:t>Sociology of Education, 85</w:t>
      </w:r>
      <w:r w:rsidRPr="004A7AED">
        <w:rPr>
          <w:noProof/>
          <w:sz w:val="20"/>
          <w:szCs w:val="20"/>
        </w:rPr>
        <w:t>(3), 259-286.</w:t>
      </w:r>
      <w:bookmarkEnd w:id="17"/>
    </w:p>
    <w:p w:rsidR="009C6FD6" w:rsidRPr="004A7AED" w:rsidRDefault="009C6FD6" w:rsidP="009C6FD6">
      <w:pPr>
        <w:rPr>
          <w:noProof/>
          <w:sz w:val="20"/>
          <w:szCs w:val="20"/>
        </w:rPr>
      </w:pPr>
      <w:bookmarkStart w:id="18" w:name="_ENREF_19"/>
      <w:r w:rsidRPr="004A7AED">
        <w:rPr>
          <w:noProof/>
          <w:sz w:val="20"/>
          <w:szCs w:val="20"/>
        </w:rPr>
        <w:t xml:space="preserve">Hannah-Moffat, K., &amp; Yule, C. (2011). Gaining insight, changing attitudes and managing 'risk': Parole release decisions for women convicted of violent crimes. </w:t>
      </w:r>
      <w:r w:rsidRPr="004A7AED">
        <w:rPr>
          <w:i/>
          <w:noProof/>
          <w:sz w:val="20"/>
          <w:szCs w:val="20"/>
        </w:rPr>
        <w:t>Punishment &amp; Society, 13</w:t>
      </w:r>
      <w:r w:rsidRPr="004A7AED">
        <w:rPr>
          <w:noProof/>
          <w:sz w:val="20"/>
          <w:szCs w:val="20"/>
        </w:rPr>
        <w:t>(2), 149-175.</w:t>
      </w:r>
      <w:bookmarkEnd w:id="18"/>
    </w:p>
    <w:p w:rsidR="009C6FD6" w:rsidRPr="004A7AED" w:rsidRDefault="009C6FD6" w:rsidP="009C6FD6">
      <w:pPr>
        <w:rPr>
          <w:noProof/>
          <w:sz w:val="20"/>
          <w:szCs w:val="20"/>
        </w:rPr>
      </w:pPr>
      <w:bookmarkStart w:id="19" w:name="_ENREF_20"/>
      <w:r w:rsidRPr="004A7AED">
        <w:rPr>
          <w:noProof/>
          <w:sz w:val="20"/>
          <w:szCs w:val="20"/>
        </w:rPr>
        <w:t xml:space="preserve">Henry, M. (2012). Peacexploitation? Interrogating labor hierarchies and global sisterhood among Indian and Uruguayan female peacekeepers? </w:t>
      </w:r>
      <w:r w:rsidRPr="004A7AED">
        <w:rPr>
          <w:i/>
          <w:noProof/>
          <w:sz w:val="20"/>
          <w:szCs w:val="20"/>
        </w:rPr>
        <w:t>Globalizations, 9</w:t>
      </w:r>
      <w:r w:rsidRPr="004A7AED">
        <w:rPr>
          <w:noProof/>
          <w:sz w:val="20"/>
          <w:szCs w:val="20"/>
        </w:rPr>
        <w:t>(1), 15-33.</w:t>
      </w:r>
      <w:bookmarkEnd w:id="19"/>
    </w:p>
    <w:p w:rsidR="009C6FD6" w:rsidRPr="004A7AED" w:rsidRDefault="009C6FD6" w:rsidP="009C6FD6">
      <w:pPr>
        <w:rPr>
          <w:noProof/>
          <w:sz w:val="20"/>
          <w:szCs w:val="20"/>
        </w:rPr>
      </w:pPr>
      <w:bookmarkStart w:id="20" w:name="_ENREF_21"/>
      <w:r w:rsidRPr="004A7AED">
        <w:rPr>
          <w:noProof/>
          <w:sz w:val="20"/>
          <w:szCs w:val="20"/>
        </w:rPr>
        <w:t xml:space="preserve">Jaleel, R. (2013). Weapons of sex, weapons of war: Feminisms, ethnic conflict and the rise of rape and sexual violence in public international law during the 1990s. </w:t>
      </w:r>
      <w:r w:rsidRPr="004A7AED">
        <w:rPr>
          <w:i/>
          <w:noProof/>
          <w:sz w:val="20"/>
          <w:szCs w:val="20"/>
        </w:rPr>
        <w:t>Cultural Studies, 27</w:t>
      </w:r>
      <w:r w:rsidRPr="004A7AED">
        <w:rPr>
          <w:noProof/>
          <w:sz w:val="20"/>
          <w:szCs w:val="20"/>
        </w:rPr>
        <w:t>(1), 115-135.</w:t>
      </w:r>
      <w:bookmarkEnd w:id="20"/>
    </w:p>
    <w:p w:rsidR="009C6FD6" w:rsidRPr="004A7AED" w:rsidRDefault="009C6FD6" w:rsidP="009C6FD6">
      <w:pPr>
        <w:rPr>
          <w:noProof/>
          <w:sz w:val="20"/>
          <w:szCs w:val="20"/>
        </w:rPr>
      </w:pPr>
      <w:bookmarkStart w:id="21" w:name="_ENREF_22"/>
      <w:r w:rsidRPr="004A7AED">
        <w:rPr>
          <w:noProof/>
          <w:sz w:val="20"/>
          <w:szCs w:val="20"/>
        </w:rPr>
        <w:t xml:space="preserve">Jeffries, S., &amp; Bonds, C. E. W. (2013). Gender, indigeneity, and the criminal courts: A narrative exploration of women's sentencing in Western Australia. </w:t>
      </w:r>
      <w:r w:rsidRPr="004A7AED">
        <w:rPr>
          <w:i/>
          <w:noProof/>
          <w:sz w:val="20"/>
          <w:szCs w:val="20"/>
        </w:rPr>
        <w:t>Women and Criminal Justice, 23</w:t>
      </w:r>
      <w:r w:rsidRPr="004A7AED">
        <w:rPr>
          <w:noProof/>
          <w:sz w:val="20"/>
          <w:szCs w:val="20"/>
        </w:rPr>
        <w:t>(1), 19-42.</w:t>
      </w:r>
      <w:bookmarkEnd w:id="21"/>
    </w:p>
    <w:p w:rsidR="009C6FD6" w:rsidRPr="004A7AED" w:rsidRDefault="009C6FD6" w:rsidP="009C6FD6">
      <w:pPr>
        <w:rPr>
          <w:noProof/>
          <w:sz w:val="20"/>
          <w:szCs w:val="20"/>
        </w:rPr>
      </w:pPr>
      <w:bookmarkStart w:id="22" w:name="_ENREF_23"/>
      <w:r w:rsidRPr="004A7AED">
        <w:rPr>
          <w:noProof/>
          <w:sz w:val="20"/>
          <w:szCs w:val="20"/>
        </w:rPr>
        <w:t xml:space="preserve">King, K. L., &amp; Greening, M. (2007). Gender justice or just gender? The role of gender in sexual assault decisions at the international criminal tribunal for the former Yugoslavia. </w:t>
      </w:r>
      <w:r w:rsidRPr="004A7AED">
        <w:rPr>
          <w:i/>
          <w:noProof/>
          <w:sz w:val="20"/>
          <w:szCs w:val="20"/>
        </w:rPr>
        <w:t>Social Science Quarterly, 88</w:t>
      </w:r>
      <w:r w:rsidRPr="004A7AED">
        <w:rPr>
          <w:noProof/>
          <w:sz w:val="20"/>
          <w:szCs w:val="20"/>
        </w:rPr>
        <w:t>(5), 1049-1071.</w:t>
      </w:r>
      <w:bookmarkEnd w:id="22"/>
    </w:p>
    <w:p w:rsidR="009C6FD6" w:rsidRPr="004A7AED" w:rsidRDefault="009C6FD6" w:rsidP="009C6FD6">
      <w:pPr>
        <w:rPr>
          <w:noProof/>
          <w:sz w:val="20"/>
          <w:szCs w:val="20"/>
        </w:rPr>
      </w:pPr>
      <w:bookmarkStart w:id="23" w:name="_ENREF_24"/>
      <w:r w:rsidRPr="004A7AED">
        <w:rPr>
          <w:noProof/>
          <w:sz w:val="20"/>
          <w:szCs w:val="20"/>
        </w:rPr>
        <w:t xml:space="preserve">Liendo, N. M., Wardell, D. W., Engebretson, J., &amp; Reininger, B. M. (2011). Victimization and Revictimization Among Women of Mexican Descent. </w:t>
      </w:r>
      <w:r w:rsidRPr="004A7AED">
        <w:rPr>
          <w:i/>
          <w:noProof/>
          <w:sz w:val="20"/>
          <w:szCs w:val="20"/>
        </w:rPr>
        <w:t>Jognn-Journal of Obstetric Gynecologic and Neonatal Nursing, 40</w:t>
      </w:r>
      <w:r w:rsidRPr="004A7AED">
        <w:rPr>
          <w:noProof/>
          <w:sz w:val="20"/>
          <w:szCs w:val="20"/>
        </w:rPr>
        <w:t>(2), 206-214.</w:t>
      </w:r>
      <w:bookmarkEnd w:id="23"/>
    </w:p>
    <w:p w:rsidR="009C6FD6" w:rsidRPr="004A7AED" w:rsidRDefault="009C6FD6" w:rsidP="009C6FD6">
      <w:pPr>
        <w:rPr>
          <w:noProof/>
          <w:sz w:val="20"/>
          <w:szCs w:val="20"/>
        </w:rPr>
      </w:pPr>
      <w:bookmarkStart w:id="24" w:name="_ENREF_25"/>
      <w:r w:rsidRPr="004A7AED">
        <w:rPr>
          <w:noProof/>
          <w:sz w:val="20"/>
          <w:szCs w:val="20"/>
        </w:rPr>
        <w:t xml:space="preserve">Lin, J., Grattet, R., &amp; Petersilia, J. (2010). "Back-end sentencing" and reimprisonment: Individual, organizational, and community predictors of parole sanctioning decisions. </w:t>
      </w:r>
      <w:r w:rsidRPr="004A7AED">
        <w:rPr>
          <w:i/>
          <w:noProof/>
          <w:sz w:val="20"/>
          <w:szCs w:val="20"/>
        </w:rPr>
        <w:t>Criminology, 48</w:t>
      </w:r>
      <w:r w:rsidRPr="004A7AED">
        <w:rPr>
          <w:noProof/>
          <w:sz w:val="20"/>
          <w:szCs w:val="20"/>
        </w:rPr>
        <w:t>(3), 759-795.</w:t>
      </w:r>
      <w:bookmarkEnd w:id="24"/>
    </w:p>
    <w:p w:rsidR="009C6FD6" w:rsidRPr="004A7AED" w:rsidRDefault="009C6FD6" w:rsidP="009C6FD6">
      <w:pPr>
        <w:rPr>
          <w:noProof/>
          <w:sz w:val="20"/>
          <w:szCs w:val="20"/>
        </w:rPr>
      </w:pPr>
      <w:bookmarkStart w:id="25" w:name="_ENREF_26"/>
      <w:r w:rsidRPr="004A7AED">
        <w:rPr>
          <w:noProof/>
          <w:sz w:val="20"/>
          <w:szCs w:val="20"/>
        </w:rPr>
        <w:t xml:space="preserve">Littleton, H., Breitkopf, C. R., &amp; Berenson, A. (2008). Beyond the campus - Unacknowledged rape among low-income women. </w:t>
      </w:r>
      <w:r w:rsidRPr="004A7AED">
        <w:rPr>
          <w:i/>
          <w:noProof/>
          <w:sz w:val="20"/>
          <w:szCs w:val="20"/>
        </w:rPr>
        <w:t>Violence against Women, 14</w:t>
      </w:r>
      <w:r w:rsidRPr="004A7AED">
        <w:rPr>
          <w:noProof/>
          <w:sz w:val="20"/>
          <w:szCs w:val="20"/>
        </w:rPr>
        <w:t>(3), 269-286.</w:t>
      </w:r>
      <w:bookmarkEnd w:id="25"/>
    </w:p>
    <w:p w:rsidR="009C6FD6" w:rsidRPr="004A7AED" w:rsidRDefault="009C6FD6" w:rsidP="009C6FD6">
      <w:pPr>
        <w:rPr>
          <w:noProof/>
          <w:sz w:val="20"/>
          <w:szCs w:val="20"/>
        </w:rPr>
      </w:pPr>
      <w:bookmarkStart w:id="26" w:name="_ENREF_27"/>
      <w:r w:rsidRPr="004A7AED">
        <w:rPr>
          <w:noProof/>
          <w:sz w:val="20"/>
          <w:szCs w:val="20"/>
        </w:rPr>
        <w:t xml:space="preserve">Littleton, H., Tabernik, H., Canales, E. J., &amp; Backstrom, T. (2009). Risky Situation or Harmless Fun? A Qualitative Examination of College Women's Bad Hook-up and Rape Scripts. </w:t>
      </w:r>
      <w:r w:rsidRPr="004A7AED">
        <w:rPr>
          <w:i/>
          <w:noProof/>
          <w:sz w:val="20"/>
          <w:szCs w:val="20"/>
        </w:rPr>
        <w:t>Sex Roles, 60</w:t>
      </w:r>
      <w:r w:rsidRPr="004A7AED">
        <w:rPr>
          <w:noProof/>
          <w:sz w:val="20"/>
          <w:szCs w:val="20"/>
        </w:rPr>
        <w:t>(11-12), 793-804.</w:t>
      </w:r>
      <w:bookmarkEnd w:id="26"/>
    </w:p>
    <w:p w:rsidR="009C6FD6" w:rsidRPr="004A7AED" w:rsidRDefault="009C6FD6" w:rsidP="009C6FD6">
      <w:pPr>
        <w:rPr>
          <w:noProof/>
          <w:sz w:val="20"/>
          <w:szCs w:val="20"/>
        </w:rPr>
      </w:pPr>
      <w:bookmarkStart w:id="27" w:name="_ENREF_28"/>
      <w:r w:rsidRPr="004A7AED">
        <w:rPr>
          <w:noProof/>
          <w:sz w:val="20"/>
          <w:szCs w:val="20"/>
        </w:rPr>
        <w:t xml:space="preserve">Littleton, H. L., Grills-Taquechel, A. E., Buck, K. S., Rosman, L., &amp; Dodd, J. C. (2013). Health Risk Behavior and Sexual Assault Among Ethnically Diverse Women. </w:t>
      </w:r>
      <w:r w:rsidRPr="004A7AED">
        <w:rPr>
          <w:i/>
          <w:noProof/>
          <w:sz w:val="20"/>
          <w:szCs w:val="20"/>
        </w:rPr>
        <w:t>Psychology of Women Quarterly, 37</w:t>
      </w:r>
      <w:r w:rsidRPr="004A7AED">
        <w:rPr>
          <w:noProof/>
          <w:sz w:val="20"/>
          <w:szCs w:val="20"/>
        </w:rPr>
        <w:t>(1), 7-21.</w:t>
      </w:r>
      <w:bookmarkEnd w:id="27"/>
    </w:p>
    <w:p w:rsidR="009C6FD6" w:rsidRPr="004A7AED" w:rsidRDefault="009C6FD6" w:rsidP="009C6FD6">
      <w:pPr>
        <w:rPr>
          <w:noProof/>
          <w:sz w:val="20"/>
          <w:szCs w:val="20"/>
        </w:rPr>
      </w:pPr>
      <w:bookmarkStart w:id="28" w:name="_ENREF_29"/>
      <w:r w:rsidRPr="004A7AED">
        <w:rPr>
          <w:noProof/>
          <w:sz w:val="20"/>
          <w:szCs w:val="20"/>
        </w:rPr>
        <w:t xml:space="preserve">Mack, K. W. (2002). A social history of everyday practice: Sadie T.M. Alexander and the incorporation of black women into the American legal profession, 1925-1960. </w:t>
      </w:r>
      <w:r w:rsidRPr="004A7AED">
        <w:rPr>
          <w:i/>
          <w:noProof/>
          <w:sz w:val="20"/>
          <w:szCs w:val="20"/>
        </w:rPr>
        <w:t>Cornell Law Review, 87</w:t>
      </w:r>
      <w:r w:rsidRPr="004A7AED">
        <w:rPr>
          <w:noProof/>
          <w:sz w:val="20"/>
          <w:szCs w:val="20"/>
        </w:rPr>
        <w:t>, 1405-1474.</w:t>
      </w:r>
      <w:bookmarkEnd w:id="28"/>
    </w:p>
    <w:p w:rsidR="009C6FD6" w:rsidRPr="004A7AED" w:rsidRDefault="009C6FD6" w:rsidP="009C6FD6">
      <w:pPr>
        <w:rPr>
          <w:noProof/>
          <w:sz w:val="20"/>
          <w:szCs w:val="20"/>
        </w:rPr>
      </w:pPr>
      <w:bookmarkStart w:id="29" w:name="_ENREF_30"/>
      <w:r w:rsidRPr="004A7AED">
        <w:rPr>
          <w:noProof/>
          <w:sz w:val="20"/>
          <w:szCs w:val="20"/>
        </w:rPr>
        <w:t xml:space="preserve">Mauer, M. (2013). </w:t>
      </w:r>
      <w:r w:rsidRPr="004A7AED">
        <w:rPr>
          <w:i/>
          <w:noProof/>
          <w:sz w:val="20"/>
          <w:szCs w:val="20"/>
        </w:rPr>
        <w:t>The changing racial dynamics of women's incarceration</w:t>
      </w:r>
      <w:r w:rsidRPr="004A7AED">
        <w:rPr>
          <w:noProof/>
          <w:sz w:val="20"/>
          <w:szCs w:val="20"/>
        </w:rPr>
        <w:t xml:space="preserve">. Washington, D.C.: The Sentencing Project. </w:t>
      </w:r>
      <w:hyperlink r:id="rId10" w:history="1">
        <w:r w:rsidRPr="004A7AED">
          <w:rPr>
            <w:rStyle w:val="Hyperlink"/>
            <w:rFonts w:eastAsiaTheme="majorEastAsia"/>
            <w:noProof/>
            <w:sz w:val="20"/>
            <w:szCs w:val="20"/>
          </w:rPr>
          <w:t>http://sentencingproject.org/doc/publications/rd_Changing%20Racial%20Dynamics%202013.pdf</w:t>
        </w:r>
      </w:hyperlink>
      <w:r w:rsidRPr="004A7AED">
        <w:rPr>
          <w:noProof/>
          <w:sz w:val="20"/>
          <w:szCs w:val="20"/>
        </w:rPr>
        <w:t>.</w:t>
      </w:r>
      <w:bookmarkEnd w:id="29"/>
    </w:p>
    <w:p w:rsidR="009C6FD6" w:rsidRPr="004A7AED" w:rsidRDefault="009C6FD6" w:rsidP="009C6FD6">
      <w:pPr>
        <w:rPr>
          <w:noProof/>
          <w:sz w:val="20"/>
          <w:szCs w:val="20"/>
        </w:rPr>
      </w:pPr>
      <w:bookmarkStart w:id="30" w:name="_ENREF_31"/>
      <w:r w:rsidRPr="004A7AED">
        <w:rPr>
          <w:noProof/>
          <w:sz w:val="20"/>
          <w:szCs w:val="20"/>
        </w:rPr>
        <w:t xml:space="preserve">Meier, K. J., &amp; Nicholson-Crotty, J. (2006). Gender, representative bureaucracy, and law enforcement: The case of sexual assault. </w:t>
      </w:r>
      <w:r w:rsidRPr="004A7AED">
        <w:rPr>
          <w:i/>
          <w:noProof/>
          <w:sz w:val="20"/>
          <w:szCs w:val="20"/>
        </w:rPr>
        <w:t>Public Administration Review, 66</w:t>
      </w:r>
      <w:r w:rsidRPr="004A7AED">
        <w:rPr>
          <w:noProof/>
          <w:sz w:val="20"/>
          <w:szCs w:val="20"/>
        </w:rPr>
        <w:t>(6), 850-860.</w:t>
      </w:r>
      <w:bookmarkEnd w:id="30"/>
    </w:p>
    <w:p w:rsidR="009C6FD6" w:rsidRPr="004A7AED" w:rsidRDefault="009C6FD6" w:rsidP="009C6FD6">
      <w:pPr>
        <w:rPr>
          <w:noProof/>
          <w:sz w:val="20"/>
          <w:szCs w:val="20"/>
        </w:rPr>
      </w:pPr>
      <w:bookmarkStart w:id="31" w:name="_ENREF_32"/>
      <w:r w:rsidRPr="004A7AED">
        <w:rPr>
          <w:noProof/>
          <w:sz w:val="20"/>
          <w:szCs w:val="20"/>
        </w:rPr>
        <w:t xml:space="preserve">Miller, K. (2013). The Institutionalization of Racial Profiling Policy: An Examination of Antiprofiling Policy Adoption Among Large Law Enforcement Agencies. </w:t>
      </w:r>
      <w:r w:rsidRPr="004A7AED">
        <w:rPr>
          <w:i/>
          <w:noProof/>
          <w:sz w:val="20"/>
          <w:szCs w:val="20"/>
        </w:rPr>
        <w:t>Crime &amp; Delinquency, 59</w:t>
      </w:r>
      <w:r w:rsidRPr="004A7AED">
        <w:rPr>
          <w:noProof/>
          <w:sz w:val="20"/>
          <w:szCs w:val="20"/>
        </w:rPr>
        <w:t>(1), 32-58.</w:t>
      </w:r>
      <w:bookmarkEnd w:id="31"/>
    </w:p>
    <w:p w:rsidR="009C6FD6" w:rsidRPr="004A7AED" w:rsidRDefault="009C6FD6" w:rsidP="009C6FD6">
      <w:pPr>
        <w:rPr>
          <w:noProof/>
          <w:sz w:val="20"/>
          <w:szCs w:val="20"/>
        </w:rPr>
      </w:pPr>
      <w:bookmarkStart w:id="32" w:name="_ENREF_33"/>
      <w:r w:rsidRPr="004A7AED">
        <w:rPr>
          <w:noProof/>
          <w:sz w:val="20"/>
          <w:szCs w:val="20"/>
        </w:rPr>
        <w:t xml:space="preserve">Monahan, C. (2013). The failure of the bona fide occupational qualification in cross-gender prison guard cases: A problem beyond equal employment opportunity. </w:t>
      </w:r>
      <w:r w:rsidRPr="004A7AED">
        <w:rPr>
          <w:i/>
          <w:noProof/>
          <w:sz w:val="20"/>
          <w:szCs w:val="20"/>
        </w:rPr>
        <w:t>Hypatia-A Journal of Feminist Philosophy, 28</w:t>
      </w:r>
      <w:r w:rsidRPr="004A7AED">
        <w:rPr>
          <w:noProof/>
          <w:sz w:val="20"/>
          <w:szCs w:val="20"/>
        </w:rPr>
        <w:t>(1), 101-121.</w:t>
      </w:r>
      <w:bookmarkEnd w:id="32"/>
    </w:p>
    <w:p w:rsidR="009C6FD6" w:rsidRPr="004A7AED" w:rsidRDefault="009C6FD6" w:rsidP="009C6FD6">
      <w:pPr>
        <w:rPr>
          <w:noProof/>
          <w:sz w:val="20"/>
          <w:szCs w:val="20"/>
        </w:rPr>
      </w:pPr>
      <w:bookmarkStart w:id="33" w:name="_ENREF_34"/>
      <w:r w:rsidRPr="004A7AED">
        <w:rPr>
          <w:noProof/>
          <w:sz w:val="20"/>
          <w:szCs w:val="20"/>
        </w:rPr>
        <w:t xml:space="preserve">Moore, S. E. H., &amp; Breeze, S. (2012). Spaces of male fear: The sexual politics of being watched. </w:t>
      </w:r>
      <w:r w:rsidRPr="004A7AED">
        <w:rPr>
          <w:i/>
          <w:noProof/>
          <w:sz w:val="20"/>
          <w:szCs w:val="20"/>
        </w:rPr>
        <w:t>British Journal of Criminology, 52</w:t>
      </w:r>
      <w:r w:rsidRPr="004A7AED">
        <w:rPr>
          <w:noProof/>
          <w:sz w:val="20"/>
          <w:szCs w:val="20"/>
        </w:rPr>
        <w:t>(6), 1172-1191.</w:t>
      </w:r>
      <w:bookmarkEnd w:id="33"/>
    </w:p>
    <w:p w:rsidR="009C6FD6" w:rsidRPr="004A7AED" w:rsidRDefault="009C6FD6" w:rsidP="009C6FD6">
      <w:pPr>
        <w:rPr>
          <w:noProof/>
          <w:sz w:val="20"/>
          <w:szCs w:val="20"/>
        </w:rPr>
      </w:pPr>
      <w:bookmarkStart w:id="34" w:name="_ENREF_35"/>
      <w:r w:rsidRPr="004A7AED">
        <w:rPr>
          <w:noProof/>
          <w:sz w:val="20"/>
          <w:szCs w:val="20"/>
        </w:rPr>
        <w:t xml:space="preserve">Moran, B. I. (2005). The case for black inferiority? What must be true if professor Sander is right. </w:t>
      </w:r>
      <w:r w:rsidRPr="004A7AED">
        <w:rPr>
          <w:i/>
          <w:noProof/>
          <w:sz w:val="20"/>
          <w:szCs w:val="20"/>
        </w:rPr>
        <w:t>Connecticut Public Interest Law Journal, 5</w:t>
      </w:r>
      <w:r w:rsidRPr="004A7AED">
        <w:rPr>
          <w:noProof/>
          <w:sz w:val="20"/>
          <w:szCs w:val="20"/>
        </w:rPr>
        <w:t>, 41-59.</w:t>
      </w:r>
      <w:bookmarkEnd w:id="34"/>
    </w:p>
    <w:p w:rsidR="009C6FD6" w:rsidRPr="004A7AED" w:rsidRDefault="009C6FD6" w:rsidP="009C6FD6">
      <w:pPr>
        <w:rPr>
          <w:noProof/>
          <w:sz w:val="20"/>
          <w:szCs w:val="20"/>
        </w:rPr>
      </w:pPr>
      <w:bookmarkStart w:id="35" w:name="_ENREF_36"/>
      <w:r w:rsidRPr="004A7AED">
        <w:rPr>
          <w:noProof/>
          <w:sz w:val="20"/>
          <w:szCs w:val="20"/>
        </w:rPr>
        <w:t xml:space="preserve">Nanda, J. (2012). Blind discretion: Girls of color &amp; delinquency in the juvenile justice system. </w:t>
      </w:r>
      <w:r w:rsidRPr="004A7AED">
        <w:rPr>
          <w:i/>
          <w:noProof/>
          <w:sz w:val="20"/>
          <w:szCs w:val="20"/>
        </w:rPr>
        <w:t>UCLA Law Review, 59</w:t>
      </w:r>
      <w:r w:rsidRPr="004A7AED">
        <w:rPr>
          <w:noProof/>
          <w:sz w:val="20"/>
          <w:szCs w:val="20"/>
        </w:rPr>
        <w:t>(6), 1502-1539.</w:t>
      </w:r>
      <w:bookmarkEnd w:id="35"/>
    </w:p>
    <w:p w:rsidR="009C6FD6" w:rsidRPr="004A7AED" w:rsidRDefault="009C6FD6" w:rsidP="009C6FD6">
      <w:pPr>
        <w:rPr>
          <w:noProof/>
          <w:sz w:val="20"/>
          <w:szCs w:val="20"/>
        </w:rPr>
      </w:pPr>
      <w:bookmarkStart w:id="36" w:name="_ENREF_37"/>
      <w:r w:rsidRPr="004A7AED">
        <w:rPr>
          <w:noProof/>
          <w:sz w:val="20"/>
          <w:szCs w:val="20"/>
        </w:rPr>
        <w:t xml:space="preserve">Ocen, P. A. (2012). The new racially restrictive covenant: Race, welfare, and the policing of Black women in subsidized housing. </w:t>
      </w:r>
      <w:r w:rsidRPr="004A7AED">
        <w:rPr>
          <w:i/>
          <w:noProof/>
          <w:sz w:val="20"/>
          <w:szCs w:val="20"/>
        </w:rPr>
        <w:t>UCLA Law Review, 59</w:t>
      </w:r>
      <w:r w:rsidRPr="004A7AED">
        <w:rPr>
          <w:noProof/>
          <w:sz w:val="20"/>
          <w:szCs w:val="20"/>
        </w:rPr>
        <w:t>(6), 1540-1582.</w:t>
      </w:r>
      <w:bookmarkEnd w:id="36"/>
    </w:p>
    <w:p w:rsidR="009C6FD6" w:rsidRPr="004A7AED" w:rsidRDefault="009C6FD6" w:rsidP="009C6FD6">
      <w:pPr>
        <w:rPr>
          <w:noProof/>
          <w:sz w:val="20"/>
          <w:szCs w:val="20"/>
        </w:rPr>
      </w:pPr>
      <w:bookmarkStart w:id="37" w:name="_ENREF_38"/>
      <w:r w:rsidRPr="004A7AED">
        <w:rPr>
          <w:noProof/>
          <w:sz w:val="20"/>
          <w:szCs w:val="20"/>
        </w:rPr>
        <w:t xml:space="preserve">Perilloux, C., Duntley, J. D., &amp; Buss, D. M. (2011). Susceptibility to sexual victimization and women's mating strategies. </w:t>
      </w:r>
      <w:r w:rsidRPr="004A7AED">
        <w:rPr>
          <w:i/>
          <w:noProof/>
          <w:sz w:val="20"/>
          <w:szCs w:val="20"/>
        </w:rPr>
        <w:t>Personality and Individual Differences, 51</w:t>
      </w:r>
      <w:r w:rsidRPr="004A7AED">
        <w:rPr>
          <w:noProof/>
          <w:sz w:val="20"/>
          <w:szCs w:val="20"/>
        </w:rPr>
        <w:t>(6), 783-786.</w:t>
      </w:r>
      <w:bookmarkEnd w:id="37"/>
    </w:p>
    <w:p w:rsidR="009C6FD6" w:rsidRPr="004A7AED" w:rsidRDefault="009C6FD6" w:rsidP="009C6FD6">
      <w:pPr>
        <w:rPr>
          <w:noProof/>
          <w:sz w:val="20"/>
          <w:szCs w:val="20"/>
        </w:rPr>
      </w:pPr>
      <w:bookmarkStart w:id="38" w:name="_ENREF_39"/>
      <w:r w:rsidRPr="004A7AED">
        <w:rPr>
          <w:noProof/>
          <w:sz w:val="20"/>
          <w:szCs w:val="20"/>
        </w:rPr>
        <w:t xml:space="preserve">Potter, H., &amp; Thomas, D. T. (2012). "We told you that's how they are": Responses to white women in abusive intimate relationships with men of color. </w:t>
      </w:r>
      <w:r w:rsidRPr="004A7AED">
        <w:rPr>
          <w:i/>
          <w:noProof/>
          <w:sz w:val="20"/>
          <w:szCs w:val="20"/>
        </w:rPr>
        <w:t>Deviant Behavior, 33</w:t>
      </w:r>
      <w:r w:rsidRPr="004A7AED">
        <w:rPr>
          <w:noProof/>
          <w:sz w:val="20"/>
          <w:szCs w:val="20"/>
        </w:rPr>
        <w:t>(6), 469-491.</w:t>
      </w:r>
      <w:bookmarkEnd w:id="38"/>
    </w:p>
    <w:p w:rsidR="009C6FD6" w:rsidRPr="004A7AED" w:rsidRDefault="009C6FD6" w:rsidP="009C6FD6">
      <w:pPr>
        <w:rPr>
          <w:noProof/>
          <w:sz w:val="20"/>
          <w:szCs w:val="20"/>
        </w:rPr>
      </w:pPr>
      <w:bookmarkStart w:id="39" w:name="_ENREF_40"/>
      <w:r w:rsidRPr="004A7AED">
        <w:rPr>
          <w:noProof/>
          <w:sz w:val="20"/>
          <w:szCs w:val="20"/>
        </w:rPr>
        <w:t xml:space="preserve">Rackley, E. (2007). From Arachne to Charlotte: An Imaginative Revisiting of Gilligan's In a Different Voice. </w:t>
      </w:r>
      <w:r w:rsidRPr="004A7AED">
        <w:rPr>
          <w:i/>
          <w:noProof/>
          <w:sz w:val="20"/>
          <w:szCs w:val="20"/>
        </w:rPr>
        <w:t>William &amp; Mary Journal of Women and the Law, 13</w:t>
      </w:r>
      <w:r w:rsidRPr="004A7AED">
        <w:rPr>
          <w:noProof/>
          <w:sz w:val="20"/>
          <w:szCs w:val="20"/>
        </w:rPr>
        <w:t>, 751-774.</w:t>
      </w:r>
      <w:bookmarkEnd w:id="39"/>
    </w:p>
    <w:p w:rsidR="009C6FD6" w:rsidRPr="004A7AED" w:rsidRDefault="009C6FD6" w:rsidP="009C6FD6">
      <w:pPr>
        <w:rPr>
          <w:noProof/>
          <w:sz w:val="20"/>
          <w:szCs w:val="20"/>
        </w:rPr>
      </w:pPr>
      <w:bookmarkStart w:id="40" w:name="_ENREF_41"/>
      <w:r w:rsidRPr="004A7AED">
        <w:rPr>
          <w:noProof/>
          <w:sz w:val="20"/>
          <w:szCs w:val="20"/>
        </w:rPr>
        <w:lastRenderedPageBreak/>
        <w:t xml:space="preserve">Reverby, S. M. (2011). "Normal Exposure" and Inoculation Syphilis: A PHS "Tuskegee" Doctor in Guatemala, 1946-1948. </w:t>
      </w:r>
      <w:r w:rsidRPr="004A7AED">
        <w:rPr>
          <w:i/>
          <w:noProof/>
          <w:sz w:val="20"/>
          <w:szCs w:val="20"/>
        </w:rPr>
        <w:t>Journal of Policy History, 23</w:t>
      </w:r>
      <w:r w:rsidRPr="004A7AED">
        <w:rPr>
          <w:noProof/>
          <w:sz w:val="20"/>
          <w:szCs w:val="20"/>
        </w:rPr>
        <w:t>(1), 6-28.</w:t>
      </w:r>
      <w:bookmarkEnd w:id="40"/>
    </w:p>
    <w:p w:rsidR="009C6FD6" w:rsidRPr="004A7AED" w:rsidRDefault="009C6FD6" w:rsidP="009C6FD6">
      <w:pPr>
        <w:rPr>
          <w:noProof/>
          <w:sz w:val="20"/>
          <w:szCs w:val="20"/>
        </w:rPr>
      </w:pPr>
      <w:bookmarkStart w:id="41" w:name="_ENREF_42"/>
      <w:r w:rsidRPr="004A7AED">
        <w:rPr>
          <w:noProof/>
          <w:sz w:val="20"/>
          <w:szCs w:val="20"/>
        </w:rPr>
        <w:t xml:space="preserve">Roberts, D. E. (2012). Prison, foster care, and the systemic punishment of black mothers. </w:t>
      </w:r>
      <w:r w:rsidRPr="004A7AED">
        <w:rPr>
          <w:i/>
          <w:noProof/>
          <w:sz w:val="20"/>
          <w:szCs w:val="20"/>
        </w:rPr>
        <w:t>UCLA Law Review, 59</w:t>
      </w:r>
      <w:r w:rsidRPr="004A7AED">
        <w:rPr>
          <w:noProof/>
          <w:sz w:val="20"/>
          <w:szCs w:val="20"/>
        </w:rPr>
        <w:t>(6), 1474-1500.</w:t>
      </w:r>
      <w:bookmarkEnd w:id="41"/>
    </w:p>
    <w:p w:rsidR="009C6FD6" w:rsidRPr="004A7AED" w:rsidRDefault="009C6FD6" w:rsidP="009C6FD6">
      <w:pPr>
        <w:rPr>
          <w:noProof/>
          <w:sz w:val="20"/>
          <w:szCs w:val="20"/>
        </w:rPr>
      </w:pPr>
      <w:bookmarkStart w:id="42" w:name="_ENREF_43"/>
      <w:r w:rsidRPr="004A7AED">
        <w:rPr>
          <w:noProof/>
          <w:sz w:val="20"/>
          <w:szCs w:val="20"/>
        </w:rPr>
        <w:t xml:space="preserve">Roh, S., &amp; Robinson, M. (2009). A Geographic Approach to Racial Profiling The Microanalysis and Macroanalysis of Racial Disparity in Traffic Stops. </w:t>
      </w:r>
      <w:r w:rsidRPr="004A7AED">
        <w:rPr>
          <w:i/>
          <w:noProof/>
          <w:sz w:val="20"/>
          <w:szCs w:val="20"/>
        </w:rPr>
        <w:t>Police Quarterly, 12</w:t>
      </w:r>
      <w:r w:rsidRPr="004A7AED">
        <w:rPr>
          <w:noProof/>
          <w:sz w:val="20"/>
          <w:szCs w:val="20"/>
        </w:rPr>
        <w:t>(2), 137-169.</w:t>
      </w:r>
      <w:bookmarkEnd w:id="42"/>
    </w:p>
    <w:p w:rsidR="009C6FD6" w:rsidRPr="004A7AED" w:rsidRDefault="009C6FD6" w:rsidP="009C6FD6">
      <w:pPr>
        <w:rPr>
          <w:noProof/>
          <w:sz w:val="20"/>
          <w:szCs w:val="20"/>
        </w:rPr>
      </w:pPr>
      <w:bookmarkStart w:id="43" w:name="_ENREF_44"/>
      <w:r w:rsidRPr="004A7AED">
        <w:rPr>
          <w:noProof/>
          <w:sz w:val="20"/>
          <w:szCs w:val="20"/>
        </w:rPr>
        <w:t xml:space="preserve">Rotabi, K. S., &amp; Bromfield, N. F. (2012). The Decline in Intercountry Adoptions and New Practices of Global Surrogacy: Global Exploitation and Human Rights Concerns. </w:t>
      </w:r>
      <w:r w:rsidRPr="004A7AED">
        <w:rPr>
          <w:i/>
          <w:noProof/>
          <w:sz w:val="20"/>
          <w:szCs w:val="20"/>
        </w:rPr>
        <w:t>Affilia-Journal of Women and Social Work, 27</w:t>
      </w:r>
      <w:r w:rsidRPr="004A7AED">
        <w:rPr>
          <w:noProof/>
          <w:sz w:val="20"/>
          <w:szCs w:val="20"/>
        </w:rPr>
        <w:t>(2), 129-141.</w:t>
      </w:r>
      <w:bookmarkEnd w:id="43"/>
    </w:p>
    <w:p w:rsidR="009C6FD6" w:rsidRPr="004A7AED" w:rsidRDefault="009C6FD6" w:rsidP="009C6FD6">
      <w:pPr>
        <w:rPr>
          <w:noProof/>
          <w:sz w:val="20"/>
          <w:szCs w:val="20"/>
        </w:rPr>
      </w:pPr>
      <w:bookmarkStart w:id="44" w:name="_ENREF_45"/>
      <w:r w:rsidRPr="004A7AED">
        <w:rPr>
          <w:noProof/>
          <w:sz w:val="20"/>
          <w:szCs w:val="20"/>
        </w:rPr>
        <w:t xml:space="preserve">Ruesink, M., &amp; Free, D. M. (2007). Wrongful convictions among women. </w:t>
      </w:r>
      <w:r w:rsidRPr="004A7AED">
        <w:rPr>
          <w:i/>
          <w:noProof/>
          <w:sz w:val="20"/>
          <w:szCs w:val="20"/>
        </w:rPr>
        <w:t>Women and Criminal Justice, 16</w:t>
      </w:r>
      <w:r w:rsidRPr="004A7AED">
        <w:rPr>
          <w:noProof/>
          <w:sz w:val="20"/>
          <w:szCs w:val="20"/>
        </w:rPr>
        <w:t>(4), 1-23.</w:t>
      </w:r>
      <w:bookmarkEnd w:id="44"/>
    </w:p>
    <w:p w:rsidR="009C6FD6" w:rsidRPr="004A7AED" w:rsidRDefault="009C6FD6" w:rsidP="009C6FD6">
      <w:pPr>
        <w:rPr>
          <w:noProof/>
          <w:sz w:val="20"/>
          <w:szCs w:val="20"/>
        </w:rPr>
      </w:pPr>
      <w:bookmarkStart w:id="45" w:name="_ENREF_46"/>
      <w:r w:rsidRPr="004A7AED">
        <w:rPr>
          <w:noProof/>
          <w:sz w:val="20"/>
          <w:szCs w:val="20"/>
        </w:rPr>
        <w:t xml:space="preserve">Ryan, J. P., Herz, D., Hernandez, P. M., &amp; Marshall, J. M. (2007). Maltreatment and delinquency: Investigating child welfare bias in juvenile justice processing. </w:t>
      </w:r>
      <w:r w:rsidRPr="004A7AED">
        <w:rPr>
          <w:i/>
          <w:noProof/>
          <w:sz w:val="20"/>
          <w:szCs w:val="20"/>
        </w:rPr>
        <w:t>Children and Youth Services Review, 29</w:t>
      </w:r>
      <w:r w:rsidRPr="004A7AED">
        <w:rPr>
          <w:noProof/>
          <w:sz w:val="20"/>
          <w:szCs w:val="20"/>
        </w:rPr>
        <w:t>(8), 1035-1050.</w:t>
      </w:r>
      <w:bookmarkEnd w:id="45"/>
    </w:p>
    <w:p w:rsidR="009C6FD6" w:rsidRPr="004A7AED" w:rsidRDefault="009C6FD6" w:rsidP="009C6FD6">
      <w:pPr>
        <w:rPr>
          <w:noProof/>
          <w:sz w:val="20"/>
          <w:szCs w:val="20"/>
        </w:rPr>
      </w:pPr>
      <w:bookmarkStart w:id="46" w:name="_ENREF_47"/>
      <w:r w:rsidRPr="004A7AED">
        <w:rPr>
          <w:noProof/>
          <w:sz w:val="20"/>
          <w:szCs w:val="20"/>
        </w:rPr>
        <w:t xml:space="preserve">Salcido, O., &amp; Menjivar, C. (2012). Gendered paths to legal citizenship: The case of Latin-American immigrants in Phoenix, Arizona. </w:t>
      </w:r>
      <w:r w:rsidRPr="004A7AED">
        <w:rPr>
          <w:i/>
          <w:noProof/>
          <w:sz w:val="20"/>
          <w:szCs w:val="20"/>
        </w:rPr>
        <w:t>Law &amp; Society Review, 46</w:t>
      </w:r>
      <w:r w:rsidRPr="004A7AED">
        <w:rPr>
          <w:noProof/>
          <w:sz w:val="20"/>
          <w:szCs w:val="20"/>
        </w:rPr>
        <w:t>(2), 335-368.</w:t>
      </w:r>
      <w:bookmarkEnd w:id="46"/>
    </w:p>
    <w:p w:rsidR="009C6FD6" w:rsidRPr="004A7AED" w:rsidRDefault="009C6FD6" w:rsidP="009C6FD6">
      <w:pPr>
        <w:rPr>
          <w:noProof/>
          <w:sz w:val="20"/>
          <w:szCs w:val="20"/>
        </w:rPr>
      </w:pPr>
      <w:bookmarkStart w:id="47" w:name="_ENREF_48"/>
      <w:r w:rsidRPr="004A7AED">
        <w:rPr>
          <w:noProof/>
          <w:sz w:val="20"/>
          <w:szCs w:val="20"/>
        </w:rPr>
        <w:t xml:space="preserve">Sandberg, L. (2013). ‘It was entirely his fault’: Constructing white masculinities and the Haga Man assaults in Umeå, Sweden 1998–2006. </w:t>
      </w:r>
      <w:r w:rsidRPr="004A7AED">
        <w:rPr>
          <w:i/>
          <w:noProof/>
          <w:sz w:val="20"/>
          <w:szCs w:val="20"/>
        </w:rPr>
        <w:t>Gender, Place and Culture, 20</w:t>
      </w:r>
      <w:r w:rsidRPr="004A7AED">
        <w:rPr>
          <w:noProof/>
          <w:sz w:val="20"/>
          <w:szCs w:val="20"/>
        </w:rPr>
        <w:t>(2), 178-194.</w:t>
      </w:r>
      <w:bookmarkEnd w:id="47"/>
    </w:p>
    <w:p w:rsidR="009C6FD6" w:rsidRPr="004A7AED" w:rsidRDefault="009C6FD6" w:rsidP="009C6FD6">
      <w:pPr>
        <w:rPr>
          <w:noProof/>
          <w:sz w:val="20"/>
          <w:szCs w:val="20"/>
        </w:rPr>
      </w:pPr>
      <w:bookmarkStart w:id="48" w:name="_ENREF_49"/>
      <w:r w:rsidRPr="004A7AED">
        <w:rPr>
          <w:noProof/>
          <w:sz w:val="20"/>
          <w:szCs w:val="20"/>
        </w:rPr>
        <w:t xml:space="preserve">Sander, R. H. (2004). Affirmative Action in American law schools. </w:t>
      </w:r>
      <w:r w:rsidRPr="004A7AED">
        <w:rPr>
          <w:i/>
          <w:noProof/>
          <w:sz w:val="20"/>
          <w:szCs w:val="20"/>
        </w:rPr>
        <w:t>Stanford Law Review, 57</w:t>
      </w:r>
      <w:r w:rsidRPr="004A7AED">
        <w:rPr>
          <w:noProof/>
          <w:sz w:val="20"/>
          <w:szCs w:val="20"/>
        </w:rPr>
        <w:t>(2), 367-483.</w:t>
      </w:r>
      <w:bookmarkEnd w:id="48"/>
    </w:p>
    <w:p w:rsidR="009C6FD6" w:rsidRPr="004A7AED" w:rsidRDefault="009C6FD6" w:rsidP="009C6FD6">
      <w:pPr>
        <w:rPr>
          <w:noProof/>
          <w:sz w:val="20"/>
          <w:szCs w:val="20"/>
        </w:rPr>
      </w:pPr>
      <w:bookmarkStart w:id="49" w:name="_ENREF_50"/>
      <w:r w:rsidRPr="004A7AED">
        <w:rPr>
          <w:noProof/>
          <w:sz w:val="20"/>
          <w:szCs w:val="20"/>
        </w:rPr>
        <w:t xml:space="preserve">Scales-Trent, J. (2010). Women lawyers, women's rights in Senegal: The Association of Senegalese Women Lawyers. </w:t>
      </w:r>
      <w:r w:rsidRPr="004A7AED">
        <w:rPr>
          <w:i/>
          <w:noProof/>
          <w:sz w:val="20"/>
          <w:szCs w:val="20"/>
        </w:rPr>
        <w:t>Human Rights Quarterly, 32</w:t>
      </w:r>
      <w:r w:rsidRPr="004A7AED">
        <w:rPr>
          <w:noProof/>
          <w:sz w:val="20"/>
          <w:szCs w:val="20"/>
        </w:rPr>
        <w:t>(1), 115-143.</w:t>
      </w:r>
      <w:bookmarkEnd w:id="49"/>
    </w:p>
    <w:p w:rsidR="009C6FD6" w:rsidRPr="004A7AED" w:rsidRDefault="009C6FD6" w:rsidP="009C6FD6">
      <w:pPr>
        <w:rPr>
          <w:noProof/>
          <w:sz w:val="20"/>
          <w:szCs w:val="20"/>
        </w:rPr>
      </w:pPr>
      <w:bookmarkStart w:id="50" w:name="_ENREF_51"/>
      <w:r w:rsidRPr="004A7AED">
        <w:rPr>
          <w:noProof/>
          <w:sz w:val="20"/>
          <w:szCs w:val="20"/>
        </w:rPr>
        <w:t xml:space="preserve">Simon-Kerr, J. (2008). Unchaste and incredible: The use of gendered conceptions of honor in impeachment. </w:t>
      </w:r>
      <w:r w:rsidRPr="004A7AED">
        <w:rPr>
          <w:i/>
          <w:noProof/>
          <w:sz w:val="20"/>
          <w:szCs w:val="20"/>
        </w:rPr>
        <w:t>Yale Law Journal, 117</w:t>
      </w:r>
      <w:r w:rsidRPr="004A7AED">
        <w:rPr>
          <w:noProof/>
          <w:sz w:val="20"/>
          <w:szCs w:val="20"/>
        </w:rPr>
        <w:t>(8), 1854-1898.</w:t>
      </w:r>
      <w:bookmarkEnd w:id="50"/>
    </w:p>
    <w:p w:rsidR="009C6FD6" w:rsidRPr="004A7AED" w:rsidRDefault="009C6FD6" w:rsidP="009C6FD6">
      <w:pPr>
        <w:rPr>
          <w:noProof/>
          <w:sz w:val="20"/>
          <w:szCs w:val="20"/>
        </w:rPr>
      </w:pPr>
      <w:bookmarkStart w:id="51" w:name="_ENREF_52"/>
      <w:r w:rsidRPr="004A7AED">
        <w:rPr>
          <w:noProof/>
          <w:sz w:val="20"/>
          <w:szCs w:val="20"/>
        </w:rPr>
        <w:t xml:space="preserve">Slotboom, A. M., Kruttschnitt, C., Bijleveld, C., &amp; Menting, B. (2011). Psychological well-being of incarcerated women in the Netherlands: Importation or deprivation? </w:t>
      </w:r>
      <w:r w:rsidRPr="004A7AED">
        <w:rPr>
          <w:i/>
          <w:noProof/>
          <w:sz w:val="20"/>
          <w:szCs w:val="20"/>
        </w:rPr>
        <w:t>Punishment &amp; Society-International Journal of Penology, 13</w:t>
      </w:r>
      <w:r w:rsidRPr="004A7AED">
        <w:rPr>
          <w:noProof/>
          <w:sz w:val="20"/>
          <w:szCs w:val="20"/>
        </w:rPr>
        <w:t>(2), 176-197.</w:t>
      </w:r>
      <w:bookmarkEnd w:id="51"/>
    </w:p>
    <w:p w:rsidR="009C6FD6" w:rsidRPr="004A7AED" w:rsidRDefault="009C6FD6" w:rsidP="009C6FD6">
      <w:pPr>
        <w:rPr>
          <w:noProof/>
          <w:sz w:val="20"/>
          <w:szCs w:val="20"/>
        </w:rPr>
      </w:pPr>
      <w:bookmarkStart w:id="52" w:name="_ENREF_53"/>
      <w:r w:rsidRPr="004A7AED">
        <w:rPr>
          <w:noProof/>
          <w:sz w:val="20"/>
          <w:szCs w:val="20"/>
        </w:rPr>
        <w:t xml:space="preserve">Smith, B. V. (2012). Uncomfortable places, close spaces: Female correctional workers' sexual interactions with men and boys in custody. </w:t>
      </w:r>
      <w:r w:rsidRPr="004A7AED">
        <w:rPr>
          <w:i/>
          <w:noProof/>
          <w:sz w:val="20"/>
          <w:szCs w:val="20"/>
        </w:rPr>
        <w:t>UCLA Law Review, 59</w:t>
      </w:r>
      <w:r w:rsidRPr="004A7AED">
        <w:rPr>
          <w:noProof/>
          <w:sz w:val="20"/>
          <w:szCs w:val="20"/>
        </w:rPr>
        <w:t>(6), 1690-1745.</w:t>
      </w:r>
      <w:bookmarkEnd w:id="52"/>
    </w:p>
    <w:p w:rsidR="009C6FD6" w:rsidRPr="004A7AED" w:rsidRDefault="009C6FD6" w:rsidP="009C6FD6">
      <w:pPr>
        <w:rPr>
          <w:noProof/>
          <w:sz w:val="20"/>
          <w:szCs w:val="20"/>
        </w:rPr>
      </w:pPr>
      <w:bookmarkStart w:id="53" w:name="_ENREF_54"/>
      <w:r w:rsidRPr="004A7AED">
        <w:rPr>
          <w:noProof/>
          <w:sz w:val="20"/>
          <w:szCs w:val="20"/>
        </w:rPr>
        <w:t xml:space="preserve">Soffer, M., &amp; Ajzenstadt, M. (2010). The multidimensionality of "pains of imprisonment" among incarcerated women in Israel. </w:t>
      </w:r>
      <w:r w:rsidRPr="004A7AED">
        <w:rPr>
          <w:i/>
          <w:noProof/>
          <w:sz w:val="20"/>
          <w:szCs w:val="20"/>
        </w:rPr>
        <w:t>Women &amp; Health, 50</w:t>
      </w:r>
      <w:r w:rsidRPr="004A7AED">
        <w:rPr>
          <w:noProof/>
          <w:sz w:val="20"/>
          <w:szCs w:val="20"/>
        </w:rPr>
        <w:t>(6), 491-505.</w:t>
      </w:r>
      <w:bookmarkEnd w:id="53"/>
    </w:p>
    <w:p w:rsidR="009C6FD6" w:rsidRPr="004A7AED" w:rsidRDefault="009C6FD6" w:rsidP="009C6FD6">
      <w:pPr>
        <w:rPr>
          <w:noProof/>
          <w:sz w:val="20"/>
          <w:szCs w:val="20"/>
        </w:rPr>
      </w:pPr>
      <w:bookmarkStart w:id="54" w:name="_ENREF_55"/>
      <w:r w:rsidRPr="004A7AED">
        <w:rPr>
          <w:noProof/>
          <w:sz w:val="20"/>
          <w:szCs w:val="20"/>
        </w:rPr>
        <w:t xml:space="preserve">Todrys, K. W., &amp; Amon, J. J. (2011). Health and human rights of women imprisoned in Zambia. </w:t>
      </w:r>
      <w:r w:rsidRPr="004A7AED">
        <w:rPr>
          <w:i/>
          <w:noProof/>
          <w:sz w:val="20"/>
          <w:szCs w:val="20"/>
        </w:rPr>
        <w:t>BMC International Health and Human Rights, 11</w:t>
      </w:r>
      <w:r w:rsidRPr="004A7AED">
        <w:rPr>
          <w:noProof/>
          <w:sz w:val="20"/>
          <w:szCs w:val="20"/>
        </w:rPr>
        <w:t>.</w:t>
      </w:r>
      <w:bookmarkEnd w:id="54"/>
    </w:p>
    <w:p w:rsidR="009C6FD6" w:rsidRPr="004A7AED" w:rsidRDefault="009C6FD6" w:rsidP="009C6FD6">
      <w:pPr>
        <w:rPr>
          <w:noProof/>
          <w:sz w:val="20"/>
          <w:szCs w:val="20"/>
        </w:rPr>
      </w:pPr>
      <w:bookmarkStart w:id="55" w:name="_ENREF_56"/>
      <w:r w:rsidRPr="004A7AED">
        <w:rPr>
          <w:noProof/>
          <w:sz w:val="20"/>
          <w:szCs w:val="20"/>
        </w:rPr>
        <w:t xml:space="preserve">Topitzes, J., Mersky, J. P., &amp; Reynolds, A. J. (2012). From child maltreatment to violent offending: An examination of mixed-gender and gender-specific models. </w:t>
      </w:r>
      <w:r w:rsidRPr="004A7AED">
        <w:rPr>
          <w:i/>
          <w:noProof/>
          <w:sz w:val="20"/>
          <w:szCs w:val="20"/>
        </w:rPr>
        <w:t>Journal of Interpersonal Violence, 27</w:t>
      </w:r>
      <w:r w:rsidRPr="004A7AED">
        <w:rPr>
          <w:noProof/>
          <w:sz w:val="20"/>
          <w:szCs w:val="20"/>
        </w:rPr>
        <w:t>(12), 2322-2347.</w:t>
      </w:r>
      <w:bookmarkEnd w:id="55"/>
    </w:p>
    <w:p w:rsidR="009C6FD6" w:rsidRPr="004A7AED" w:rsidRDefault="009C6FD6" w:rsidP="009C6FD6">
      <w:pPr>
        <w:rPr>
          <w:noProof/>
          <w:sz w:val="20"/>
          <w:szCs w:val="20"/>
        </w:rPr>
      </w:pPr>
      <w:bookmarkStart w:id="56" w:name="_ENREF_57"/>
      <w:r w:rsidRPr="004A7AED">
        <w:rPr>
          <w:noProof/>
          <w:sz w:val="20"/>
          <w:szCs w:val="20"/>
        </w:rPr>
        <w:t xml:space="preserve">Viglione, J., Hannon, L., &amp; DeFina, R. (2011). The impact of light skin on prison time for black female offenders. </w:t>
      </w:r>
      <w:r w:rsidRPr="004A7AED">
        <w:rPr>
          <w:i/>
          <w:noProof/>
          <w:sz w:val="20"/>
          <w:szCs w:val="20"/>
        </w:rPr>
        <w:t>Social Science Journal, 48</w:t>
      </w:r>
      <w:r w:rsidRPr="004A7AED">
        <w:rPr>
          <w:noProof/>
          <w:sz w:val="20"/>
          <w:szCs w:val="20"/>
        </w:rPr>
        <w:t>(1), 250-258.</w:t>
      </w:r>
      <w:bookmarkEnd w:id="56"/>
    </w:p>
    <w:p w:rsidR="009C6FD6" w:rsidRPr="004A7AED" w:rsidRDefault="009C6FD6" w:rsidP="009C6FD6">
      <w:pPr>
        <w:rPr>
          <w:noProof/>
          <w:sz w:val="20"/>
          <w:szCs w:val="20"/>
        </w:rPr>
      </w:pPr>
      <w:bookmarkStart w:id="57" w:name="_ENREF_58"/>
      <w:r w:rsidRPr="004A7AED">
        <w:rPr>
          <w:noProof/>
          <w:sz w:val="20"/>
          <w:szCs w:val="20"/>
        </w:rPr>
        <w:t xml:space="preserve">Wallace, J. E., &amp; Kay, F. M. (2012). Tokenism, organizational segregation, and coworker relations in law firms. </w:t>
      </w:r>
      <w:r w:rsidRPr="004A7AED">
        <w:rPr>
          <w:i/>
          <w:noProof/>
          <w:sz w:val="20"/>
          <w:szCs w:val="20"/>
        </w:rPr>
        <w:t>Social Problems, 59</w:t>
      </w:r>
      <w:r w:rsidRPr="004A7AED">
        <w:rPr>
          <w:noProof/>
          <w:sz w:val="20"/>
          <w:szCs w:val="20"/>
        </w:rPr>
        <w:t>(3), 389-410.</w:t>
      </w:r>
      <w:bookmarkEnd w:id="57"/>
    </w:p>
    <w:p w:rsidR="009C6FD6" w:rsidRPr="004A7AED" w:rsidRDefault="009C6FD6" w:rsidP="009C6FD6">
      <w:pPr>
        <w:rPr>
          <w:noProof/>
          <w:sz w:val="20"/>
          <w:szCs w:val="20"/>
        </w:rPr>
      </w:pPr>
      <w:bookmarkStart w:id="58" w:name="_ENREF_59"/>
      <w:r w:rsidRPr="004A7AED">
        <w:rPr>
          <w:noProof/>
          <w:sz w:val="20"/>
          <w:szCs w:val="20"/>
        </w:rPr>
        <w:t xml:space="preserve">Wells, E. C. (2012). "But most of all, they fought together": Judicial attributions in convicting battered women who kill. </w:t>
      </w:r>
      <w:r w:rsidRPr="004A7AED">
        <w:rPr>
          <w:i/>
          <w:noProof/>
          <w:sz w:val="20"/>
          <w:szCs w:val="20"/>
        </w:rPr>
        <w:t>Psychology of Women Quarterly, 36</w:t>
      </w:r>
      <w:r w:rsidRPr="004A7AED">
        <w:rPr>
          <w:noProof/>
          <w:sz w:val="20"/>
          <w:szCs w:val="20"/>
        </w:rPr>
        <w:t>(3), 350-364.</w:t>
      </w:r>
      <w:bookmarkEnd w:id="58"/>
    </w:p>
    <w:p w:rsidR="009C6FD6" w:rsidRPr="004A7AED" w:rsidRDefault="009C6FD6" w:rsidP="009C6FD6">
      <w:pPr>
        <w:rPr>
          <w:noProof/>
          <w:sz w:val="20"/>
          <w:szCs w:val="20"/>
        </w:rPr>
      </w:pPr>
      <w:bookmarkStart w:id="59" w:name="_ENREF_60"/>
      <w:r w:rsidRPr="004A7AED">
        <w:rPr>
          <w:noProof/>
          <w:sz w:val="20"/>
          <w:szCs w:val="20"/>
        </w:rPr>
        <w:t xml:space="preserve">Widom, C. S. (1989). The cycle of violence. </w:t>
      </w:r>
      <w:r w:rsidRPr="004A7AED">
        <w:rPr>
          <w:i/>
          <w:noProof/>
          <w:sz w:val="20"/>
          <w:szCs w:val="20"/>
        </w:rPr>
        <w:t>Science, 244</w:t>
      </w:r>
      <w:r w:rsidRPr="004A7AED">
        <w:rPr>
          <w:noProof/>
          <w:sz w:val="20"/>
          <w:szCs w:val="20"/>
        </w:rPr>
        <w:t>(4901), 160-166.</w:t>
      </w:r>
      <w:bookmarkEnd w:id="59"/>
    </w:p>
    <w:p w:rsidR="009C6FD6" w:rsidRPr="004A7AED" w:rsidRDefault="009C6FD6" w:rsidP="009C6FD6">
      <w:pPr>
        <w:rPr>
          <w:noProof/>
          <w:sz w:val="20"/>
          <w:szCs w:val="20"/>
        </w:rPr>
      </w:pPr>
      <w:bookmarkStart w:id="60" w:name="_ENREF_61"/>
      <w:r w:rsidRPr="004A7AED">
        <w:rPr>
          <w:noProof/>
          <w:sz w:val="20"/>
          <w:szCs w:val="20"/>
        </w:rPr>
        <w:t xml:space="preserve">Wright, J. P., &amp; Boisvert, D. (2009). What biosocial criminology offers criminology. </w:t>
      </w:r>
      <w:r w:rsidRPr="004A7AED">
        <w:rPr>
          <w:i/>
          <w:noProof/>
          <w:sz w:val="20"/>
          <w:szCs w:val="20"/>
        </w:rPr>
        <w:t>Criminal Justice and Behavior, 36</w:t>
      </w:r>
      <w:r w:rsidRPr="004A7AED">
        <w:rPr>
          <w:noProof/>
          <w:sz w:val="20"/>
          <w:szCs w:val="20"/>
        </w:rPr>
        <w:t>(11), 1228-1240.</w:t>
      </w:r>
      <w:bookmarkEnd w:id="60"/>
    </w:p>
    <w:p w:rsidR="009C6FD6" w:rsidRPr="004A7AED" w:rsidRDefault="009C6FD6" w:rsidP="009C6FD6">
      <w:pPr>
        <w:rPr>
          <w:noProof/>
          <w:sz w:val="20"/>
          <w:szCs w:val="20"/>
        </w:rPr>
      </w:pPr>
      <w:bookmarkStart w:id="61" w:name="_ENREF_62"/>
      <w:r w:rsidRPr="004A7AED">
        <w:rPr>
          <w:noProof/>
          <w:sz w:val="20"/>
          <w:szCs w:val="20"/>
        </w:rPr>
        <w:t xml:space="preserve">Wu, J., &amp; Spohn, C. (2010). Interdistrict disparity in sentencing in three US district courts. </w:t>
      </w:r>
      <w:r w:rsidRPr="004A7AED">
        <w:rPr>
          <w:i/>
          <w:noProof/>
          <w:sz w:val="20"/>
          <w:szCs w:val="20"/>
        </w:rPr>
        <w:t>Crime &amp; Delinquency, 56</w:t>
      </w:r>
      <w:r w:rsidRPr="004A7AED">
        <w:rPr>
          <w:noProof/>
          <w:sz w:val="20"/>
          <w:szCs w:val="20"/>
        </w:rPr>
        <w:t>(2), 290-322.</w:t>
      </w:r>
      <w:bookmarkEnd w:id="61"/>
    </w:p>
    <w:p w:rsidR="009C6FD6" w:rsidRPr="004A7AED" w:rsidRDefault="009C6FD6" w:rsidP="009C6FD6">
      <w:pPr>
        <w:rPr>
          <w:noProof/>
          <w:sz w:val="20"/>
          <w:szCs w:val="20"/>
        </w:rPr>
      </w:pPr>
      <w:bookmarkStart w:id="62" w:name="_ENREF_63"/>
      <w:r w:rsidRPr="004A7AED">
        <w:rPr>
          <w:noProof/>
          <w:sz w:val="20"/>
          <w:szCs w:val="20"/>
        </w:rPr>
        <w:t xml:space="preserve">Yu, Q., Stasny, E. A., &amp; Li, B. (2008). Bayesian models to adjust for response bias in survey data for estimating rape and domestic violence rates from the NCVS. </w:t>
      </w:r>
      <w:r w:rsidRPr="004A7AED">
        <w:rPr>
          <w:i/>
          <w:noProof/>
          <w:sz w:val="20"/>
          <w:szCs w:val="20"/>
        </w:rPr>
        <w:t>Annals of Applied Statistics, 2</w:t>
      </w:r>
      <w:r w:rsidRPr="004A7AED">
        <w:rPr>
          <w:noProof/>
          <w:sz w:val="20"/>
          <w:szCs w:val="20"/>
        </w:rPr>
        <w:t>(2), 665-686.</w:t>
      </w:r>
      <w:bookmarkEnd w:id="62"/>
    </w:p>
    <w:p w:rsidR="009C6FD6" w:rsidRPr="004A7AED" w:rsidRDefault="009C6FD6" w:rsidP="009C6FD6">
      <w:pPr>
        <w:rPr>
          <w:noProof/>
          <w:sz w:val="20"/>
          <w:szCs w:val="20"/>
        </w:rPr>
      </w:pPr>
    </w:p>
    <w:p w:rsidR="006A6942" w:rsidRDefault="009C6FD6" w:rsidP="009C6FD6">
      <w:pPr>
        <w:widowControl w:val="0"/>
        <w:autoSpaceDE w:val="0"/>
        <w:autoSpaceDN w:val="0"/>
        <w:adjustRightInd w:val="0"/>
        <w:spacing w:line="240" w:lineRule="atLeast"/>
        <w:rPr>
          <w:b/>
          <w:bCs/>
          <w:sz w:val="20"/>
          <w:szCs w:val="20"/>
        </w:rPr>
      </w:pPr>
      <w:r w:rsidRPr="004A7AED">
        <w:rPr>
          <w:sz w:val="20"/>
          <w:szCs w:val="20"/>
        </w:rPr>
        <w:fldChar w:fldCharType="end"/>
      </w:r>
    </w:p>
    <w:p w:rsidR="006D0A39" w:rsidRDefault="00886E8C" w:rsidP="006A6942">
      <w:pPr>
        <w:widowControl w:val="0"/>
        <w:autoSpaceDE w:val="0"/>
        <w:autoSpaceDN w:val="0"/>
        <w:adjustRightInd w:val="0"/>
        <w:spacing w:line="240" w:lineRule="atLeast"/>
        <w:jc w:val="center"/>
        <w:rPr>
          <w:b/>
          <w:bCs/>
          <w:sz w:val="20"/>
          <w:szCs w:val="20"/>
        </w:rPr>
      </w:pPr>
      <w:r>
        <w:rPr>
          <w:b/>
          <w:bCs/>
          <w:sz w:val="20"/>
          <w:szCs w:val="20"/>
        </w:rPr>
        <w:t xml:space="preserve">Guidelines for </w:t>
      </w:r>
      <w:r w:rsidR="006A6942">
        <w:rPr>
          <w:b/>
          <w:bCs/>
          <w:sz w:val="20"/>
          <w:szCs w:val="20"/>
        </w:rPr>
        <w:t>Weekly</w:t>
      </w:r>
      <w:r>
        <w:rPr>
          <w:b/>
          <w:bCs/>
          <w:sz w:val="20"/>
          <w:szCs w:val="20"/>
        </w:rPr>
        <w:t xml:space="preserve"> Papers</w:t>
      </w:r>
      <w:r w:rsidR="007E661A">
        <w:rPr>
          <w:b/>
          <w:bCs/>
          <w:sz w:val="20"/>
          <w:szCs w:val="20"/>
        </w:rPr>
        <w:t xml:space="preserve"> (and Most of these Apply to Term Papers)</w:t>
      </w:r>
    </w:p>
    <w:p w:rsidR="00886E8C" w:rsidRDefault="00886E8C" w:rsidP="008B6B90">
      <w:pPr>
        <w:widowControl w:val="0"/>
        <w:autoSpaceDE w:val="0"/>
        <w:autoSpaceDN w:val="0"/>
        <w:adjustRightInd w:val="0"/>
        <w:spacing w:line="240" w:lineRule="atLeast"/>
        <w:jc w:val="center"/>
        <w:rPr>
          <w:b/>
          <w:bCs/>
          <w:sz w:val="20"/>
          <w:szCs w:val="20"/>
        </w:rPr>
      </w:pPr>
      <w:r>
        <w:rPr>
          <w:b/>
          <w:bCs/>
          <w:sz w:val="20"/>
          <w:szCs w:val="20"/>
        </w:rPr>
        <w:t>Joanne Belknap, Ph.D.</w:t>
      </w:r>
    </w:p>
    <w:p w:rsidR="00886E8C" w:rsidRDefault="00886E8C">
      <w:pPr>
        <w:widowControl w:val="0"/>
        <w:autoSpaceDE w:val="0"/>
        <w:autoSpaceDN w:val="0"/>
        <w:adjustRightInd w:val="0"/>
        <w:spacing w:line="240" w:lineRule="atLeast"/>
        <w:rPr>
          <w:b/>
          <w:bCs/>
          <w:sz w:val="20"/>
          <w:szCs w:val="20"/>
        </w:rPr>
      </w:pPr>
    </w:p>
    <w:p w:rsidR="00886E8C" w:rsidRDefault="00886E8C" w:rsidP="008B6B90">
      <w:pPr>
        <w:widowControl w:val="0"/>
        <w:numPr>
          <w:ilvl w:val="0"/>
          <w:numId w:val="4"/>
        </w:numPr>
        <w:autoSpaceDE w:val="0"/>
        <w:autoSpaceDN w:val="0"/>
        <w:adjustRightInd w:val="0"/>
        <w:spacing w:line="240" w:lineRule="atLeast"/>
        <w:rPr>
          <w:b/>
          <w:bCs/>
          <w:sz w:val="20"/>
          <w:szCs w:val="20"/>
        </w:rPr>
      </w:pPr>
      <w:r>
        <w:rPr>
          <w:sz w:val="20"/>
          <w:szCs w:val="20"/>
        </w:rPr>
        <w:t xml:space="preserve">Do not use folders or plastic covers.  Cover sheets are unnecessary.  Simply staple the paper together.  </w:t>
      </w:r>
      <w:r>
        <w:rPr>
          <w:b/>
          <w:bCs/>
          <w:sz w:val="20"/>
          <w:szCs w:val="20"/>
        </w:rPr>
        <w:t>Papers must be typed (10-12 point fo</w:t>
      </w:r>
      <w:r w:rsidR="006A6942">
        <w:rPr>
          <w:b/>
          <w:bCs/>
          <w:sz w:val="20"/>
          <w:szCs w:val="20"/>
        </w:rPr>
        <w:t>nt), double-spaced, and stapled or printed front-to-back.</w:t>
      </w:r>
    </w:p>
    <w:p w:rsidR="00886E8C" w:rsidRDefault="00886E8C">
      <w:pPr>
        <w:widowControl w:val="0"/>
        <w:autoSpaceDE w:val="0"/>
        <w:autoSpaceDN w:val="0"/>
        <w:adjustRightInd w:val="0"/>
        <w:spacing w:line="240" w:lineRule="atLeast"/>
        <w:rPr>
          <w:b/>
          <w:bCs/>
          <w:sz w:val="20"/>
          <w:szCs w:val="20"/>
        </w:rPr>
      </w:pPr>
    </w:p>
    <w:p w:rsidR="00886E8C" w:rsidRDefault="00886E8C" w:rsidP="008B6B90">
      <w:pPr>
        <w:widowControl w:val="0"/>
        <w:numPr>
          <w:ilvl w:val="0"/>
          <w:numId w:val="4"/>
        </w:numPr>
        <w:autoSpaceDE w:val="0"/>
        <w:autoSpaceDN w:val="0"/>
        <w:adjustRightInd w:val="0"/>
        <w:spacing w:line="240" w:lineRule="atLeast"/>
        <w:rPr>
          <w:b/>
          <w:bCs/>
          <w:sz w:val="20"/>
          <w:szCs w:val="20"/>
        </w:rPr>
      </w:pPr>
      <w:r>
        <w:rPr>
          <w:sz w:val="20"/>
          <w:szCs w:val="20"/>
        </w:rPr>
        <w:t>Be sure you</w:t>
      </w:r>
      <w:r w:rsidR="006A6942">
        <w:rPr>
          <w:sz w:val="20"/>
          <w:szCs w:val="20"/>
        </w:rPr>
        <w:t xml:space="preserve"> include a title for your paper (and something more creative than “Week 1 Readings”).</w:t>
      </w:r>
    </w:p>
    <w:p w:rsidR="00886E8C" w:rsidRDefault="00886E8C">
      <w:pPr>
        <w:widowControl w:val="0"/>
        <w:autoSpaceDE w:val="0"/>
        <w:autoSpaceDN w:val="0"/>
        <w:adjustRightInd w:val="0"/>
        <w:spacing w:line="240" w:lineRule="atLeast"/>
        <w:rPr>
          <w:b/>
          <w:bCs/>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lastRenderedPageBreak/>
        <w:t>Avoid using the word "I" (it is usually understood).  Do not draw on personal experiences.</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Keep to the word/page limit. I have found that the papers that keep to the word limit are usually just as informative and "good" as those that exceed it (and they are often much better than those exceeding the word limit).</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It is unusual to use the authors' first names or the titles of their books or articles. </w:t>
      </w:r>
    </w:p>
    <w:p w:rsidR="00886E8C" w:rsidRDefault="00886E8C">
      <w:pPr>
        <w:widowControl w:val="0"/>
        <w:autoSpaceDE w:val="0"/>
        <w:autoSpaceDN w:val="0"/>
        <w:adjustRightInd w:val="0"/>
        <w:spacing w:line="240" w:lineRule="atLeast"/>
        <w:rPr>
          <w:sz w:val="20"/>
          <w:szCs w:val="20"/>
        </w:rPr>
      </w:pPr>
    </w:p>
    <w:p w:rsidR="007B58F3" w:rsidRDefault="007B58F3" w:rsidP="008B6B90">
      <w:pPr>
        <w:widowControl w:val="0"/>
        <w:numPr>
          <w:ilvl w:val="0"/>
          <w:numId w:val="4"/>
        </w:numPr>
        <w:autoSpaceDE w:val="0"/>
        <w:autoSpaceDN w:val="0"/>
        <w:adjustRightInd w:val="0"/>
        <w:spacing w:line="240" w:lineRule="atLeast"/>
        <w:rPr>
          <w:sz w:val="20"/>
          <w:szCs w:val="20"/>
        </w:rPr>
      </w:pPr>
      <w:r>
        <w:rPr>
          <w:sz w:val="20"/>
          <w:szCs w:val="20"/>
        </w:rPr>
        <w:t>Be sure when citing a chapter in an edited book to use the authors who wrote the chapter, not who edited the book.</w:t>
      </w:r>
    </w:p>
    <w:p w:rsidR="007B58F3" w:rsidRDefault="007B58F3" w:rsidP="007B58F3">
      <w:pPr>
        <w:pStyle w:val="ListParagraph"/>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Where there is more than one reading assigned, do not present the information as a serial presentation of the various authors’ perspectives.  Try to think about what the major themes were, and use the various authors to back them up or discuss them.  However, </w:t>
      </w:r>
      <w:r>
        <w:rPr>
          <w:b/>
          <w:bCs/>
          <w:sz w:val="20"/>
          <w:szCs w:val="20"/>
        </w:rPr>
        <w:t>be sure to cite all of the assigned authors/readings for each paper</w:t>
      </w:r>
      <w:r>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Try to think of these writing exercises in that you have been asked to write a short review for a journal on a particular topic (the assigned topic for the week in question).  Thus, you will be </w:t>
      </w:r>
      <w:r w:rsidR="006A6942">
        <w:rPr>
          <w:sz w:val="20"/>
          <w:szCs w:val="20"/>
        </w:rPr>
        <w:t>framing your</w:t>
      </w:r>
      <w:r>
        <w:rPr>
          <w:sz w:val="20"/>
          <w:szCs w:val="20"/>
        </w:rPr>
        <w:t xml:space="preserve"> paper around the topic, using the readings to build your arguments.  You can still disagree with the reading(s), but you are making a presentation of what these authors have to say about the topic in question.</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Avoid making these sound like book reports, avoiding phrases like "This week's readings..." or "In her </w:t>
      </w:r>
      <w:proofErr w:type="gramStart"/>
      <w:r>
        <w:rPr>
          <w:sz w:val="20"/>
          <w:szCs w:val="20"/>
        </w:rPr>
        <w:t>book, ....."</w:t>
      </w:r>
      <w:proofErr w:type="gramEnd"/>
      <w:r>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Remember when you make a direct quote to include the page number.</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Be sure not to string together a series of direct quotes, even if they are from different readings.  Put some of these in your own words.</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Remember, even if you don't use a direct quote, if you are drawing on ideas of a particular author(s), you need to give her/him/them credit by citing her/him/them.</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Use these assigned papers to work on your own writing skills.  Good writing (for most of us) takes a lot of practice.  I find it helpful to read what I've written out loud, to check the flow.</w:t>
      </w:r>
    </w:p>
    <w:p w:rsidR="00886E8C" w:rsidRDefault="00886E8C" w:rsidP="008B6B90">
      <w:pPr>
        <w:widowControl w:val="0"/>
        <w:autoSpaceDE w:val="0"/>
        <w:autoSpaceDN w:val="0"/>
        <w:adjustRightInd w:val="0"/>
        <w:spacing w:line="240" w:lineRule="atLeast"/>
        <w:ind w:firstLine="45"/>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Be sure to place things in their proper context.  For instance if you are discussing the 1920's, 1960's, </w:t>
      </w:r>
      <w:smartTag w:uri="urn:schemas-microsoft-com:office:smarttags" w:element="country-region">
        <w:r>
          <w:rPr>
            <w:sz w:val="20"/>
            <w:szCs w:val="20"/>
          </w:rPr>
          <w:t>India</w:t>
        </w:r>
      </w:smartTag>
      <w:r>
        <w:rPr>
          <w:sz w:val="20"/>
          <w:szCs w:val="20"/>
        </w:rPr>
        <w:t xml:space="preserve">, </w:t>
      </w:r>
      <w:smartTag w:uri="urn:schemas-microsoft-com:office:smarttags" w:element="country-region">
        <w:r>
          <w:rPr>
            <w:sz w:val="20"/>
            <w:szCs w:val="20"/>
          </w:rPr>
          <w:t>Vietnam</w:t>
        </w:r>
      </w:smartTag>
      <w:r>
        <w:rPr>
          <w:sz w:val="20"/>
          <w:szCs w:val="20"/>
        </w:rPr>
        <w:t xml:space="preserve">, etc., </w:t>
      </w:r>
      <w:r>
        <w:rPr>
          <w:sz w:val="20"/>
          <w:szCs w:val="20"/>
          <w:u w:val="single"/>
        </w:rPr>
        <w:t>say so</w:t>
      </w:r>
      <w:r>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Don't use the word "feels" to describe what one of the authors said.  Use words like "believes," "claims," "states," etc</w:t>
      </w:r>
      <w:r w:rsidR="006A6942">
        <w:rPr>
          <w:sz w:val="20"/>
          <w:szCs w:val="20"/>
        </w:rPr>
        <w:t>.  "Feels" isn't very scholarly</w:t>
      </w:r>
      <w:r>
        <w:rPr>
          <w:sz w:val="20"/>
          <w:szCs w:val="20"/>
        </w:rPr>
        <w:t>.</w:t>
      </w:r>
    </w:p>
    <w:p w:rsidR="00886E8C" w:rsidRDefault="00886E8C">
      <w:pPr>
        <w:widowControl w:val="0"/>
        <w:autoSpaceDE w:val="0"/>
        <w:autoSpaceDN w:val="0"/>
        <w:adjustRightInd w:val="0"/>
        <w:spacing w:line="240" w:lineRule="atLeast"/>
        <w:rPr>
          <w:sz w:val="20"/>
          <w:szCs w:val="20"/>
        </w:rPr>
      </w:pPr>
    </w:p>
    <w:p w:rsidR="006A6942"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Avoid over use of a certain word or phrase in a sentence, paragraph or paper.  An example would be using the word "concerning" twice in the same sentence.  You could change one “concerning” to "regarding."   </w:t>
      </w:r>
    </w:p>
    <w:p w:rsidR="006A6942" w:rsidRDefault="006A6942" w:rsidP="006A6942">
      <w:pPr>
        <w:pStyle w:val="ListParagraph"/>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Similarly, don’t start a series of sentences with the same wording/phrasing.</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When referring to the </w:t>
      </w:r>
      <w:smartTag w:uri="urn:schemas-microsoft-com:office:smarttags" w:element="country-region">
        <w:r>
          <w:rPr>
            <w:sz w:val="20"/>
            <w:szCs w:val="20"/>
          </w:rPr>
          <w:t>U.S.</w:t>
        </w:r>
      </w:smartTag>
      <w:r>
        <w:rPr>
          <w:sz w:val="20"/>
          <w:szCs w:val="20"/>
        </w:rPr>
        <w:t xml:space="preserve"> use the word "</w:t>
      </w:r>
      <w:smartTag w:uri="urn:schemas-microsoft-com:office:smarttags" w:element="country-region">
        <w:r>
          <w:rPr>
            <w:sz w:val="20"/>
            <w:szCs w:val="20"/>
          </w:rPr>
          <w:t>U.S.</w:t>
        </w:r>
      </w:smartTag>
      <w:r>
        <w:rPr>
          <w:sz w:val="20"/>
          <w:szCs w:val="20"/>
        </w:rPr>
        <w:t xml:space="preserve">" or </w:t>
      </w:r>
      <w:smartTag w:uri="urn:schemas-microsoft-com:office:smarttags" w:element="country-region">
        <w:r>
          <w:rPr>
            <w:sz w:val="20"/>
            <w:szCs w:val="20"/>
          </w:rPr>
          <w:t>United States</w:t>
        </w:r>
      </w:smartTag>
      <w:r>
        <w:rPr>
          <w:sz w:val="20"/>
          <w:szCs w:val="20"/>
        </w:rPr>
        <w:t xml:space="preserve">, not </w:t>
      </w:r>
      <w:smartTag w:uri="urn:schemas-microsoft-com:office:smarttags" w:element="country-region">
        <w:r>
          <w:rPr>
            <w:sz w:val="20"/>
            <w:szCs w:val="20"/>
          </w:rPr>
          <w:t>America</w:t>
        </w:r>
      </w:smartTag>
      <w:r>
        <w:rPr>
          <w:sz w:val="20"/>
          <w:szCs w:val="20"/>
        </w:rPr>
        <w:t xml:space="preserve">.  In addition to the fact that many Canadians and Central and South Americans find it offensive (and ethnocentric) that people in the U.S. refer to ourselves as "Americans" and our country as "America," when it actually includes these other countries, more and more authors are pointing out the necessity of making the distinctions.  (Some of the authors we </w:t>
      </w:r>
      <w:proofErr w:type="gramStart"/>
      <w:r>
        <w:rPr>
          <w:sz w:val="20"/>
          <w:szCs w:val="20"/>
        </w:rPr>
        <w:t>read,</w:t>
      </w:r>
      <w:proofErr w:type="gramEnd"/>
      <w:r>
        <w:rPr>
          <w:sz w:val="20"/>
          <w:szCs w:val="20"/>
        </w:rPr>
        <w:t xml:space="preserve"> do not.)  Some people will refer to North Americans to discuss attitudes, etc. prevalent in the </w:t>
      </w:r>
      <w:smartTag w:uri="urn:schemas-microsoft-com:office:smarttags" w:element="country-region">
        <w:r>
          <w:rPr>
            <w:sz w:val="20"/>
            <w:szCs w:val="20"/>
          </w:rPr>
          <w:t>U.S.</w:t>
        </w:r>
      </w:smartTag>
      <w:r>
        <w:rPr>
          <w:sz w:val="20"/>
          <w:szCs w:val="20"/>
        </w:rPr>
        <w:t xml:space="preserve"> and </w:t>
      </w:r>
      <w:smartTag w:uri="urn:schemas-microsoft-com:office:smarttags" w:element="country-region">
        <w:r>
          <w:rPr>
            <w:sz w:val="20"/>
            <w:szCs w:val="20"/>
          </w:rPr>
          <w:t>Canada</w:t>
        </w:r>
      </w:smartTag>
      <w:r>
        <w:rPr>
          <w:sz w:val="20"/>
          <w:szCs w:val="20"/>
        </w:rPr>
        <w:t>.</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Be sure to use apostrophes where necessary and appropriately.  If you don't understand this, ask me.</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Be sure your paper has an introductory paragraph, telling the reader where the paper is headed.  (It may only be </w:t>
      </w:r>
      <w:r>
        <w:rPr>
          <w:sz w:val="20"/>
          <w:szCs w:val="20"/>
        </w:rPr>
        <w:lastRenderedPageBreak/>
        <w:t>a few sentences.)</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Be sure your paper has a concluding paragraph that ties up the issues the paper focuses on.  Again, this may only be a few sentences.</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 xml:space="preserve">Avoid absolutes.  By this I mean don't assume all women, </w:t>
      </w:r>
      <w:r w:rsidR="006A6942">
        <w:rPr>
          <w:sz w:val="20"/>
          <w:szCs w:val="20"/>
        </w:rPr>
        <w:t xml:space="preserve">Latinos, </w:t>
      </w:r>
      <w:r>
        <w:rPr>
          <w:sz w:val="20"/>
          <w:szCs w:val="20"/>
        </w:rPr>
        <w:t>feminists, police officers, and so on think or behave the same way.  For example, avoid statements like "women live in fear of...."  It is more appropriate to write something like: “Many women live in fear of.....”</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In edited books, be sure to cite the author</w:t>
      </w:r>
      <w:r w:rsidR="006A6942">
        <w:rPr>
          <w:sz w:val="20"/>
          <w:szCs w:val="20"/>
        </w:rPr>
        <w:t>(s)</w:t>
      </w:r>
      <w:r>
        <w:rPr>
          <w:sz w:val="20"/>
          <w:szCs w:val="20"/>
        </w:rPr>
        <w:t xml:space="preserve"> of the </w:t>
      </w:r>
      <w:r>
        <w:rPr>
          <w:i/>
          <w:iCs/>
          <w:sz w:val="20"/>
          <w:szCs w:val="20"/>
        </w:rPr>
        <w:t>chapter</w:t>
      </w:r>
      <w:r>
        <w:rPr>
          <w:sz w:val="20"/>
          <w:szCs w:val="20"/>
        </w:rPr>
        <w:t>, not the editor</w:t>
      </w:r>
      <w:r w:rsidR="006A6942">
        <w:rPr>
          <w:sz w:val="20"/>
          <w:szCs w:val="20"/>
        </w:rPr>
        <w:t>(s)</w:t>
      </w:r>
      <w:r>
        <w:rPr>
          <w:sz w:val="20"/>
          <w:szCs w:val="20"/>
        </w:rPr>
        <w:t xml:space="preserve"> of the book.</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Avoid using one author to cite another.  At the same time, don’t “lift” what you read about another work when you haven’t read it yourself.  In those instances where you feel compelled to do this, it should be something like this: Hall’s (1998) evaluation of Black’s (1994) work states......”  Or: Black (1994) found that</w:t>
      </w:r>
      <w:proofErr w:type="gramStart"/>
      <w:r>
        <w:rPr>
          <w:sz w:val="20"/>
          <w:szCs w:val="20"/>
        </w:rPr>
        <w:t>.....(</w:t>
      </w:r>
      <w:proofErr w:type="gramEnd"/>
      <w:r>
        <w:rPr>
          <w:sz w:val="20"/>
          <w:szCs w:val="20"/>
        </w:rPr>
        <w:t>as cited by Hall, 1998, p. 5).</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Avoid paragraphs over one page in length.</w:t>
      </w:r>
    </w:p>
    <w:p w:rsidR="00303E62" w:rsidRDefault="00303E62" w:rsidP="00303E62">
      <w:pPr>
        <w:widowControl w:val="0"/>
        <w:autoSpaceDE w:val="0"/>
        <w:autoSpaceDN w:val="0"/>
        <w:adjustRightInd w:val="0"/>
        <w:spacing w:line="240" w:lineRule="atLeast"/>
        <w:rPr>
          <w:sz w:val="20"/>
          <w:szCs w:val="20"/>
        </w:rPr>
      </w:pPr>
    </w:p>
    <w:p w:rsidR="00303E62" w:rsidRDefault="00303E62" w:rsidP="008B6B90">
      <w:pPr>
        <w:widowControl w:val="0"/>
        <w:numPr>
          <w:ilvl w:val="0"/>
          <w:numId w:val="4"/>
        </w:numPr>
        <w:autoSpaceDE w:val="0"/>
        <w:autoSpaceDN w:val="0"/>
        <w:adjustRightInd w:val="0"/>
        <w:spacing w:line="240" w:lineRule="atLeast"/>
        <w:rPr>
          <w:sz w:val="20"/>
          <w:szCs w:val="20"/>
        </w:rPr>
      </w:pPr>
      <w:r>
        <w:rPr>
          <w:sz w:val="20"/>
          <w:szCs w:val="20"/>
        </w:rPr>
        <w:t>Avoid one-sentence paragraphs.</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Be sure to keep the tense consistent throughout your paper.</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In cases where you are directly citing something that has quotation marks around a word or words, place the quote inside your double quotation marks in single quotation marks: According to Cray, “we must examine girls’ ‘pathways’ to delinquency” (1998, p. 5).</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Do your own work!  These papers are not group projects, and students turning in papers which were obviously "shared" will f</w:t>
      </w:r>
      <w:r w:rsidR="007E661A">
        <w:rPr>
          <w:sz w:val="20"/>
          <w:szCs w:val="20"/>
        </w:rPr>
        <w:t>ail the course</w:t>
      </w:r>
      <w:r>
        <w:rPr>
          <w:sz w:val="20"/>
          <w:szCs w:val="20"/>
        </w:rPr>
        <w:t>.</w:t>
      </w:r>
      <w:r w:rsidR="00303E62">
        <w:rPr>
          <w:sz w:val="20"/>
          <w:szCs w:val="20"/>
        </w:rPr>
        <w:t xml:space="preserve">  However, i</w:t>
      </w:r>
      <w:r>
        <w:rPr>
          <w:sz w:val="20"/>
          <w:szCs w:val="20"/>
        </w:rPr>
        <w:t xml:space="preserve">f you would like to show drafts of your papers to persons outside of this class </w:t>
      </w:r>
      <w:r w:rsidR="00303E62">
        <w:rPr>
          <w:sz w:val="20"/>
          <w:szCs w:val="20"/>
        </w:rPr>
        <w:t>(and who haven’t taken this class before)</w:t>
      </w:r>
      <w:r w:rsidR="007E661A">
        <w:rPr>
          <w:sz w:val="20"/>
          <w:szCs w:val="20"/>
        </w:rPr>
        <w:t>, including the CU Writing Center,</w:t>
      </w:r>
      <w:r w:rsidR="00303E62">
        <w:rPr>
          <w:sz w:val="20"/>
          <w:szCs w:val="20"/>
        </w:rPr>
        <w:t xml:space="preserve"> </w:t>
      </w:r>
      <w:r>
        <w:rPr>
          <w:sz w:val="20"/>
          <w:szCs w:val="20"/>
        </w:rPr>
        <w:t>for feedback on clarity and grammar, that is not only appropriate, but encouraged.</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It doesn’t matter to me what style you use for typing up your papers (although I find the APA easiest), but whatever style you use, be consistent (in terms of references, citations, etc.).</w:t>
      </w:r>
    </w:p>
    <w:p w:rsidR="00886E8C" w:rsidRDefault="00886E8C">
      <w:pPr>
        <w:widowControl w:val="0"/>
        <w:autoSpaceDE w:val="0"/>
        <w:autoSpaceDN w:val="0"/>
        <w:adjustRightInd w:val="0"/>
        <w:spacing w:line="240" w:lineRule="atLeast"/>
        <w:rPr>
          <w:sz w:val="20"/>
          <w:szCs w:val="20"/>
        </w:rPr>
      </w:pPr>
    </w:p>
    <w:p w:rsidR="00886E8C" w:rsidRDefault="00886E8C" w:rsidP="008B6B90">
      <w:pPr>
        <w:widowControl w:val="0"/>
        <w:numPr>
          <w:ilvl w:val="0"/>
          <w:numId w:val="4"/>
        </w:numPr>
        <w:autoSpaceDE w:val="0"/>
        <w:autoSpaceDN w:val="0"/>
        <w:adjustRightInd w:val="0"/>
        <w:spacing w:line="240" w:lineRule="atLeast"/>
        <w:rPr>
          <w:sz w:val="20"/>
          <w:szCs w:val="20"/>
        </w:rPr>
      </w:pPr>
      <w:r>
        <w:rPr>
          <w:sz w:val="20"/>
          <w:szCs w:val="20"/>
        </w:rPr>
        <w:t>Direct quotes that are 50 words or more should be double-indented “paragraphs.”</w:t>
      </w:r>
    </w:p>
    <w:p w:rsidR="00303E62" w:rsidRDefault="00303E62" w:rsidP="00303E62">
      <w:pPr>
        <w:widowControl w:val="0"/>
        <w:autoSpaceDE w:val="0"/>
        <w:autoSpaceDN w:val="0"/>
        <w:adjustRightInd w:val="0"/>
        <w:spacing w:line="240" w:lineRule="atLeast"/>
        <w:rPr>
          <w:sz w:val="20"/>
          <w:szCs w:val="20"/>
        </w:rPr>
      </w:pPr>
    </w:p>
    <w:p w:rsidR="006D406D" w:rsidRPr="009C6FD6" w:rsidRDefault="00303E62" w:rsidP="009C6FD6">
      <w:pPr>
        <w:widowControl w:val="0"/>
        <w:numPr>
          <w:ilvl w:val="0"/>
          <w:numId w:val="4"/>
        </w:numPr>
        <w:autoSpaceDE w:val="0"/>
        <w:autoSpaceDN w:val="0"/>
        <w:adjustRightInd w:val="0"/>
        <w:spacing w:after="200" w:line="276" w:lineRule="auto"/>
        <w:rPr>
          <w:sz w:val="20"/>
          <w:szCs w:val="20"/>
        </w:rPr>
      </w:pPr>
      <w:r w:rsidRPr="009C6FD6">
        <w:rPr>
          <w:sz w:val="20"/>
          <w:szCs w:val="20"/>
        </w:rPr>
        <w:t>Don’t use contractions (e.g., can’t, don’t, aren’t, etc.).</w:t>
      </w:r>
      <w:bookmarkStart w:id="63" w:name="_GoBack"/>
      <w:bookmarkEnd w:id="63"/>
    </w:p>
    <w:p w:rsidR="006D406D" w:rsidRDefault="006D406D" w:rsidP="006D406D">
      <w:pPr>
        <w:widowControl w:val="0"/>
        <w:autoSpaceDE w:val="0"/>
        <w:autoSpaceDN w:val="0"/>
        <w:adjustRightInd w:val="0"/>
        <w:spacing w:line="240" w:lineRule="atLeast"/>
        <w:jc w:val="center"/>
        <w:rPr>
          <w:b/>
          <w:sz w:val="20"/>
          <w:szCs w:val="20"/>
        </w:rPr>
      </w:pPr>
    </w:p>
    <w:p w:rsidR="00886E8C" w:rsidRDefault="006D406D" w:rsidP="006D406D">
      <w:pPr>
        <w:widowControl w:val="0"/>
        <w:autoSpaceDE w:val="0"/>
        <w:autoSpaceDN w:val="0"/>
        <w:adjustRightInd w:val="0"/>
        <w:spacing w:line="240" w:lineRule="atLeast"/>
        <w:rPr>
          <w:sz w:val="20"/>
          <w:szCs w:val="20"/>
        </w:rPr>
      </w:pPr>
      <w:r w:rsidRPr="00513DE5">
        <w:rPr>
          <w:bCs/>
          <w:sz w:val="20"/>
          <w:szCs w:val="20"/>
        </w:rPr>
        <w:t>.</w:t>
      </w:r>
    </w:p>
    <w:sectPr w:rsidR="00886E8C" w:rsidSect="00D35D4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5D" w:rsidRDefault="00AC075D" w:rsidP="00A71994">
      <w:r>
        <w:separator/>
      </w:r>
    </w:p>
  </w:endnote>
  <w:endnote w:type="continuationSeparator" w:id="0">
    <w:p w:rsidR="00AC075D" w:rsidRDefault="00AC075D" w:rsidP="00A7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5D" w:rsidRDefault="00AC075D" w:rsidP="00A71994">
      <w:r>
        <w:separator/>
      </w:r>
    </w:p>
  </w:footnote>
  <w:footnote w:type="continuationSeparator" w:id="0">
    <w:p w:rsidR="00AC075D" w:rsidRDefault="00AC075D" w:rsidP="00A71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94" w:rsidRDefault="00A7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BB9"/>
    <w:multiLevelType w:val="hybridMultilevel"/>
    <w:tmpl w:val="1AAA6ABC"/>
    <w:lvl w:ilvl="0" w:tplc="B7501EF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085D1895"/>
    <w:multiLevelType w:val="hybridMultilevel"/>
    <w:tmpl w:val="69FEBD9A"/>
    <w:lvl w:ilvl="0" w:tplc="B1FC96C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0E2F5382"/>
    <w:multiLevelType w:val="hybridMultilevel"/>
    <w:tmpl w:val="19AC2316"/>
    <w:lvl w:ilvl="0" w:tplc="6F1E6E3A">
      <w:start w:val="3"/>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nsid w:val="1C063DB7"/>
    <w:multiLevelType w:val="hybridMultilevel"/>
    <w:tmpl w:val="A3044DD0"/>
    <w:lvl w:ilvl="0" w:tplc="3CAE639A">
      <w:start w:val="3"/>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43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A4137AB"/>
    <w:multiLevelType w:val="hybridMultilevel"/>
    <w:tmpl w:val="A9521D66"/>
    <w:lvl w:ilvl="0" w:tplc="B7501EF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nsid w:val="2C520BEF"/>
    <w:multiLevelType w:val="multilevel"/>
    <w:tmpl w:val="E92842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5BA6691"/>
    <w:multiLevelType w:val="hybridMultilevel"/>
    <w:tmpl w:val="06D67D18"/>
    <w:lvl w:ilvl="0" w:tplc="B7501EF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7">
    <w:nsid w:val="56D61ED3"/>
    <w:multiLevelType w:val="hybridMultilevel"/>
    <w:tmpl w:val="8EDE4D36"/>
    <w:lvl w:ilvl="0" w:tplc="3CAE639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4F56893"/>
    <w:multiLevelType w:val="hybridMultilevel"/>
    <w:tmpl w:val="1CAEBA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70E6386"/>
    <w:multiLevelType w:val="hybridMultilevel"/>
    <w:tmpl w:val="7AF0CDE0"/>
    <w:lvl w:ilvl="0" w:tplc="B7501EF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5"/>
  </w:num>
  <w:num w:numId="2">
    <w:abstractNumId w:val="1"/>
  </w:num>
  <w:num w:numId="3">
    <w:abstractNumId w:val="4"/>
  </w:num>
  <w:num w:numId="4">
    <w:abstractNumId w:val="6"/>
  </w:num>
  <w:num w:numId="5">
    <w:abstractNumId w:val="9"/>
  </w:num>
  <w:num w:numId="6">
    <w:abstractNumId w:val="0"/>
  </w:num>
  <w:num w:numId="7">
    <w:abstractNumId w:val="2"/>
  </w:num>
  <w:num w:numId="8">
    <w:abstractNumId w:val="8"/>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B0"/>
    <w:rsid w:val="00015A3A"/>
    <w:rsid w:val="00046180"/>
    <w:rsid w:val="00061651"/>
    <w:rsid w:val="00067CE0"/>
    <w:rsid w:val="0007053C"/>
    <w:rsid w:val="00084F23"/>
    <w:rsid w:val="000E6420"/>
    <w:rsid w:val="000F0DE9"/>
    <w:rsid w:val="000F42D2"/>
    <w:rsid w:val="000F6BAB"/>
    <w:rsid w:val="00122EF8"/>
    <w:rsid w:val="00131DF4"/>
    <w:rsid w:val="00164152"/>
    <w:rsid w:val="001A0C5D"/>
    <w:rsid w:val="001A338B"/>
    <w:rsid w:val="001C07B0"/>
    <w:rsid w:val="001C0962"/>
    <w:rsid w:val="001D495E"/>
    <w:rsid w:val="001D5583"/>
    <w:rsid w:val="001E5823"/>
    <w:rsid w:val="00201366"/>
    <w:rsid w:val="00205315"/>
    <w:rsid w:val="002338D5"/>
    <w:rsid w:val="00250EAB"/>
    <w:rsid w:val="002524C4"/>
    <w:rsid w:val="00254686"/>
    <w:rsid w:val="00297079"/>
    <w:rsid w:val="002B19A4"/>
    <w:rsid w:val="002C233F"/>
    <w:rsid w:val="002F72F2"/>
    <w:rsid w:val="00303E62"/>
    <w:rsid w:val="0034183F"/>
    <w:rsid w:val="00346713"/>
    <w:rsid w:val="00350B82"/>
    <w:rsid w:val="00351859"/>
    <w:rsid w:val="0036173E"/>
    <w:rsid w:val="003803C5"/>
    <w:rsid w:val="00394342"/>
    <w:rsid w:val="003E7D65"/>
    <w:rsid w:val="00404754"/>
    <w:rsid w:val="004122DB"/>
    <w:rsid w:val="00437B01"/>
    <w:rsid w:val="0044706F"/>
    <w:rsid w:val="00463CF9"/>
    <w:rsid w:val="00467784"/>
    <w:rsid w:val="004724A0"/>
    <w:rsid w:val="004E134D"/>
    <w:rsid w:val="004E7B9B"/>
    <w:rsid w:val="00513DE5"/>
    <w:rsid w:val="005152A7"/>
    <w:rsid w:val="00515FD6"/>
    <w:rsid w:val="005224A1"/>
    <w:rsid w:val="005427E3"/>
    <w:rsid w:val="005460E0"/>
    <w:rsid w:val="005609AF"/>
    <w:rsid w:val="005C1E8A"/>
    <w:rsid w:val="005C6208"/>
    <w:rsid w:val="00607B1E"/>
    <w:rsid w:val="00621AA2"/>
    <w:rsid w:val="0062652B"/>
    <w:rsid w:val="0063207F"/>
    <w:rsid w:val="00640C55"/>
    <w:rsid w:val="00640CDF"/>
    <w:rsid w:val="006826F4"/>
    <w:rsid w:val="00684ACB"/>
    <w:rsid w:val="00695A49"/>
    <w:rsid w:val="006A0A18"/>
    <w:rsid w:val="006A6942"/>
    <w:rsid w:val="006B53F3"/>
    <w:rsid w:val="006D0A39"/>
    <w:rsid w:val="006D406D"/>
    <w:rsid w:val="006F213B"/>
    <w:rsid w:val="00705AA6"/>
    <w:rsid w:val="00706AC2"/>
    <w:rsid w:val="00736F82"/>
    <w:rsid w:val="00751111"/>
    <w:rsid w:val="00754847"/>
    <w:rsid w:val="00790148"/>
    <w:rsid w:val="00790233"/>
    <w:rsid w:val="007A2453"/>
    <w:rsid w:val="007B58F3"/>
    <w:rsid w:val="007C4C8A"/>
    <w:rsid w:val="007C5563"/>
    <w:rsid w:val="007E622C"/>
    <w:rsid w:val="007E661A"/>
    <w:rsid w:val="007F27DB"/>
    <w:rsid w:val="00806EC0"/>
    <w:rsid w:val="00814381"/>
    <w:rsid w:val="0082256D"/>
    <w:rsid w:val="00854EA3"/>
    <w:rsid w:val="00886E8C"/>
    <w:rsid w:val="00894458"/>
    <w:rsid w:val="008B6B90"/>
    <w:rsid w:val="008F4B39"/>
    <w:rsid w:val="00905E0E"/>
    <w:rsid w:val="009245D6"/>
    <w:rsid w:val="00924A80"/>
    <w:rsid w:val="00941C35"/>
    <w:rsid w:val="00966C65"/>
    <w:rsid w:val="00966F53"/>
    <w:rsid w:val="00996F23"/>
    <w:rsid w:val="0099756D"/>
    <w:rsid w:val="009B5FAA"/>
    <w:rsid w:val="009C6FD6"/>
    <w:rsid w:val="009D790D"/>
    <w:rsid w:val="009F4342"/>
    <w:rsid w:val="00A4486F"/>
    <w:rsid w:val="00A506E1"/>
    <w:rsid w:val="00A71994"/>
    <w:rsid w:val="00A9531B"/>
    <w:rsid w:val="00AB3532"/>
    <w:rsid w:val="00AC075D"/>
    <w:rsid w:val="00AE3D9F"/>
    <w:rsid w:val="00B05148"/>
    <w:rsid w:val="00B44153"/>
    <w:rsid w:val="00B51D5C"/>
    <w:rsid w:val="00B57C74"/>
    <w:rsid w:val="00B871C9"/>
    <w:rsid w:val="00B935B7"/>
    <w:rsid w:val="00BA4A17"/>
    <w:rsid w:val="00BD537E"/>
    <w:rsid w:val="00C03FCC"/>
    <w:rsid w:val="00C2115F"/>
    <w:rsid w:val="00C4295B"/>
    <w:rsid w:val="00C5743A"/>
    <w:rsid w:val="00C6195E"/>
    <w:rsid w:val="00C70545"/>
    <w:rsid w:val="00C746AB"/>
    <w:rsid w:val="00C85DFC"/>
    <w:rsid w:val="00CA2452"/>
    <w:rsid w:val="00CC6A9A"/>
    <w:rsid w:val="00CD1B1B"/>
    <w:rsid w:val="00CE1DA5"/>
    <w:rsid w:val="00CE7E11"/>
    <w:rsid w:val="00CF67DB"/>
    <w:rsid w:val="00D30DC4"/>
    <w:rsid w:val="00D35D45"/>
    <w:rsid w:val="00D574AC"/>
    <w:rsid w:val="00D748BB"/>
    <w:rsid w:val="00DB2D39"/>
    <w:rsid w:val="00DD2D00"/>
    <w:rsid w:val="00E32F9F"/>
    <w:rsid w:val="00E33234"/>
    <w:rsid w:val="00E44C21"/>
    <w:rsid w:val="00E555E8"/>
    <w:rsid w:val="00E66081"/>
    <w:rsid w:val="00E67509"/>
    <w:rsid w:val="00E7119A"/>
    <w:rsid w:val="00EB2CBD"/>
    <w:rsid w:val="00EC7B94"/>
    <w:rsid w:val="00EE3315"/>
    <w:rsid w:val="00EF0536"/>
    <w:rsid w:val="00EF0A61"/>
    <w:rsid w:val="00F060DC"/>
    <w:rsid w:val="00F1289B"/>
    <w:rsid w:val="00F32655"/>
    <w:rsid w:val="00F53516"/>
    <w:rsid w:val="00F71E1B"/>
    <w:rsid w:val="00F8617F"/>
    <w:rsid w:val="00FB0B50"/>
    <w:rsid w:val="00FC0AA7"/>
    <w:rsid w:val="00FC3CF5"/>
    <w:rsid w:val="00FC6B8E"/>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5"/>
    <w:pPr>
      <w:spacing w:after="0" w:line="240" w:lineRule="auto"/>
    </w:pPr>
    <w:rPr>
      <w:sz w:val="24"/>
      <w:szCs w:val="24"/>
    </w:rPr>
  </w:style>
  <w:style w:type="paragraph" w:styleId="Heading1">
    <w:name w:val="heading 1"/>
    <w:basedOn w:val="Normal"/>
    <w:link w:val="Heading1Char"/>
    <w:uiPriority w:val="99"/>
    <w:qFormat/>
    <w:rsid w:val="00D30D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5D45"/>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E33234"/>
    <w:rPr>
      <w:rFonts w:cs="Times New Roman"/>
      <w:color w:val="0000FF"/>
      <w:u w:val="single"/>
    </w:rPr>
  </w:style>
  <w:style w:type="character" w:customStyle="1" w:styleId="fieldlabel">
    <w:name w:val="fieldlabel"/>
    <w:basedOn w:val="DefaultParagraphFont"/>
    <w:uiPriority w:val="99"/>
    <w:rsid w:val="00754847"/>
    <w:rPr>
      <w:rFonts w:cs="Times New Roman"/>
    </w:rPr>
  </w:style>
  <w:style w:type="character" w:customStyle="1" w:styleId="citation">
    <w:name w:val="citation"/>
    <w:basedOn w:val="DefaultParagraphFont"/>
    <w:uiPriority w:val="99"/>
    <w:rsid w:val="00D748BB"/>
    <w:rPr>
      <w:rFonts w:cs="Times New Roman"/>
    </w:rPr>
  </w:style>
  <w:style w:type="paragraph" w:styleId="NormalWeb">
    <w:name w:val="Normal (Web)"/>
    <w:basedOn w:val="Normal"/>
    <w:uiPriority w:val="99"/>
    <w:rsid w:val="00D30DC4"/>
    <w:pPr>
      <w:spacing w:before="100" w:beforeAutospacing="1" w:after="100" w:afterAutospacing="1"/>
    </w:pPr>
  </w:style>
  <w:style w:type="character" w:styleId="Strong">
    <w:name w:val="Strong"/>
    <w:basedOn w:val="DefaultParagraphFont"/>
    <w:uiPriority w:val="99"/>
    <w:qFormat/>
    <w:rsid w:val="00D30DC4"/>
    <w:rPr>
      <w:rFonts w:cs="Times New Roman"/>
      <w:b/>
      <w:bCs/>
    </w:rPr>
  </w:style>
  <w:style w:type="paragraph" w:styleId="BalloonText">
    <w:name w:val="Balloon Text"/>
    <w:basedOn w:val="Normal"/>
    <w:link w:val="BalloonTextChar"/>
    <w:uiPriority w:val="99"/>
    <w:semiHidden/>
    <w:rsid w:val="00B441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5"/>
    <w:rPr>
      <w:rFonts w:ascii="Tahoma" w:hAnsi="Tahoma" w:cs="Tahoma"/>
      <w:sz w:val="16"/>
      <w:szCs w:val="16"/>
    </w:rPr>
  </w:style>
  <w:style w:type="paragraph" w:styleId="HTMLPreformatted">
    <w:name w:val="HTML Preformatted"/>
    <w:basedOn w:val="Normal"/>
    <w:link w:val="HTMLPreformattedChar"/>
    <w:uiPriority w:val="99"/>
    <w:rsid w:val="00B4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35D45"/>
    <w:rPr>
      <w:rFonts w:ascii="Courier New" w:hAnsi="Courier New" w:cs="Courier New"/>
      <w:sz w:val="20"/>
      <w:szCs w:val="20"/>
    </w:rPr>
  </w:style>
  <w:style w:type="character" w:styleId="CommentReference">
    <w:name w:val="annotation reference"/>
    <w:basedOn w:val="DefaultParagraphFont"/>
    <w:uiPriority w:val="99"/>
    <w:semiHidden/>
    <w:rsid w:val="00467784"/>
    <w:rPr>
      <w:rFonts w:cs="Times New Roman"/>
      <w:sz w:val="16"/>
      <w:szCs w:val="16"/>
    </w:rPr>
  </w:style>
  <w:style w:type="paragraph" w:styleId="CommentText">
    <w:name w:val="annotation text"/>
    <w:basedOn w:val="Normal"/>
    <w:link w:val="CommentTextChar"/>
    <w:uiPriority w:val="99"/>
    <w:semiHidden/>
    <w:rsid w:val="00467784"/>
    <w:rPr>
      <w:sz w:val="20"/>
      <w:szCs w:val="20"/>
    </w:rPr>
  </w:style>
  <w:style w:type="character" w:customStyle="1" w:styleId="CommentTextChar">
    <w:name w:val="Comment Text Char"/>
    <w:basedOn w:val="DefaultParagraphFont"/>
    <w:link w:val="CommentText"/>
    <w:uiPriority w:val="99"/>
    <w:semiHidden/>
    <w:locked/>
    <w:rsid w:val="00D35D45"/>
    <w:rPr>
      <w:rFonts w:cs="Times New Roman"/>
      <w:sz w:val="20"/>
      <w:szCs w:val="20"/>
    </w:rPr>
  </w:style>
  <w:style w:type="paragraph" w:styleId="CommentSubject">
    <w:name w:val="annotation subject"/>
    <w:basedOn w:val="CommentText"/>
    <w:next w:val="CommentText"/>
    <w:link w:val="CommentSubjectChar"/>
    <w:uiPriority w:val="99"/>
    <w:semiHidden/>
    <w:rsid w:val="00467784"/>
    <w:rPr>
      <w:b/>
      <w:bCs/>
    </w:rPr>
  </w:style>
  <w:style w:type="character" w:customStyle="1" w:styleId="CommentSubjectChar">
    <w:name w:val="Comment Subject Char"/>
    <w:basedOn w:val="CommentTextChar"/>
    <w:link w:val="CommentSubject"/>
    <w:uiPriority w:val="99"/>
    <w:semiHidden/>
    <w:locked/>
    <w:rsid w:val="00D35D45"/>
    <w:rPr>
      <w:rFonts w:cs="Times New Roman"/>
      <w:b/>
      <w:bCs/>
      <w:sz w:val="20"/>
      <w:szCs w:val="20"/>
    </w:rPr>
  </w:style>
  <w:style w:type="paragraph" w:styleId="ListParagraph">
    <w:name w:val="List Paragraph"/>
    <w:basedOn w:val="Normal"/>
    <w:uiPriority w:val="34"/>
    <w:qFormat/>
    <w:rsid w:val="007B58F3"/>
    <w:pPr>
      <w:ind w:left="720"/>
      <w:contextualSpacing/>
    </w:pPr>
  </w:style>
  <w:style w:type="paragraph" w:styleId="Header">
    <w:name w:val="header"/>
    <w:basedOn w:val="Normal"/>
    <w:link w:val="HeaderChar"/>
    <w:uiPriority w:val="99"/>
    <w:unhideWhenUsed/>
    <w:rsid w:val="00A71994"/>
    <w:pPr>
      <w:tabs>
        <w:tab w:val="center" w:pos="4680"/>
        <w:tab w:val="right" w:pos="9360"/>
      </w:tabs>
    </w:pPr>
  </w:style>
  <w:style w:type="character" w:customStyle="1" w:styleId="HeaderChar">
    <w:name w:val="Header Char"/>
    <w:basedOn w:val="DefaultParagraphFont"/>
    <w:link w:val="Header"/>
    <w:uiPriority w:val="99"/>
    <w:rsid w:val="00A71994"/>
    <w:rPr>
      <w:sz w:val="24"/>
      <w:szCs w:val="24"/>
    </w:rPr>
  </w:style>
  <w:style w:type="paragraph" w:styleId="Footer">
    <w:name w:val="footer"/>
    <w:basedOn w:val="Normal"/>
    <w:link w:val="FooterChar"/>
    <w:uiPriority w:val="99"/>
    <w:unhideWhenUsed/>
    <w:rsid w:val="00A71994"/>
    <w:pPr>
      <w:tabs>
        <w:tab w:val="center" w:pos="4680"/>
        <w:tab w:val="right" w:pos="9360"/>
      </w:tabs>
    </w:pPr>
  </w:style>
  <w:style w:type="character" w:customStyle="1" w:styleId="FooterChar">
    <w:name w:val="Footer Char"/>
    <w:basedOn w:val="DefaultParagraphFont"/>
    <w:link w:val="Footer"/>
    <w:uiPriority w:val="99"/>
    <w:rsid w:val="00A719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45"/>
    <w:pPr>
      <w:spacing w:after="0" w:line="240" w:lineRule="auto"/>
    </w:pPr>
    <w:rPr>
      <w:sz w:val="24"/>
      <w:szCs w:val="24"/>
    </w:rPr>
  </w:style>
  <w:style w:type="paragraph" w:styleId="Heading1">
    <w:name w:val="heading 1"/>
    <w:basedOn w:val="Normal"/>
    <w:link w:val="Heading1Char"/>
    <w:uiPriority w:val="99"/>
    <w:qFormat/>
    <w:rsid w:val="00D30D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5D45"/>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E33234"/>
    <w:rPr>
      <w:rFonts w:cs="Times New Roman"/>
      <w:color w:val="0000FF"/>
      <w:u w:val="single"/>
    </w:rPr>
  </w:style>
  <w:style w:type="character" w:customStyle="1" w:styleId="fieldlabel">
    <w:name w:val="fieldlabel"/>
    <w:basedOn w:val="DefaultParagraphFont"/>
    <w:uiPriority w:val="99"/>
    <w:rsid w:val="00754847"/>
    <w:rPr>
      <w:rFonts w:cs="Times New Roman"/>
    </w:rPr>
  </w:style>
  <w:style w:type="character" w:customStyle="1" w:styleId="citation">
    <w:name w:val="citation"/>
    <w:basedOn w:val="DefaultParagraphFont"/>
    <w:uiPriority w:val="99"/>
    <w:rsid w:val="00D748BB"/>
    <w:rPr>
      <w:rFonts w:cs="Times New Roman"/>
    </w:rPr>
  </w:style>
  <w:style w:type="paragraph" w:styleId="NormalWeb">
    <w:name w:val="Normal (Web)"/>
    <w:basedOn w:val="Normal"/>
    <w:uiPriority w:val="99"/>
    <w:rsid w:val="00D30DC4"/>
    <w:pPr>
      <w:spacing w:before="100" w:beforeAutospacing="1" w:after="100" w:afterAutospacing="1"/>
    </w:pPr>
  </w:style>
  <w:style w:type="character" w:styleId="Strong">
    <w:name w:val="Strong"/>
    <w:basedOn w:val="DefaultParagraphFont"/>
    <w:uiPriority w:val="99"/>
    <w:qFormat/>
    <w:rsid w:val="00D30DC4"/>
    <w:rPr>
      <w:rFonts w:cs="Times New Roman"/>
      <w:b/>
      <w:bCs/>
    </w:rPr>
  </w:style>
  <w:style w:type="paragraph" w:styleId="BalloonText">
    <w:name w:val="Balloon Text"/>
    <w:basedOn w:val="Normal"/>
    <w:link w:val="BalloonTextChar"/>
    <w:uiPriority w:val="99"/>
    <w:semiHidden/>
    <w:rsid w:val="00B441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5"/>
    <w:rPr>
      <w:rFonts w:ascii="Tahoma" w:hAnsi="Tahoma" w:cs="Tahoma"/>
      <w:sz w:val="16"/>
      <w:szCs w:val="16"/>
    </w:rPr>
  </w:style>
  <w:style w:type="paragraph" w:styleId="HTMLPreformatted">
    <w:name w:val="HTML Preformatted"/>
    <w:basedOn w:val="Normal"/>
    <w:link w:val="HTMLPreformattedChar"/>
    <w:uiPriority w:val="99"/>
    <w:rsid w:val="00B4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35D45"/>
    <w:rPr>
      <w:rFonts w:ascii="Courier New" w:hAnsi="Courier New" w:cs="Courier New"/>
      <w:sz w:val="20"/>
      <w:szCs w:val="20"/>
    </w:rPr>
  </w:style>
  <w:style w:type="character" w:styleId="CommentReference">
    <w:name w:val="annotation reference"/>
    <w:basedOn w:val="DefaultParagraphFont"/>
    <w:uiPriority w:val="99"/>
    <w:semiHidden/>
    <w:rsid w:val="00467784"/>
    <w:rPr>
      <w:rFonts w:cs="Times New Roman"/>
      <w:sz w:val="16"/>
      <w:szCs w:val="16"/>
    </w:rPr>
  </w:style>
  <w:style w:type="paragraph" w:styleId="CommentText">
    <w:name w:val="annotation text"/>
    <w:basedOn w:val="Normal"/>
    <w:link w:val="CommentTextChar"/>
    <w:uiPriority w:val="99"/>
    <w:semiHidden/>
    <w:rsid w:val="00467784"/>
    <w:rPr>
      <w:sz w:val="20"/>
      <w:szCs w:val="20"/>
    </w:rPr>
  </w:style>
  <w:style w:type="character" w:customStyle="1" w:styleId="CommentTextChar">
    <w:name w:val="Comment Text Char"/>
    <w:basedOn w:val="DefaultParagraphFont"/>
    <w:link w:val="CommentText"/>
    <w:uiPriority w:val="99"/>
    <w:semiHidden/>
    <w:locked/>
    <w:rsid w:val="00D35D45"/>
    <w:rPr>
      <w:rFonts w:cs="Times New Roman"/>
      <w:sz w:val="20"/>
      <w:szCs w:val="20"/>
    </w:rPr>
  </w:style>
  <w:style w:type="paragraph" w:styleId="CommentSubject">
    <w:name w:val="annotation subject"/>
    <w:basedOn w:val="CommentText"/>
    <w:next w:val="CommentText"/>
    <w:link w:val="CommentSubjectChar"/>
    <w:uiPriority w:val="99"/>
    <w:semiHidden/>
    <w:rsid w:val="00467784"/>
    <w:rPr>
      <w:b/>
      <w:bCs/>
    </w:rPr>
  </w:style>
  <w:style w:type="character" w:customStyle="1" w:styleId="CommentSubjectChar">
    <w:name w:val="Comment Subject Char"/>
    <w:basedOn w:val="CommentTextChar"/>
    <w:link w:val="CommentSubject"/>
    <w:uiPriority w:val="99"/>
    <w:semiHidden/>
    <w:locked/>
    <w:rsid w:val="00D35D45"/>
    <w:rPr>
      <w:rFonts w:cs="Times New Roman"/>
      <w:b/>
      <w:bCs/>
      <w:sz w:val="20"/>
      <w:szCs w:val="20"/>
    </w:rPr>
  </w:style>
  <w:style w:type="paragraph" w:styleId="ListParagraph">
    <w:name w:val="List Paragraph"/>
    <w:basedOn w:val="Normal"/>
    <w:uiPriority w:val="34"/>
    <w:qFormat/>
    <w:rsid w:val="007B58F3"/>
    <w:pPr>
      <w:ind w:left="720"/>
      <w:contextualSpacing/>
    </w:pPr>
  </w:style>
  <w:style w:type="paragraph" w:styleId="Header">
    <w:name w:val="header"/>
    <w:basedOn w:val="Normal"/>
    <w:link w:val="HeaderChar"/>
    <w:uiPriority w:val="99"/>
    <w:unhideWhenUsed/>
    <w:rsid w:val="00A71994"/>
    <w:pPr>
      <w:tabs>
        <w:tab w:val="center" w:pos="4680"/>
        <w:tab w:val="right" w:pos="9360"/>
      </w:tabs>
    </w:pPr>
  </w:style>
  <w:style w:type="character" w:customStyle="1" w:styleId="HeaderChar">
    <w:name w:val="Header Char"/>
    <w:basedOn w:val="DefaultParagraphFont"/>
    <w:link w:val="Header"/>
    <w:uiPriority w:val="99"/>
    <w:rsid w:val="00A71994"/>
    <w:rPr>
      <w:sz w:val="24"/>
      <w:szCs w:val="24"/>
    </w:rPr>
  </w:style>
  <w:style w:type="paragraph" w:styleId="Footer">
    <w:name w:val="footer"/>
    <w:basedOn w:val="Normal"/>
    <w:link w:val="FooterChar"/>
    <w:uiPriority w:val="99"/>
    <w:unhideWhenUsed/>
    <w:rsid w:val="00A71994"/>
    <w:pPr>
      <w:tabs>
        <w:tab w:val="center" w:pos="4680"/>
        <w:tab w:val="right" w:pos="9360"/>
      </w:tabs>
    </w:pPr>
  </w:style>
  <w:style w:type="character" w:customStyle="1" w:styleId="FooterChar">
    <w:name w:val="Footer Char"/>
    <w:basedOn w:val="DefaultParagraphFont"/>
    <w:link w:val="Footer"/>
    <w:uiPriority w:val="99"/>
    <w:rsid w:val="00A71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4016">
      <w:bodyDiv w:val="1"/>
      <w:marLeft w:val="0"/>
      <w:marRight w:val="0"/>
      <w:marTop w:val="0"/>
      <w:marBottom w:val="0"/>
      <w:divBdr>
        <w:top w:val="none" w:sz="0" w:space="0" w:color="auto"/>
        <w:left w:val="none" w:sz="0" w:space="0" w:color="auto"/>
        <w:bottom w:val="none" w:sz="0" w:space="0" w:color="auto"/>
        <w:right w:val="none" w:sz="0" w:space="0" w:color="auto"/>
      </w:divBdr>
    </w:div>
    <w:div w:id="1128090977">
      <w:bodyDiv w:val="1"/>
      <w:marLeft w:val="0"/>
      <w:marRight w:val="0"/>
      <w:marTop w:val="0"/>
      <w:marBottom w:val="0"/>
      <w:divBdr>
        <w:top w:val="none" w:sz="0" w:space="0" w:color="auto"/>
        <w:left w:val="none" w:sz="0" w:space="0" w:color="auto"/>
        <w:bottom w:val="none" w:sz="0" w:space="0" w:color="auto"/>
        <w:right w:val="none" w:sz="0" w:space="0" w:color="auto"/>
      </w:divBdr>
    </w:div>
    <w:div w:id="1980720096">
      <w:marLeft w:val="0"/>
      <w:marRight w:val="0"/>
      <w:marTop w:val="0"/>
      <w:marBottom w:val="0"/>
      <w:divBdr>
        <w:top w:val="none" w:sz="0" w:space="0" w:color="auto"/>
        <w:left w:val="none" w:sz="0" w:space="0" w:color="auto"/>
        <w:bottom w:val="none" w:sz="0" w:space="0" w:color="auto"/>
        <w:right w:val="none" w:sz="0" w:space="0" w:color="auto"/>
      </w:divBdr>
    </w:div>
    <w:div w:id="1980720097">
      <w:marLeft w:val="0"/>
      <w:marRight w:val="0"/>
      <w:marTop w:val="0"/>
      <w:marBottom w:val="0"/>
      <w:divBdr>
        <w:top w:val="none" w:sz="0" w:space="0" w:color="auto"/>
        <w:left w:val="none" w:sz="0" w:space="0" w:color="auto"/>
        <w:bottom w:val="none" w:sz="0" w:space="0" w:color="auto"/>
        <w:right w:val="none" w:sz="0" w:space="0" w:color="auto"/>
      </w:divBdr>
    </w:div>
    <w:div w:id="1980720099">
      <w:marLeft w:val="0"/>
      <w:marRight w:val="0"/>
      <w:marTop w:val="0"/>
      <w:marBottom w:val="0"/>
      <w:divBdr>
        <w:top w:val="none" w:sz="0" w:space="0" w:color="auto"/>
        <w:left w:val="none" w:sz="0" w:space="0" w:color="auto"/>
        <w:bottom w:val="none" w:sz="0" w:space="0" w:color="auto"/>
        <w:right w:val="none" w:sz="0" w:space="0" w:color="auto"/>
      </w:divBdr>
      <w:divsChild>
        <w:div w:id="1980720102">
          <w:marLeft w:val="0"/>
          <w:marRight w:val="0"/>
          <w:marTop w:val="0"/>
          <w:marBottom w:val="0"/>
          <w:divBdr>
            <w:top w:val="none" w:sz="0" w:space="0" w:color="auto"/>
            <w:left w:val="none" w:sz="0" w:space="0" w:color="auto"/>
            <w:bottom w:val="none" w:sz="0" w:space="0" w:color="auto"/>
            <w:right w:val="none" w:sz="0" w:space="0" w:color="auto"/>
          </w:divBdr>
        </w:div>
        <w:div w:id="1980720103">
          <w:marLeft w:val="0"/>
          <w:marRight w:val="0"/>
          <w:marTop w:val="0"/>
          <w:marBottom w:val="0"/>
          <w:divBdr>
            <w:top w:val="none" w:sz="0" w:space="0" w:color="auto"/>
            <w:left w:val="none" w:sz="0" w:space="0" w:color="auto"/>
            <w:bottom w:val="none" w:sz="0" w:space="0" w:color="auto"/>
            <w:right w:val="none" w:sz="0" w:space="0" w:color="auto"/>
          </w:divBdr>
        </w:div>
        <w:div w:id="1980720105">
          <w:marLeft w:val="0"/>
          <w:marRight w:val="0"/>
          <w:marTop w:val="0"/>
          <w:marBottom w:val="0"/>
          <w:divBdr>
            <w:top w:val="none" w:sz="0" w:space="0" w:color="auto"/>
            <w:left w:val="none" w:sz="0" w:space="0" w:color="auto"/>
            <w:bottom w:val="none" w:sz="0" w:space="0" w:color="auto"/>
            <w:right w:val="none" w:sz="0" w:space="0" w:color="auto"/>
          </w:divBdr>
        </w:div>
      </w:divsChild>
    </w:div>
    <w:div w:id="1980720104">
      <w:marLeft w:val="0"/>
      <w:marRight w:val="0"/>
      <w:marTop w:val="0"/>
      <w:marBottom w:val="0"/>
      <w:divBdr>
        <w:top w:val="none" w:sz="0" w:space="0" w:color="auto"/>
        <w:left w:val="none" w:sz="0" w:space="0" w:color="auto"/>
        <w:bottom w:val="none" w:sz="0" w:space="0" w:color="auto"/>
        <w:right w:val="none" w:sz="0" w:space="0" w:color="auto"/>
      </w:divBdr>
      <w:divsChild>
        <w:div w:id="1980720098">
          <w:marLeft w:val="0"/>
          <w:marRight w:val="0"/>
          <w:marTop w:val="0"/>
          <w:marBottom w:val="0"/>
          <w:divBdr>
            <w:top w:val="none" w:sz="0" w:space="0" w:color="auto"/>
            <w:left w:val="none" w:sz="0" w:space="0" w:color="auto"/>
            <w:bottom w:val="none" w:sz="0" w:space="0" w:color="auto"/>
            <w:right w:val="none" w:sz="0" w:space="0" w:color="auto"/>
          </w:divBdr>
        </w:div>
        <w:div w:id="1980720100">
          <w:marLeft w:val="0"/>
          <w:marRight w:val="0"/>
          <w:marTop w:val="0"/>
          <w:marBottom w:val="0"/>
          <w:divBdr>
            <w:top w:val="none" w:sz="0" w:space="0" w:color="auto"/>
            <w:left w:val="none" w:sz="0" w:space="0" w:color="auto"/>
            <w:bottom w:val="none" w:sz="0" w:space="0" w:color="auto"/>
            <w:right w:val="none" w:sz="0" w:space="0" w:color="auto"/>
          </w:divBdr>
        </w:div>
        <w:div w:id="1980720101">
          <w:marLeft w:val="0"/>
          <w:marRight w:val="0"/>
          <w:marTop w:val="0"/>
          <w:marBottom w:val="0"/>
          <w:divBdr>
            <w:top w:val="none" w:sz="0" w:space="0" w:color="auto"/>
            <w:left w:val="none" w:sz="0" w:space="0" w:color="auto"/>
            <w:bottom w:val="none" w:sz="0" w:space="0" w:color="auto"/>
            <w:right w:val="none" w:sz="0" w:space="0" w:color="auto"/>
          </w:divBdr>
        </w:div>
      </w:divsChild>
    </w:div>
    <w:div w:id="1980720106">
      <w:marLeft w:val="0"/>
      <w:marRight w:val="0"/>
      <w:marTop w:val="0"/>
      <w:marBottom w:val="0"/>
      <w:divBdr>
        <w:top w:val="none" w:sz="0" w:space="0" w:color="auto"/>
        <w:left w:val="none" w:sz="0" w:space="0" w:color="auto"/>
        <w:bottom w:val="none" w:sz="0" w:space="0" w:color="auto"/>
        <w:right w:val="none" w:sz="0" w:space="0" w:color="auto"/>
      </w:divBdr>
    </w:div>
    <w:div w:id="1980720109">
      <w:marLeft w:val="0"/>
      <w:marRight w:val="0"/>
      <w:marTop w:val="0"/>
      <w:marBottom w:val="0"/>
      <w:divBdr>
        <w:top w:val="none" w:sz="0" w:space="0" w:color="auto"/>
        <w:left w:val="none" w:sz="0" w:space="0" w:color="auto"/>
        <w:bottom w:val="none" w:sz="0" w:space="0" w:color="auto"/>
        <w:right w:val="none" w:sz="0" w:space="0" w:color="auto"/>
      </w:divBdr>
    </w:div>
    <w:div w:id="1980720110">
      <w:marLeft w:val="0"/>
      <w:marRight w:val="0"/>
      <w:marTop w:val="0"/>
      <w:marBottom w:val="0"/>
      <w:divBdr>
        <w:top w:val="none" w:sz="0" w:space="0" w:color="auto"/>
        <w:left w:val="none" w:sz="0" w:space="0" w:color="auto"/>
        <w:bottom w:val="none" w:sz="0" w:space="0" w:color="auto"/>
        <w:right w:val="none" w:sz="0" w:space="0" w:color="auto"/>
      </w:divBdr>
    </w:div>
    <w:div w:id="1980720111">
      <w:marLeft w:val="0"/>
      <w:marRight w:val="0"/>
      <w:marTop w:val="0"/>
      <w:marBottom w:val="0"/>
      <w:divBdr>
        <w:top w:val="none" w:sz="0" w:space="0" w:color="auto"/>
        <w:left w:val="none" w:sz="0" w:space="0" w:color="auto"/>
        <w:bottom w:val="none" w:sz="0" w:space="0" w:color="auto"/>
        <w:right w:val="none" w:sz="0" w:space="0" w:color="auto"/>
      </w:divBdr>
    </w:div>
    <w:div w:id="1980720112">
      <w:marLeft w:val="0"/>
      <w:marRight w:val="0"/>
      <w:marTop w:val="0"/>
      <w:marBottom w:val="0"/>
      <w:divBdr>
        <w:top w:val="none" w:sz="0" w:space="0" w:color="auto"/>
        <w:left w:val="none" w:sz="0" w:space="0" w:color="auto"/>
        <w:bottom w:val="none" w:sz="0" w:space="0" w:color="auto"/>
        <w:right w:val="none" w:sz="0" w:space="0" w:color="auto"/>
      </w:divBdr>
    </w:div>
    <w:div w:id="1980720113">
      <w:marLeft w:val="0"/>
      <w:marRight w:val="0"/>
      <w:marTop w:val="0"/>
      <w:marBottom w:val="0"/>
      <w:divBdr>
        <w:top w:val="none" w:sz="0" w:space="0" w:color="auto"/>
        <w:left w:val="none" w:sz="0" w:space="0" w:color="auto"/>
        <w:bottom w:val="none" w:sz="0" w:space="0" w:color="auto"/>
        <w:right w:val="none" w:sz="0" w:space="0" w:color="auto"/>
      </w:divBdr>
      <w:divsChild>
        <w:div w:id="1980720108">
          <w:marLeft w:val="0"/>
          <w:marRight w:val="0"/>
          <w:marTop w:val="0"/>
          <w:marBottom w:val="0"/>
          <w:divBdr>
            <w:top w:val="none" w:sz="0" w:space="0" w:color="auto"/>
            <w:left w:val="none" w:sz="0" w:space="0" w:color="auto"/>
            <w:bottom w:val="none" w:sz="0" w:space="0" w:color="auto"/>
            <w:right w:val="none" w:sz="0" w:space="0" w:color="auto"/>
          </w:divBdr>
        </w:div>
        <w:div w:id="1980720114">
          <w:marLeft w:val="0"/>
          <w:marRight w:val="0"/>
          <w:marTop w:val="0"/>
          <w:marBottom w:val="0"/>
          <w:divBdr>
            <w:top w:val="none" w:sz="0" w:space="0" w:color="auto"/>
            <w:left w:val="none" w:sz="0" w:space="0" w:color="auto"/>
            <w:bottom w:val="none" w:sz="0" w:space="0" w:color="auto"/>
            <w:right w:val="none" w:sz="0" w:space="0" w:color="auto"/>
          </w:divBdr>
          <w:divsChild>
            <w:div w:id="19807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115">
      <w:marLeft w:val="0"/>
      <w:marRight w:val="0"/>
      <w:marTop w:val="0"/>
      <w:marBottom w:val="0"/>
      <w:divBdr>
        <w:top w:val="none" w:sz="0" w:space="0" w:color="auto"/>
        <w:left w:val="none" w:sz="0" w:space="0" w:color="auto"/>
        <w:bottom w:val="none" w:sz="0" w:space="0" w:color="auto"/>
        <w:right w:val="none" w:sz="0" w:space="0" w:color="auto"/>
      </w:divBdr>
    </w:div>
    <w:div w:id="1980720116">
      <w:marLeft w:val="0"/>
      <w:marRight w:val="0"/>
      <w:marTop w:val="0"/>
      <w:marBottom w:val="0"/>
      <w:divBdr>
        <w:top w:val="none" w:sz="0" w:space="0" w:color="auto"/>
        <w:left w:val="none" w:sz="0" w:space="0" w:color="auto"/>
        <w:bottom w:val="none" w:sz="0" w:space="0" w:color="auto"/>
        <w:right w:val="none" w:sz="0" w:space="0" w:color="auto"/>
      </w:divBdr>
    </w:div>
    <w:div w:id="1980720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tencingproject.org/doc/publications/rd_Changing%20Racial%20Dynamics%202013.pdf" TargetMode="External"/><Relationship Id="rId4" Type="http://schemas.microsoft.com/office/2007/relationships/stylesWithEffects" Target="stylesWithEffects.xml"/><Relationship Id="rId9" Type="http://schemas.openxmlformats.org/officeDocument/2006/relationships/hyperlink" Target="http://bjs.gov/content/pub/pdf/pptm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EEBC98-C9F2-4B7E-AC4B-2EE8D479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Graduate Feminist Methods</vt:lpstr>
    </vt:vector>
  </TitlesOfParts>
  <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Feminist Methods</dc:title>
  <dc:creator>Joanne.Belknap</dc:creator>
  <cp:lastModifiedBy>Joanne Elizabeth Belknap</cp:lastModifiedBy>
  <cp:revision>2</cp:revision>
  <cp:lastPrinted>2011-08-23T19:09:00Z</cp:lastPrinted>
  <dcterms:created xsi:type="dcterms:W3CDTF">2013-08-26T14:45:00Z</dcterms:created>
  <dcterms:modified xsi:type="dcterms:W3CDTF">2013-08-26T14:45:00Z</dcterms:modified>
</cp:coreProperties>
</file>