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F40AED2" w:rsidR="00DC379B" w:rsidRDefault="004356FC">
      <w:pPr>
        <w:pStyle w:val="Heading1"/>
        <w:keepNext w:val="0"/>
        <w:keepLines w:val="0"/>
        <w:shd w:val="clear" w:color="auto" w:fill="FFFFFF"/>
        <w:spacing w:before="0" w:after="0" w:line="312" w:lineRule="auto"/>
        <w:rPr>
          <w:rFonts w:ascii="Roboto" w:eastAsia="Roboto" w:hAnsi="Roboto" w:cs="Roboto"/>
          <w:b/>
          <w:color w:val="111111"/>
          <w:sz w:val="53"/>
          <w:szCs w:val="53"/>
        </w:rPr>
      </w:pPr>
      <w:r>
        <w:rPr>
          <w:rFonts w:ascii="Roboto" w:eastAsia="Roboto" w:hAnsi="Roboto" w:cs="Roboto"/>
          <w:b/>
          <w:color w:val="111111"/>
          <w:sz w:val="53"/>
          <w:szCs w:val="53"/>
        </w:rPr>
        <w:t>Helbert Garcia-Delgado - Project Profile</w:t>
      </w:r>
    </w:p>
    <w:p w14:paraId="7495B4DC" w14:textId="3C42B3F0" w:rsidR="00BF55F8" w:rsidRPr="00BF55F8" w:rsidRDefault="004356FC" w:rsidP="00BF55F8">
      <w:pPr>
        <w:pStyle w:val="Heading1"/>
        <w:keepNext w:val="0"/>
        <w:keepLines w:val="0"/>
        <w:shd w:val="clear" w:color="auto" w:fill="FFFFFF"/>
        <w:spacing w:before="0" w:after="0" w:line="312" w:lineRule="auto"/>
        <w:jc w:val="center"/>
        <w:rPr>
          <w:rFonts w:ascii="Roboto" w:eastAsia="Roboto" w:hAnsi="Roboto" w:cs="Roboto"/>
          <w:bCs/>
          <w:i/>
          <w:iCs/>
          <w:color w:val="111111"/>
          <w:sz w:val="32"/>
          <w:szCs w:val="32"/>
        </w:rPr>
      </w:pPr>
      <w:bookmarkStart w:id="0" w:name="_pyjdpf54asxe" w:colFirst="0" w:colLast="0"/>
      <w:bookmarkEnd w:id="0"/>
      <w:r w:rsidRPr="004356FC">
        <w:rPr>
          <w:rFonts w:ascii="Roboto" w:eastAsia="Roboto" w:hAnsi="Roboto" w:cs="Roboto"/>
          <w:bCs/>
          <w:i/>
          <w:iCs/>
          <w:color w:val="111111"/>
          <w:sz w:val="32"/>
          <w:szCs w:val="32"/>
        </w:rPr>
        <w:t xml:space="preserve">Quaternary sediment dynamics in the Northern Andes derived from </w:t>
      </w:r>
      <w:r w:rsidRPr="004356FC">
        <w:rPr>
          <w:rFonts w:ascii="Roboto" w:eastAsia="Roboto" w:hAnsi="Roboto" w:cs="Roboto"/>
          <w:bCs/>
          <w:i/>
          <w:iCs/>
          <w:color w:val="111111"/>
          <w:sz w:val="32"/>
          <w:szCs w:val="32"/>
          <w:vertAlign w:val="superscript"/>
        </w:rPr>
        <w:t>10</w:t>
      </w:r>
      <w:r w:rsidRPr="004356FC">
        <w:rPr>
          <w:rFonts w:ascii="Roboto" w:eastAsia="Roboto" w:hAnsi="Roboto" w:cs="Roboto"/>
          <w:bCs/>
          <w:i/>
          <w:iCs/>
          <w:color w:val="111111"/>
          <w:sz w:val="32"/>
          <w:szCs w:val="32"/>
        </w:rPr>
        <w:t>Be-</w:t>
      </w:r>
      <w:r w:rsidRPr="004356FC">
        <w:rPr>
          <w:rFonts w:ascii="Roboto" w:eastAsia="Roboto" w:hAnsi="Roboto" w:cs="Roboto"/>
          <w:bCs/>
          <w:i/>
          <w:iCs/>
          <w:color w:val="111111"/>
          <w:sz w:val="32"/>
          <w:szCs w:val="32"/>
          <w:vertAlign w:val="superscript"/>
        </w:rPr>
        <w:t>26</w:t>
      </w:r>
      <w:r w:rsidRPr="004356FC">
        <w:rPr>
          <w:rFonts w:ascii="Roboto" w:eastAsia="Roboto" w:hAnsi="Roboto" w:cs="Roboto"/>
          <w:bCs/>
          <w:i/>
          <w:iCs/>
          <w:color w:val="111111"/>
          <w:sz w:val="32"/>
          <w:szCs w:val="32"/>
        </w:rPr>
        <w:t>Al burial dating</w:t>
      </w:r>
    </w:p>
    <w:p w14:paraId="00000002" w14:textId="1D1D47A9" w:rsidR="00DC379B" w:rsidRDefault="00000000">
      <w:pPr>
        <w:pStyle w:val="Heading1"/>
        <w:keepNext w:val="0"/>
        <w:keepLines w:val="0"/>
        <w:shd w:val="clear" w:color="auto" w:fill="FFFFFF"/>
        <w:spacing w:before="0" w:after="0" w:line="312" w:lineRule="auto"/>
        <w:rPr>
          <w:rFonts w:ascii="Roboto" w:eastAsia="Roboto" w:hAnsi="Roboto" w:cs="Roboto"/>
          <w:i/>
          <w:color w:val="111111"/>
          <w:sz w:val="24"/>
          <w:szCs w:val="24"/>
        </w:rPr>
      </w:pPr>
      <w:r>
        <w:rPr>
          <w:rFonts w:ascii="Roboto" w:eastAsia="Roboto" w:hAnsi="Roboto" w:cs="Roboto"/>
          <w:b/>
          <w:color w:val="111111"/>
          <w:sz w:val="24"/>
          <w:szCs w:val="24"/>
        </w:rPr>
        <w:t>2023 AGeS-Grad awardee</w:t>
      </w:r>
      <w:r>
        <w:rPr>
          <w:rFonts w:ascii="Roboto" w:eastAsia="Roboto" w:hAnsi="Roboto" w:cs="Roboto"/>
          <w:b/>
          <w:color w:val="111111"/>
          <w:sz w:val="24"/>
          <w:szCs w:val="24"/>
        </w:rPr>
        <w:br/>
        <w:t xml:space="preserve">Lab: </w:t>
      </w:r>
      <w:r w:rsidR="004356FC" w:rsidRPr="004356FC">
        <w:rPr>
          <w:rFonts w:ascii="Roboto" w:eastAsia="Roboto" w:hAnsi="Roboto" w:cs="Roboto"/>
          <w:i/>
          <w:color w:val="111111"/>
          <w:sz w:val="24"/>
          <w:szCs w:val="24"/>
        </w:rPr>
        <w:t>NSF/UVM Community Cosmogenic Facility</w:t>
      </w:r>
      <w:r>
        <w:rPr>
          <w:rFonts w:ascii="Roboto" w:eastAsia="Roboto" w:hAnsi="Roboto" w:cs="Roboto"/>
          <w:b/>
          <w:color w:val="111111"/>
          <w:sz w:val="24"/>
          <w:szCs w:val="24"/>
        </w:rPr>
        <w:br/>
        <w:t xml:space="preserve">Lab Mentors: </w:t>
      </w:r>
      <w:r w:rsidR="004356FC">
        <w:rPr>
          <w:rFonts w:ascii="Roboto" w:eastAsia="Roboto" w:hAnsi="Roboto" w:cs="Roboto"/>
          <w:i/>
          <w:color w:val="111111"/>
          <w:sz w:val="24"/>
          <w:szCs w:val="24"/>
        </w:rPr>
        <w:t>Dr Lee Corbett, Dr Paul Bierman</w:t>
      </w:r>
    </w:p>
    <w:p w14:paraId="00000003" w14:textId="77777777" w:rsidR="00DC379B" w:rsidRDefault="00DC379B">
      <w:pPr>
        <w:spacing w:line="312" w:lineRule="auto"/>
        <w:rPr>
          <w:rFonts w:ascii="Roboto" w:eastAsia="Roboto" w:hAnsi="Roboto" w:cs="Roboto"/>
        </w:rPr>
      </w:pPr>
    </w:p>
    <w:p w14:paraId="72BF49FF" w14:textId="1E2AF6D5" w:rsidR="009F37F0" w:rsidRPr="009F37F0" w:rsidRDefault="00000000" w:rsidP="009F37F0">
      <w:pPr>
        <w:spacing w:line="312" w:lineRule="auto"/>
        <w:jc w:val="both"/>
        <w:rPr>
          <w:rFonts w:ascii="Roboto" w:eastAsia="Roboto" w:hAnsi="Roboto" w:cs="Roboto"/>
          <w:iCs/>
          <w:color w:val="111111"/>
          <w:sz w:val="24"/>
          <w:szCs w:val="24"/>
        </w:rPr>
      </w:pPr>
      <w:r>
        <w:rPr>
          <w:rFonts w:ascii="Roboto" w:eastAsia="Roboto" w:hAnsi="Roboto" w:cs="Roboto"/>
          <w:b/>
          <w:color w:val="111111"/>
          <w:sz w:val="24"/>
          <w:szCs w:val="24"/>
        </w:rPr>
        <w:t xml:space="preserve">What scientific question(s) does your research address and what motivates this work? </w:t>
      </w:r>
      <w:r w:rsidR="009F37F0" w:rsidRPr="009F37F0">
        <w:rPr>
          <w:rFonts w:ascii="Roboto" w:eastAsia="Roboto" w:hAnsi="Roboto" w:cs="Roboto"/>
          <w:iCs/>
          <w:color w:val="111111"/>
          <w:sz w:val="24"/>
          <w:szCs w:val="24"/>
        </w:rPr>
        <w:t>In mountainous regions, sediment dynamics play a vital role in shaping landscape evolution. However, th</w:t>
      </w:r>
      <w:r w:rsidR="009F37F0">
        <w:rPr>
          <w:rFonts w:ascii="Roboto" w:eastAsia="Roboto" w:hAnsi="Roboto" w:cs="Roboto"/>
          <w:iCs/>
          <w:color w:val="111111"/>
          <w:sz w:val="24"/>
          <w:szCs w:val="24"/>
        </w:rPr>
        <w:t>ese</w:t>
      </w:r>
      <w:r w:rsidR="009F37F0" w:rsidRPr="009F37F0">
        <w:rPr>
          <w:rFonts w:ascii="Roboto" w:eastAsia="Roboto" w:hAnsi="Roboto" w:cs="Roboto"/>
          <w:iCs/>
          <w:color w:val="111111"/>
          <w:sz w:val="24"/>
          <w:szCs w:val="24"/>
        </w:rPr>
        <w:t xml:space="preserve"> process</w:t>
      </w:r>
      <w:r w:rsidR="009F37F0">
        <w:rPr>
          <w:rFonts w:ascii="Roboto" w:eastAsia="Roboto" w:hAnsi="Roboto" w:cs="Roboto"/>
          <w:iCs/>
          <w:color w:val="111111"/>
          <w:sz w:val="24"/>
          <w:szCs w:val="24"/>
        </w:rPr>
        <w:t>es</w:t>
      </w:r>
      <w:r w:rsidR="009F37F0" w:rsidRPr="009F37F0">
        <w:rPr>
          <w:rFonts w:ascii="Roboto" w:eastAsia="Roboto" w:hAnsi="Roboto" w:cs="Roboto"/>
          <w:iCs/>
          <w:color w:val="111111"/>
          <w:sz w:val="24"/>
          <w:szCs w:val="24"/>
        </w:rPr>
        <w:t xml:space="preserve"> </w:t>
      </w:r>
      <w:r w:rsidR="009F37F0">
        <w:rPr>
          <w:rFonts w:ascii="Roboto" w:eastAsia="Roboto" w:hAnsi="Roboto" w:cs="Roboto"/>
          <w:iCs/>
          <w:color w:val="111111"/>
          <w:sz w:val="24"/>
          <w:szCs w:val="24"/>
        </w:rPr>
        <w:t>are</w:t>
      </w:r>
      <w:r w:rsidR="009F37F0" w:rsidRPr="009F37F0">
        <w:rPr>
          <w:rFonts w:ascii="Roboto" w:eastAsia="Roboto" w:hAnsi="Roboto" w:cs="Roboto"/>
          <w:iCs/>
          <w:color w:val="111111"/>
          <w:sz w:val="24"/>
          <w:szCs w:val="24"/>
        </w:rPr>
        <w:t xml:space="preserve"> frequently understudied in data-limited tropical environments, where challenging climatic conditions prevail. This project aims to construct a robust chronological framework of deposition and erosion from a </w:t>
      </w:r>
      <w:r w:rsidR="009F37F0">
        <w:rPr>
          <w:rFonts w:ascii="Roboto" w:eastAsia="Roboto" w:hAnsi="Roboto" w:cs="Roboto"/>
          <w:iCs/>
          <w:color w:val="111111"/>
          <w:sz w:val="24"/>
          <w:szCs w:val="24"/>
        </w:rPr>
        <w:t>massive</w:t>
      </w:r>
      <w:r w:rsidR="009F37F0" w:rsidRPr="009F37F0">
        <w:rPr>
          <w:rFonts w:ascii="Roboto" w:eastAsia="Roboto" w:hAnsi="Roboto" w:cs="Roboto"/>
          <w:iCs/>
          <w:color w:val="111111"/>
          <w:sz w:val="24"/>
          <w:szCs w:val="24"/>
        </w:rPr>
        <w:t xml:space="preserve"> 300-meter-thick alluvial fill in the Northern Andes of Colombia. Our research is guided by the following questions: How have tropical mountain rivers responded to climatic shifts? And to what extent has sediment dynamics been influenced by precipitation changes associated with glacial and interglacial periods?</w:t>
      </w:r>
    </w:p>
    <w:p w14:paraId="2F86B240" w14:textId="77777777" w:rsidR="009F37F0" w:rsidRPr="009F37F0" w:rsidRDefault="009F37F0" w:rsidP="009F37F0">
      <w:pPr>
        <w:spacing w:line="312" w:lineRule="auto"/>
        <w:jc w:val="both"/>
        <w:rPr>
          <w:rFonts w:ascii="Roboto" w:eastAsia="Roboto" w:hAnsi="Roboto" w:cs="Roboto"/>
          <w:iCs/>
          <w:color w:val="111111"/>
          <w:sz w:val="24"/>
          <w:szCs w:val="24"/>
        </w:rPr>
      </w:pPr>
    </w:p>
    <w:p w14:paraId="00000005" w14:textId="4A5E7485" w:rsidR="00DC379B" w:rsidRDefault="009F37F0" w:rsidP="009F37F0">
      <w:pPr>
        <w:spacing w:line="312" w:lineRule="auto"/>
        <w:jc w:val="both"/>
        <w:rPr>
          <w:rFonts w:ascii="Roboto" w:eastAsia="Roboto" w:hAnsi="Roboto" w:cs="Roboto"/>
          <w:iCs/>
          <w:color w:val="111111"/>
          <w:sz w:val="24"/>
          <w:szCs w:val="24"/>
        </w:rPr>
      </w:pPr>
      <w:r w:rsidRPr="009F37F0">
        <w:rPr>
          <w:rFonts w:ascii="Roboto" w:eastAsia="Roboto" w:hAnsi="Roboto" w:cs="Roboto"/>
          <w:iCs/>
          <w:color w:val="111111"/>
          <w:sz w:val="24"/>
          <w:szCs w:val="24"/>
        </w:rPr>
        <w:t xml:space="preserve">The motivation behind this study stems from the hypothesis that climate exerts </w:t>
      </w:r>
      <w:r w:rsidRPr="009F37F0">
        <w:rPr>
          <w:rFonts w:ascii="Roboto" w:eastAsia="Roboto" w:hAnsi="Roboto" w:cs="Roboto"/>
          <w:iCs/>
          <w:color w:val="111111"/>
          <w:sz w:val="24"/>
          <w:szCs w:val="24"/>
        </w:rPr>
        <w:t>significant</w:t>
      </w:r>
      <w:r w:rsidRPr="009F37F0">
        <w:rPr>
          <w:rFonts w:ascii="Roboto" w:eastAsia="Roboto" w:hAnsi="Roboto" w:cs="Roboto"/>
          <w:iCs/>
          <w:color w:val="111111"/>
          <w:sz w:val="24"/>
          <w:szCs w:val="24"/>
        </w:rPr>
        <w:t xml:space="preserve"> control on sediment processes. If this hypothesis holds true, it </w:t>
      </w:r>
      <w:r w:rsidRPr="009F37F0">
        <w:rPr>
          <w:rFonts w:ascii="Roboto" w:eastAsia="Roboto" w:hAnsi="Roboto" w:cs="Roboto"/>
          <w:iCs/>
          <w:color w:val="111111"/>
          <w:sz w:val="24"/>
          <w:szCs w:val="24"/>
        </w:rPr>
        <w:t>conveys</w:t>
      </w:r>
      <w:r w:rsidRPr="009F37F0">
        <w:rPr>
          <w:rFonts w:ascii="Roboto" w:eastAsia="Roboto" w:hAnsi="Roboto" w:cs="Roboto"/>
          <w:iCs/>
          <w:color w:val="111111"/>
          <w:sz w:val="24"/>
          <w:szCs w:val="24"/>
        </w:rPr>
        <w:t xml:space="preserve"> important implications: (1) projected increases in tropical rainfall due to ongoing climate change may intensify river discharge, altering hydrological regimes; and (2) increased material flux from hillslopes could </w:t>
      </w:r>
      <w:r>
        <w:rPr>
          <w:rFonts w:ascii="Roboto" w:eastAsia="Roboto" w:hAnsi="Roboto" w:cs="Roboto"/>
          <w:iCs/>
          <w:color w:val="111111"/>
          <w:sz w:val="24"/>
          <w:szCs w:val="24"/>
        </w:rPr>
        <w:t>modify</w:t>
      </w:r>
      <w:r w:rsidRPr="009F37F0">
        <w:rPr>
          <w:rFonts w:ascii="Roboto" w:eastAsia="Roboto" w:hAnsi="Roboto" w:cs="Roboto"/>
          <w:iCs/>
          <w:color w:val="111111"/>
          <w:sz w:val="24"/>
          <w:szCs w:val="24"/>
        </w:rPr>
        <w:t xml:space="preserve"> sediment dynamics, strengthening the connection between climate change and natural hazards. Enhanced denudation driven </w:t>
      </w:r>
      <w:r>
        <w:rPr>
          <w:rFonts w:ascii="Roboto" w:eastAsia="Roboto" w:hAnsi="Roboto" w:cs="Roboto"/>
          <w:iCs/>
          <w:color w:val="111111"/>
          <w:sz w:val="24"/>
          <w:szCs w:val="24"/>
        </w:rPr>
        <w:t>by storms</w:t>
      </w:r>
      <w:r w:rsidRPr="009F37F0">
        <w:rPr>
          <w:rFonts w:ascii="Roboto" w:eastAsia="Roboto" w:hAnsi="Roboto" w:cs="Roboto"/>
          <w:iCs/>
          <w:color w:val="111111"/>
          <w:sz w:val="24"/>
          <w:szCs w:val="24"/>
        </w:rPr>
        <w:t xml:space="preserve"> may increase both the frequency and magnitude of landslides and channelized flows. Such changes could escalate risks for vulnerable communities in a region already prone to hillslope-related hazards.</w:t>
      </w:r>
    </w:p>
    <w:p w14:paraId="1A6A2365" w14:textId="77777777" w:rsidR="001107EB" w:rsidRDefault="001107EB" w:rsidP="009F37F0">
      <w:pPr>
        <w:spacing w:line="312" w:lineRule="auto"/>
        <w:jc w:val="both"/>
        <w:rPr>
          <w:rFonts w:ascii="Roboto" w:eastAsia="Roboto" w:hAnsi="Roboto" w:cs="Roboto"/>
          <w:iCs/>
          <w:color w:val="111111"/>
          <w:sz w:val="24"/>
          <w:szCs w:val="24"/>
        </w:rPr>
      </w:pPr>
    </w:p>
    <w:p w14:paraId="4CFAF277" w14:textId="181F6844" w:rsidR="001107EB" w:rsidRPr="001107EB" w:rsidRDefault="001107EB" w:rsidP="009F37F0">
      <w:pPr>
        <w:spacing w:line="312" w:lineRule="auto"/>
        <w:jc w:val="both"/>
        <w:rPr>
          <w:rFonts w:ascii="Roboto" w:eastAsia="Roboto" w:hAnsi="Roboto" w:cs="Roboto"/>
          <w:i/>
          <w:iCs/>
          <w:color w:val="4F81BD" w:themeColor="accent1"/>
          <w:sz w:val="24"/>
          <w:szCs w:val="24"/>
        </w:rPr>
      </w:pPr>
      <w:r w:rsidRPr="001107EB">
        <w:rPr>
          <w:rFonts w:ascii="Roboto" w:eastAsia="Roboto" w:hAnsi="Roboto" w:cs="Roboto"/>
          <w:i/>
          <w:iCs/>
          <w:noProof/>
          <w:color w:val="4F81BD" w:themeColor="accent1"/>
          <w:sz w:val="24"/>
          <w:szCs w:val="24"/>
        </w:rPr>
        <w:lastRenderedPageBreak/>
        <w:drawing>
          <wp:anchor distT="0" distB="0" distL="114300" distR="114300" simplePos="0" relativeHeight="251658240" behindDoc="0" locked="0" layoutInCell="1" allowOverlap="1" wp14:anchorId="4BACB907" wp14:editId="4D70210C">
            <wp:simplePos x="0" y="0"/>
            <wp:positionH relativeFrom="margin">
              <wp:align>left</wp:align>
            </wp:positionH>
            <wp:positionV relativeFrom="paragraph">
              <wp:posOffset>0</wp:posOffset>
            </wp:positionV>
            <wp:extent cx="4403090" cy="2374265"/>
            <wp:effectExtent l="0" t="0" r="0" b="6985"/>
            <wp:wrapTopAndBottom/>
            <wp:docPr id="2335970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3090" cy="2374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7EB">
        <w:rPr>
          <w:rFonts w:ascii="Roboto" w:eastAsia="Roboto" w:hAnsi="Roboto" w:cs="Roboto"/>
          <w:i/>
          <w:iCs/>
          <w:color w:val="4F81BD" w:themeColor="accent1"/>
          <w:sz w:val="24"/>
          <w:szCs w:val="24"/>
        </w:rPr>
        <w:t xml:space="preserve">Figure 1 </w:t>
      </w:r>
      <w:r>
        <w:rPr>
          <w:rFonts w:ascii="Roboto" w:eastAsia="Roboto" w:hAnsi="Roboto" w:cs="Roboto"/>
          <w:i/>
          <w:iCs/>
          <w:color w:val="4F81BD" w:themeColor="accent1"/>
          <w:sz w:val="24"/>
          <w:szCs w:val="24"/>
        </w:rPr>
        <w:t>Panoramic and detailed view of sampled sedimentary deposits in the Northern Andes of Colombia.</w:t>
      </w:r>
      <w:r w:rsidRPr="001107EB">
        <w:rPr>
          <w:rFonts w:ascii="Roboto" w:eastAsia="Roboto" w:hAnsi="Roboto" w:cs="Roboto"/>
          <w:i/>
          <w:iCs/>
          <w:color w:val="4F81BD" w:themeColor="accent1"/>
          <w:sz w:val="24"/>
          <w:szCs w:val="24"/>
        </w:rPr>
        <w:t xml:space="preserve"> </w:t>
      </w:r>
    </w:p>
    <w:p w14:paraId="00000008" w14:textId="77777777" w:rsidR="00DC379B" w:rsidRDefault="00DC379B">
      <w:pPr>
        <w:spacing w:line="312" w:lineRule="auto"/>
        <w:rPr>
          <w:rFonts w:ascii="Roboto" w:eastAsia="Roboto" w:hAnsi="Roboto" w:cs="Roboto"/>
          <w:color w:val="111111"/>
          <w:sz w:val="24"/>
          <w:szCs w:val="24"/>
        </w:rPr>
      </w:pPr>
    </w:p>
    <w:p w14:paraId="00000009" w14:textId="0752E967" w:rsidR="00DC379B" w:rsidRDefault="00000000">
      <w:pPr>
        <w:spacing w:line="312" w:lineRule="auto"/>
        <w:rPr>
          <w:rFonts w:ascii="Roboto" w:eastAsia="Roboto" w:hAnsi="Roboto" w:cs="Roboto"/>
          <w:i/>
          <w:color w:val="111111"/>
          <w:sz w:val="24"/>
          <w:szCs w:val="24"/>
        </w:rPr>
      </w:pPr>
      <w:r>
        <w:rPr>
          <w:rFonts w:ascii="Roboto" w:eastAsia="Roboto" w:hAnsi="Roboto" w:cs="Roboto"/>
          <w:b/>
          <w:color w:val="111111"/>
          <w:sz w:val="24"/>
          <w:szCs w:val="24"/>
        </w:rPr>
        <w:t xml:space="preserve">What chronometric tool did you employ and why? </w:t>
      </w:r>
    </w:p>
    <w:p w14:paraId="0000000B" w14:textId="3F52D569" w:rsidR="00DC379B" w:rsidRDefault="00FA4C03" w:rsidP="00FA4C03">
      <w:pPr>
        <w:spacing w:line="312" w:lineRule="auto"/>
        <w:jc w:val="both"/>
        <w:rPr>
          <w:rFonts w:ascii="Roboto" w:eastAsia="Roboto" w:hAnsi="Roboto" w:cs="Roboto"/>
          <w:color w:val="111111"/>
          <w:sz w:val="24"/>
          <w:szCs w:val="24"/>
        </w:rPr>
      </w:pPr>
      <w:r w:rsidRPr="00FA4C03">
        <w:rPr>
          <w:rFonts w:ascii="Roboto" w:eastAsia="Roboto" w:hAnsi="Roboto" w:cs="Roboto"/>
          <w:color w:val="111111"/>
          <w:sz w:val="24"/>
          <w:szCs w:val="24"/>
        </w:rPr>
        <w:t xml:space="preserve">For this project, we applied a specific technique within the broader use of cosmogenic nuclides in geomorphology: burial dating. This method leverages the radioactive decay of cosmogenic isotopes—produced by secondary cosmic rays in rocks or sediments exposed at or near the Earth's surface—that are subsequently buried and shielded from further nuclide production. A key advantage of burial dating is its ability to provide both the burial age and the pre-burial erosion rate, as determining the time of burial also yields the initial concentrations of </w:t>
      </w:r>
      <w:r w:rsidRPr="00FA4C03">
        <w:rPr>
          <w:rFonts w:ascii="Roboto" w:eastAsia="Roboto" w:hAnsi="Roboto" w:cs="Roboto"/>
          <w:color w:val="111111"/>
          <w:sz w:val="24"/>
          <w:szCs w:val="24"/>
          <w:vertAlign w:val="superscript"/>
        </w:rPr>
        <w:t>10</w:t>
      </w:r>
      <w:r w:rsidRPr="00FA4C03">
        <w:rPr>
          <w:rFonts w:ascii="Roboto" w:eastAsia="Roboto" w:hAnsi="Roboto" w:cs="Roboto"/>
          <w:color w:val="111111"/>
          <w:sz w:val="24"/>
          <w:szCs w:val="24"/>
        </w:rPr>
        <w:t xml:space="preserve">Be and </w:t>
      </w:r>
      <w:r w:rsidRPr="00FA4C03">
        <w:rPr>
          <w:rFonts w:ascii="Roboto" w:eastAsia="Roboto" w:hAnsi="Roboto" w:cs="Roboto"/>
          <w:color w:val="111111"/>
          <w:sz w:val="24"/>
          <w:szCs w:val="24"/>
          <w:vertAlign w:val="superscript"/>
        </w:rPr>
        <w:t>26</w:t>
      </w:r>
      <w:r w:rsidRPr="00FA4C03">
        <w:rPr>
          <w:rFonts w:ascii="Roboto" w:eastAsia="Roboto" w:hAnsi="Roboto" w:cs="Roboto"/>
          <w:color w:val="111111"/>
          <w:sz w:val="24"/>
          <w:szCs w:val="24"/>
        </w:rPr>
        <w:t xml:space="preserve">Al. This </w:t>
      </w:r>
      <w:r w:rsidRPr="00FA4C03">
        <w:rPr>
          <w:rFonts w:ascii="Roboto" w:eastAsia="Roboto" w:hAnsi="Roboto" w:cs="Roboto"/>
          <w:color w:val="111111"/>
          <w:sz w:val="24"/>
          <w:szCs w:val="24"/>
        </w:rPr>
        <w:t>allowed</w:t>
      </w:r>
      <w:r w:rsidRPr="00FA4C03">
        <w:rPr>
          <w:rFonts w:ascii="Roboto" w:eastAsia="Roboto" w:hAnsi="Roboto" w:cs="Roboto"/>
          <w:color w:val="111111"/>
          <w:sz w:val="24"/>
          <w:szCs w:val="24"/>
        </w:rPr>
        <w:t xml:space="preserve"> us to infer erosion rates in the adjacent hinterland at the time of sediment deposition. The </w:t>
      </w:r>
      <w:r w:rsidRPr="00FA4C03">
        <w:rPr>
          <w:rFonts w:ascii="Roboto" w:eastAsia="Roboto" w:hAnsi="Roboto" w:cs="Roboto"/>
          <w:color w:val="111111"/>
          <w:sz w:val="24"/>
          <w:szCs w:val="24"/>
          <w:vertAlign w:val="superscript"/>
        </w:rPr>
        <w:t>10</w:t>
      </w:r>
      <w:r w:rsidRPr="00FA4C03">
        <w:rPr>
          <w:rFonts w:ascii="Roboto" w:eastAsia="Roboto" w:hAnsi="Roboto" w:cs="Roboto"/>
          <w:color w:val="111111"/>
          <w:sz w:val="24"/>
          <w:szCs w:val="24"/>
        </w:rPr>
        <w:t xml:space="preserve">Be and </w:t>
      </w:r>
      <w:r w:rsidRPr="00FA4C03">
        <w:rPr>
          <w:rFonts w:ascii="Roboto" w:eastAsia="Roboto" w:hAnsi="Roboto" w:cs="Roboto"/>
          <w:color w:val="111111"/>
          <w:sz w:val="24"/>
          <w:szCs w:val="24"/>
          <w:vertAlign w:val="superscript"/>
        </w:rPr>
        <w:t>26</w:t>
      </w:r>
      <w:r w:rsidRPr="00FA4C03">
        <w:rPr>
          <w:rFonts w:ascii="Roboto" w:eastAsia="Roboto" w:hAnsi="Roboto" w:cs="Roboto"/>
          <w:color w:val="111111"/>
          <w:sz w:val="24"/>
          <w:szCs w:val="24"/>
        </w:rPr>
        <w:t>Al</w:t>
      </w:r>
      <w:r w:rsidRPr="00FA4C03">
        <w:rPr>
          <w:rFonts w:ascii="Roboto" w:eastAsia="Roboto" w:hAnsi="Roboto" w:cs="Roboto"/>
          <w:color w:val="111111"/>
          <w:sz w:val="24"/>
          <w:szCs w:val="24"/>
        </w:rPr>
        <w:t xml:space="preserve"> </w:t>
      </w:r>
      <w:r w:rsidRPr="00FA4C03">
        <w:rPr>
          <w:rFonts w:ascii="Roboto" w:eastAsia="Roboto" w:hAnsi="Roboto" w:cs="Roboto"/>
          <w:color w:val="111111"/>
          <w:sz w:val="24"/>
          <w:szCs w:val="24"/>
        </w:rPr>
        <w:t>nuclide pair has proven to be a robust tool for investigating the interplay of climate and tectonics on sediment dynamics, particularly in deposits older than 200,000 years. Accordingly, the new burial age data were compared with paleoclimatic records to explore potential links between sedimentary processes and environmental drivers, such as glacial-interglacial cycles.</w:t>
      </w:r>
    </w:p>
    <w:p w14:paraId="0F965EEE" w14:textId="6962C15D" w:rsidR="001107EB" w:rsidRDefault="001107EB" w:rsidP="006F26CC">
      <w:pPr>
        <w:spacing w:line="312" w:lineRule="auto"/>
        <w:jc w:val="center"/>
        <w:rPr>
          <w:rFonts w:ascii="Roboto" w:eastAsia="Roboto" w:hAnsi="Roboto" w:cs="Roboto"/>
          <w:color w:val="111111"/>
          <w:sz w:val="24"/>
          <w:szCs w:val="24"/>
        </w:rPr>
      </w:pPr>
      <w:r>
        <w:rPr>
          <w:rFonts w:ascii="Roboto" w:eastAsia="Roboto" w:hAnsi="Roboto" w:cs="Roboto"/>
          <w:noProof/>
          <w:color w:val="111111"/>
          <w:sz w:val="24"/>
          <w:szCs w:val="24"/>
        </w:rPr>
        <w:lastRenderedPageBreak/>
        <w:drawing>
          <wp:inline distT="0" distB="0" distL="0" distR="0" wp14:anchorId="7ACDD995" wp14:editId="19D64DB7">
            <wp:extent cx="4781851" cy="3583959"/>
            <wp:effectExtent l="19050" t="19050" r="19050" b="16510"/>
            <wp:docPr id="163891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6130" cy="3587166"/>
                    </a:xfrm>
                    <a:prstGeom prst="rect">
                      <a:avLst/>
                    </a:prstGeom>
                    <a:noFill/>
                    <a:ln>
                      <a:solidFill>
                        <a:schemeClr val="tx1"/>
                      </a:solidFill>
                    </a:ln>
                  </pic:spPr>
                </pic:pic>
              </a:graphicData>
            </a:graphic>
          </wp:inline>
        </w:drawing>
      </w:r>
    </w:p>
    <w:p w14:paraId="04BC59DF" w14:textId="1DA366DF" w:rsidR="001107EB" w:rsidRPr="006F26CC" w:rsidRDefault="001107EB" w:rsidP="00FA4C03">
      <w:pPr>
        <w:spacing w:line="312" w:lineRule="auto"/>
        <w:jc w:val="both"/>
        <w:rPr>
          <w:rFonts w:ascii="Roboto" w:eastAsia="Roboto" w:hAnsi="Roboto" w:cs="Roboto"/>
          <w:i/>
          <w:iCs/>
          <w:color w:val="4F81BD" w:themeColor="accent1"/>
          <w:sz w:val="24"/>
          <w:szCs w:val="24"/>
        </w:rPr>
      </w:pPr>
      <w:r w:rsidRPr="006F26CC">
        <w:rPr>
          <w:rFonts w:ascii="Roboto" w:eastAsia="Roboto" w:hAnsi="Roboto" w:cs="Roboto"/>
          <w:i/>
          <w:iCs/>
          <w:color w:val="4F81BD" w:themeColor="accent1"/>
          <w:sz w:val="24"/>
          <w:szCs w:val="24"/>
        </w:rPr>
        <w:t xml:space="preserve">Figure 2. </w:t>
      </w:r>
      <w:r w:rsidR="006F26CC" w:rsidRPr="006F26CC">
        <w:rPr>
          <w:rFonts w:ascii="Roboto" w:eastAsia="Roboto" w:hAnsi="Roboto" w:cs="Roboto"/>
          <w:i/>
          <w:iCs/>
          <w:color w:val="4F81BD" w:themeColor="accent1"/>
          <w:sz w:val="24"/>
          <w:szCs w:val="24"/>
        </w:rPr>
        <w:t>Sample</w:t>
      </w:r>
      <w:r w:rsidR="006F26CC">
        <w:rPr>
          <w:rFonts w:ascii="Roboto" w:eastAsia="Roboto" w:hAnsi="Roboto" w:cs="Roboto"/>
          <w:i/>
          <w:iCs/>
          <w:color w:val="4F81BD" w:themeColor="accent1"/>
          <w:sz w:val="24"/>
          <w:szCs w:val="24"/>
        </w:rPr>
        <w:t>s</w:t>
      </w:r>
      <w:r w:rsidR="006F26CC" w:rsidRPr="006F26CC">
        <w:rPr>
          <w:rFonts w:ascii="Roboto" w:eastAsia="Roboto" w:hAnsi="Roboto" w:cs="Roboto"/>
          <w:i/>
          <w:iCs/>
          <w:color w:val="4F81BD" w:themeColor="accent1"/>
          <w:sz w:val="24"/>
          <w:szCs w:val="24"/>
        </w:rPr>
        <w:t xml:space="preserve"> preparation for ion chromatograph</w:t>
      </w:r>
      <w:r w:rsidR="006F26CC">
        <w:rPr>
          <w:rFonts w:ascii="Roboto" w:eastAsia="Roboto" w:hAnsi="Roboto" w:cs="Roboto"/>
          <w:i/>
          <w:iCs/>
          <w:color w:val="4F81BD" w:themeColor="accent1"/>
          <w:sz w:val="24"/>
          <w:szCs w:val="24"/>
        </w:rPr>
        <w:t>y</w:t>
      </w:r>
      <w:r w:rsidR="006F26CC" w:rsidRPr="006F26CC">
        <w:rPr>
          <w:rFonts w:ascii="Roboto" w:eastAsia="Roboto" w:hAnsi="Roboto" w:cs="Roboto"/>
          <w:i/>
          <w:iCs/>
          <w:color w:val="4F81BD" w:themeColor="accent1"/>
          <w:sz w:val="24"/>
          <w:szCs w:val="24"/>
        </w:rPr>
        <w:t xml:space="preserve"> at the </w:t>
      </w:r>
      <w:r w:rsidR="006F26CC" w:rsidRPr="006F26CC">
        <w:rPr>
          <w:rFonts w:ascii="Roboto" w:eastAsia="Roboto" w:hAnsi="Roboto" w:cs="Roboto"/>
          <w:i/>
          <w:iCs/>
          <w:color w:val="4F81BD" w:themeColor="accent1"/>
          <w:sz w:val="24"/>
          <w:szCs w:val="24"/>
        </w:rPr>
        <w:t>NSF/UVM Community Cosmogenic Facility</w:t>
      </w:r>
      <w:r w:rsidR="006F26CC">
        <w:rPr>
          <w:rFonts w:ascii="Roboto" w:eastAsia="Roboto" w:hAnsi="Roboto" w:cs="Roboto"/>
          <w:i/>
          <w:iCs/>
          <w:color w:val="4F81BD" w:themeColor="accent1"/>
          <w:sz w:val="24"/>
          <w:szCs w:val="24"/>
        </w:rPr>
        <w:t>.</w:t>
      </w:r>
    </w:p>
    <w:p w14:paraId="32AA59E5" w14:textId="77777777" w:rsidR="00FA4C03" w:rsidRDefault="00FA4C03" w:rsidP="00FA4C03">
      <w:pPr>
        <w:spacing w:line="312" w:lineRule="auto"/>
        <w:jc w:val="both"/>
        <w:rPr>
          <w:rFonts w:ascii="Roboto" w:eastAsia="Roboto" w:hAnsi="Roboto" w:cs="Roboto"/>
          <w:color w:val="111111"/>
          <w:sz w:val="24"/>
          <w:szCs w:val="24"/>
        </w:rPr>
      </w:pPr>
    </w:p>
    <w:p w14:paraId="0000000C" w14:textId="26ABC1E9" w:rsidR="00DC379B" w:rsidRDefault="00000000">
      <w:pPr>
        <w:spacing w:line="312" w:lineRule="auto"/>
        <w:rPr>
          <w:rFonts w:ascii="Roboto" w:eastAsia="Roboto" w:hAnsi="Roboto" w:cs="Roboto"/>
          <w:i/>
          <w:color w:val="111111"/>
          <w:sz w:val="24"/>
          <w:szCs w:val="24"/>
        </w:rPr>
      </w:pPr>
      <w:r>
        <w:rPr>
          <w:rFonts w:ascii="Roboto" w:eastAsia="Roboto" w:hAnsi="Roboto" w:cs="Roboto"/>
          <w:b/>
          <w:color w:val="111111"/>
          <w:sz w:val="24"/>
          <w:szCs w:val="24"/>
        </w:rPr>
        <w:t xml:space="preserve">What were some of the key takeaways of your research? </w:t>
      </w:r>
    </w:p>
    <w:p w14:paraId="0000000D" w14:textId="3C881A75" w:rsidR="00DC379B" w:rsidRDefault="006052EB" w:rsidP="00243F89">
      <w:pPr>
        <w:pStyle w:val="ListParagraph"/>
        <w:numPr>
          <w:ilvl w:val="0"/>
          <w:numId w:val="3"/>
        </w:numPr>
        <w:spacing w:line="312" w:lineRule="auto"/>
        <w:jc w:val="both"/>
        <w:rPr>
          <w:rFonts w:ascii="Roboto" w:eastAsia="Roboto" w:hAnsi="Roboto" w:cs="Roboto"/>
          <w:color w:val="111111"/>
          <w:sz w:val="24"/>
          <w:szCs w:val="24"/>
        </w:rPr>
      </w:pPr>
      <w:r w:rsidRPr="006052EB">
        <w:rPr>
          <w:rFonts w:ascii="Roboto" w:eastAsia="Roboto" w:hAnsi="Roboto" w:cs="Roboto"/>
          <w:color w:val="111111"/>
          <w:sz w:val="24"/>
          <w:szCs w:val="24"/>
        </w:rPr>
        <w:t>Our results for five samples indicate</w:t>
      </w:r>
      <w:r>
        <w:rPr>
          <w:rFonts w:ascii="Roboto" w:eastAsia="Roboto" w:hAnsi="Roboto" w:cs="Roboto"/>
          <w:color w:val="111111"/>
          <w:sz w:val="24"/>
          <w:szCs w:val="24"/>
        </w:rPr>
        <w:t>d the base of the alluvial infill was deposited</w:t>
      </w:r>
      <w:r w:rsidR="00243F89">
        <w:rPr>
          <w:rFonts w:ascii="Roboto" w:eastAsia="Roboto" w:hAnsi="Roboto" w:cs="Roboto"/>
          <w:color w:val="111111"/>
          <w:sz w:val="24"/>
          <w:szCs w:val="24"/>
        </w:rPr>
        <w:t xml:space="preserve"> </w:t>
      </w:r>
      <w:r w:rsidRPr="006052EB">
        <w:rPr>
          <w:rFonts w:ascii="Roboto" w:eastAsia="Roboto" w:hAnsi="Roboto" w:cs="Roboto"/>
          <w:color w:val="111111"/>
          <w:sz w:val="24"/>
          <w:szCs w:val="24"/>
        </w:rPr>
        <w:t>2.39±1.3</w:t>
      </w:r>
      <w:r>
        <w:rPr>
          <w:rFonts w:ascii="Roboto" w:eastAsia="Roboto" w:hAnsi="Roboto" w:cs="Roboto"/>
          <w:color w:val="111111"/>
          <w:sz w:val="24"/>
          <w:szCs w:val="24"/>
        </w:rPr>
        <w:t xml:space="preserve"> Ma while </w:t>
      </w:r>
      <w:r w:rsidR="00243F89">
        <w:rPr>
          <w:rFonts w:ascii="Roboto" w:eastAsia="Roboto" w:hAnsi="Roboto" w:cs="Roboto"/>
          <w:color w:val="111111"/>
          <w:sz w:val="24"/>
          <w:szCs w:val="24"/>
        </w:rPr>
        <w:t xml:space="preserve">sediments at </w:t>
      </w:r>
      <w:r>
        <w:rPr>
          <w:rFonts w:ascii="Roboto" w:eastAsia="Roboto" w:hAnsi="Roboto" w:cs="Roboto"/>
          <w:color w:val="111111"/>
          <w:sz w:val="24"/>
          <w:szCs w:val="24"/>
        </w:rPr>
        <w:t>the top gave a</w:t>
      </w:r>
      <w:r w:rsidR="00243F89">
        <w:rPr>
          <w:rFonts w:ascii="Roboto" w:eastAsia="Roboto" w:hAnsi="Roboto" w:cs="Roboto"/>
          <w:color w:val="111111"/>
          <w:sz w:val="24"/>
          <w:szCs w:val="24"/>
        </w:rPr>
        <w:t xml:space="preserve"> burial</w:t>
      </w:r>
      <w:r>
        <w:rPr>
          <w:rFonts w:ascii="Roboto" w:eastAsia="Roboto" w:hAnsi="Roboto" w:cs="Roboto"/>
          <w:color w:val="111111"/>
          <w:sz w:val="24"/>
          <w:szCs w:val="24"/>
        </w:rPr>
        <w:t xml:space="preserve"> age of </w:t>
      </w:r>
      <w:r w:rsidRPr="006052EB">
        <w:rPr>
          <w:rFonts w:ascii="Roboto" w:eastAsia="Roboto" w:hAnsi="Roboto" w:cs="Roboto"/>
          <w:color w:val="111111"/>
          <w:sz w:val="24"/>
          <w:szCs w:val="24"/>
        </w:rPr>
        <w:t>1.05±0.28</w:t>
      </w:r>
      <w:r>
        <w:rPr>
          <w:rFonts w:ascii="Roboto" w:eastAsia="Roboto" w:hAnsi="Roboto" w:cs="Roboto"/>
          <w:color w:val="111111"/>
          <w:sz w:val="24"/>
          <w:szCs w:val="24"/>
        </w:rPr>
        <w:t xml:space="preserve"> Ma. </w:t>
      </w:r>
      <w:r w:rsidR="00243F89">
        <w:rPr>
          <w:rFonts w:ascii="Roboto" w:eastAsia="Roboto" w:hAnsi="Roboto" w:cs="Roboto"/>
          <w:color w:val="111111"/>
          <w:sz w:val="24"/>
          <w:szCs w:val="24"/>
        </w:rPr>
        <w:t>Erosion of the studied infill</w:t>
      </w:r>
      <w:r>
        <w:rPr>
          <w:rFonts w:ascii="Roboto" w:eastAsia="Roboto" w:hAnsi="Roboto" w:cs="Roboto"/>
          <w:color w:val="111111"/>
          <w:sz w:val="24"/>
          <w:szCs w:val="24"/>
        </w:rPr>
        <w:t xml:space="preserve"> seems to temporally correlate with the mid-Pleistocene transition.</w:t>
      </w:r>
    </w:p>
    <w:p w14:paraId="7762E891" w14:textId="32AB8CC8" w:rsidR="006052EB" w:rsidRDefault="006052EB" w:rsidP="00243F89">
      <w:pPr>
        <w:pStyle w:val="ListParagraph"/>
        <w:numPr>
          <w:ilvl w:val="0"/>
          <w:numId w:val="3"/>
        </w:numPr>
        <w:spacing w:line="312" w:lineRule="auto"/>
        <w:jc w:val="both"/>
        <w:rPr>
          <w:rFonts w:ascii="Roboto" w:eastAsia="Roboto" w:hAnsi="Roboto" w:cs="Roboto"/>
          <w:color w:val="111111"/>
          <w:sz w:val="24"/>
          <w:szCs w:val="24"/>
        </w:rPr>
      </w:pPr>
      <w:r>
        <w:rPr>
          <w:rFonts w:ascii="Roboto" w:eastAsia="Roboto" w:hAnsi="Roboto" w:cs="Roboto"/>
          <w:color w:val="111111"/>
          <w:sz w:val="24"/>
          <w:szCs w:val="24"/>
        </w:rPr>
        <w:t xml:space="preserve">Sedimentation resumed </w:t>
      </w:r>
      <w:r w:rsidR="00243F89">
        <w:rPr>
          <w:rFonts w:ascii="Roboto" w:eastAsia="Roboto" w:hAnsi="Roboto" w:cs="Roboto"/>
          <w:color w:val="111111"/>
          <w:sz w:val="24"/>
          <w:szCs w:val="24"/>
        </w:rPr>
        <w:t xml:space="preserve">north of the study area and suddenly ended </w:t>
      </w:r>
      <w:r>
        <w:rPr>
          <w:rFonts w:ascii="Roboto" w:eastAsia="Roboto" w:hAnsi="Roboto" w:cs="Roboto"/>
          <w:color w:val="111111"/>
          <w:sz w:val="24"/>
          <w:szCs w:val="24"/>
        </w:rPr>
        <w:t xml:space="preserve">at </w:t>
      </w:r>
      <w:r w:rsidRPr="006052EB">
        <w:rPr>
          <w:rFonts w:ascii="Roboto" w:eastAsia="Roboto" w:hAnsi="Roboto" w:cs="Roboto"/>
          <w:color w:val="111111"/>
          <w:sz w:val="24"/>
          <w:szCs w:val="24"/>
        </w:rPr>
        <w:t>0.59±0.08</w:t>
      </w:r>
      <w:r>
        <w:rPr>
          <w:rFonts w:ascii="Roboto" w:eastAsia="Roboto" w:hAnsi="Roboto" w:cs="Roboto"/>
          <w:color w:val="111111"/>
          <w:sz w:val="24"/>
          <w:szCs w:val="24"/>
        </w:rPr>
        <w:t xml:space="preserve"> Ma matching the onset </w:t>
      </w:r>
      <w:r w:rsidRPr="006052EB">
        <w:rPr>
          <w:rFonts w:ascii="Roboto" w:eastAsia="Roboto" w:hAnsi="Roboto" w:cs="Roboto"/>
          <w:color w:val="111111"/>
          <w:sz w:val="24"/>
          <w:szCs w:val="24"/>
        </w:rPr>
        <w:t>of global cooling and the transition from MIS15 to MIS14</w:t>
      </w:r>
      <w:r>
        <w:rPr>
          <w:rFonts w:ascii="Roboto" w:eastAsia="Roboto" w:hAnsi="Roboto" w:cs="Roboto"/>
          <w:color w:val="111111"/>
          <w:sz w:val="24"/>
          <w:szCs w:val="24"/>
        </w:rPr>
        <w:t>.</w:t>
      </w:r>
    </w:p>
    <w:p w14:paraId="163DE1FA" w14:textId="7A44AB0C" w:rsidR="006052EB" w:rsidRPr="006052EB" w:rsidRDefault="006052EB" w:rsidP="00243F89">
      <w:pPr>
        <w:pStyle w:val="ListParagraph"/>
        <w:numPr>
          <w:ilvl w:val="0"/>
          <w:numId w:val="3"/>
        </w:numPr>
        <w:spacing w:line="312" w:lineRule="auto"/>
        <w:jc w:val="both"/>
        <w:rPr>
          <w:rFonts w:ascii="Roboto" w:eastAsia="Roboto" w:hAnsi="Roboto" w:cs="Roboto"/>
          <w:color w:val="111111"/>
          <w:sz w:val="24"/>
          <w:szCs w:val="24"/>
        </w:rPr>
      </w:pPr>
      <w:r>
        <w:rPr>
          <w:rFonts w:ascii="Roboto" w:eastAsia="Roboto" w:hAnsi="Roboto" w:cs="Roboto"/>
          <w:color w:val="111111"/>
          <w:sz w:val="24"/>
          <w:szCs w:val="24"/>
        </w:rPr>
        <w:t>Global cooling events during the Pleistocene seem to enhance sediment transport in mountainous regions of the Northern Andes.</w:t>
      </w:r>
    </w:p>
    <w:p w14:paraId="0000000E" w14:textId="77777777" w:rsidR="00DC379B" w:rsidRDefault="00DC379B">
      <w:pPr>
        <w:spacing w:line="312" w:lineRule="auto"/>
        <w:rPr>
          <w:rFonts w:ascii="Roboto" w:eastAsia="Roboto" w:hAnsi="Roboto" w:cs="Roboto"/>
          <w:color w:val="111111"/>
          <w:sz w:val="24"/>
          <w:szCs w:val="24"/>
        </w:rPr>
      </w:pPr>
    </w:p>
    <w:p w14:paraId="0000000F" w14:textId="67D9AAC7" w:rsidR="00DC379B" w:rsidRDefault="00000000">
      <w:pPr>
        <w:spacing w:line="312" w:lineRule="auto"/>
        <w:rPr>
          <w:rFonts w:ascii="Roboto" w:eastAsia="Roboto" w:hAnsi="Roboto" w:cs="Roboto"/>
          <w:i/>
          <w:color w:val="111111"/>
          <w:sz w:val="24"/>
          <w:szCs w:val="24"/>
        </w:rPr>
      </w:pPr>
      <w:r>
        <w:rPr>
          <w:rFonts w:ascii="Roboto" w:eastAsia="Roboto" w:hAnsi="Roboto" w:cs="Roboto"/>
          <w:b/>
          <w:color w:val="111111"/>
          <w:sz w:val="24"/>
          <w:szCs w:val="24"/>
        </w:rPr>
        <w:t xml:space="preserve">What new experiences, opportunities, and collaborations did you gain as an AGeS-Grad awardee? </w:t>
      </w:r>
    </w:p>
    <w:p w14:paraId="00000011" w14:textId="26AF4262" w:rsidR="00DC379B" w:rsidRDefault="00FA4C03" w:rsidP="00FA4C03">
      <w:pPr>
        <w:spacing w:line="312" w:lineRule="auto"/>
        <w:jc w:val="both"/>
        <w:rPr>
          <w:rFonts w:ascii="Roboto" w:eastAsia="Roboto" w:hAnsi="Roboto" w:cs="Roboto"/>
          <w:color w:val="111111"/>
          <w:sz w:val="24"/>
          <w:szCs w:val="24"/>
        </w:rPr>
      </w:pPr>
      <w:r w:rsidRPr="00FA4C03">
        <w:rPr>
          <w:rFonts w:ascii="Roboto" w:eastAsia="Roboto" w:hAnsi="Roboto" w:cs="Roboto"/>
          <w:color w:val="111111"/>
          <w:sz w:val="24"/>
          <w:szCs w:val="24"/>
        </w:rPr>
        <w:t xml:space="preserve">Spending two weeks working in a state-of-the-art clean lab under the guidance of leading experts in cosmogenic nuclide research was one of the most formative experiences of my academic journey. Participating in every stage of the process—from sample dissolution to running ion chromatography columns—deepened my appreciation for the </w:t>
      </w:r>
      <w:r w:rsidRPr="00FA4C03">
        <w:rPr>
          <w:rFonts w:ascii="Roboto" w:eastAsia="Roboto" w:hAnsi="Roboto" w:cs="Roboto"/>
          <w:color w:val="111111"/>
          <w:sz w:val="24"/>
          <w:szCs w:val="24"/>
        </w:rPr>
        <w:lastRenderedPageBreak/>
        <w:t xml:space="preserve">work </w:t>
      </w:r>
      <w:r>
        <w:rPr>
          <w:rFonts w:ascii="Roboto" w:eastAsia="Roboto" w:hAnsi="Roboto" w:cs="Roboto"/>
          <w:color w:val="111111"/>
          <w:sz w:val="24"/>
          <w:szCs w:val="24"/>
        </w:rPr>
        <w:t>behind</w:t>
      </w:r>
      <w:r w:rsidRPr="00FA4C03">
        <w:rPr>
          <w:rFonts w:ascii="Roboto" w:eastAsia="Roboto" w:hAnsi="Roboto" w:cs="Roboto"/>
          <w:color w:val="111111"/>
          <w:sz w:val="24"/>
          <w:szCs w:val="24"/>
        </w:rPr>
        <w:t xml:space="preserve"> every cosmogenic nuclide dataset. Dr. Corbett was especially </w:t>
      </w:r>
      <w:r w:rsidRPr="00FA4C03">
        <w:rPr>
          <w:rFonts w:ascii="Roboto" w:eastAsia="Roboto" w:hAnsi="Roboto" w:cs="Roboto"/>
          <w:color w:val="111111"/>
          <w:sz w:val="24"/>
          <w:szCs w:val="24"/>
        </w:rPr>
        <w:t>helpful</w:t>
      </w:r>
      <w:r w:rsidRPr="00FA4C03">
        <w:rPr>
          <w:rFonts w:ascii="Roboto" w:eastAsia="Roboto" w:hAnsi="Roboto" w:cs="Roboto"/>
          <w:color w:val="111111"/>
          <w:sz w:val="24"/>
          <w:szCs w:val="24"/>
        </w:rPr>
        <w:t xml:space="preserve"> in guiding me through each procedural step and generously took the time to explain the chemistry behind the separation techniques. This hands-on experience not only enhanced my technical skills but also opened the door to new collaborative opportunities with professionals in the field—relationships I look forward to continuing in the near future.</w:t>
      </w:r>
    </w:p>
    <w:p w14:paraId="0B6D5BDD" w14:textId="77777777" w:rsidR="00FA4C03" w:rsidRDefault="00FA4C03" w:rsidP="00FA4C03">
      <w:pPr>
        <w:spacing w:line="312" w:lineRule="auto"/>
        <w:jc w:val="both"/>
        <w:rPr>
          <w:rFonts w:ascii="Roboto" w:eastAsia="Roboto" w:hAnsi="Roboto" w:cs="Roboto"/>
          <w:color w:val="111111"/>
          <w:sz w:val="24"/>
          <w:szCs w:val="24"/>
        </w:rPr>
      </w:pPr>
    </w:p>
    <w:p w14:paraId="00000012" w14:textId="3A8B0A73" w:rsidR="00DC379B" w:rsidRDefault="00000000">
      <w:pPr>
        <w:spacing w:line="312" w:lineRule="auto"/>
        <w:rPr>
          <w:rFonts w:ascii="Roboto" w:eastAsia="Roboto" w:hAnsi="Roboto" w:cs="Roboto"/>
          <w:i/>
          <w:color w:val="111111"/>
          <w:sz w:val="24"/>
          <w:szCs w:val="24"/>
        </w:rPr>
      </w:pPr>
      <w:r>
        <w:rPr>
          <w:rFonts w:ascii="Roboto" w:eastAsia="Roboto" w:hAnsi="Roboto" w:cs="Roboto"/>
          <w:b/>
          <w:color w:val="111111"/>
          <w:sz w:val="24"/>
          <w:szCs w:val="24"/>
        </w:rPr>
        <w:t xml:space="preserve">What is one piece of advice you have for future AGeS-Grad award applicants or awardees? </w:t>
      </w:r>
    </w:p>
    <w:p w14:paraId="00000013" w14:textId="0DA505DB" w:rsidR="00DC379B" w:rsidRDefault="006E1A7B" w:rsidP="006E1A7B">
      <w:pPr>
        <w:spacing w:line="312" w:lineRule="auto"/>
        <w:rPr>
          <w:rFonts w:ascii="Roboto" w:eastAsia="Roboto" w:hAnsi="Roboto" w:cs="Roboto"/>
          <w:color w:val="111111"/>
          <w:sz w:val="24"/>
          <w:szCs w:val="24"/>
        </w:rPr>
      </w:pPr>
      <w:r>
        <w:rPr>
          <w:rFonts w:ascii="Roboto" w:eastAsia="Roboto" w:hAnsi="Roboto" w:cs="Roboto"/>
          <w:color w:val="111111"/>
          <w:sz w:val="24"/>
          <w:szCs w:val="24"/>
        </w:rPr>
        <w:t>Two pieces of advice that could help future awardees are: (i) a</w:t>
      </w:r>
      <w:r w:rsidRPr="006E1A7B">
        <w:rPr>
          <w:rFonts w:ascii="Roboto" w:eastAsia="Roboto" w:hAnsi="Roboto" w:cs="Roboto"/>
          <w:color w:val="111111"/>
          <w:sz w:val="24"/>
          <w:szCs w:val="24"/>
        </w:rPr>
        <w:t xml:space="preserve">lways having </w:t>
      </w:r>
      <w:r w:rsidRPr="006E1A7B">
        <w:rPr>
          <w:rFonts w:ascii="Roboto" w:eastAsia="Roboto" w:hAnsi="Roboto" w:cs="Roboto"/>
          <w:color w:val="111111"/>
          <w:sz w:val="24"/>
          <w:szCs w:val="24"/>
        </w:rPr>
        <w:t>plan</w:t>
      </w:r>
      <w:r w:rsidRPr="006E1A7B">
        <w:rPr>
          <w:rFonts w:ascii="Roboto" w:eastAsia="Roboto" w:hAnsi="Roboto" w:cs="Roboto"/>
          <w:color w:val="111111"/>
          <w:sz w:val="24"/>
          <w:szCs w:val="24"/>
        </w:rPr>
        <w:t xml:space="preserve"> B or even a plan C can help make the experience run more smoothly</w:t>
      </w:r>
      <w:r>
        <w:rPr>
          <w:rFonts w:ascii="Roboto" w:eastAsia="Roboto" w:hAnsi="Roboto" w:cs="Roboto"/>
          <w:color w:val="111111"/>
          <w:sz w:val="24"/>
          <w:szCs w:val="24"/>
        </w:rPr>
        <w:t>; (ii) m</w:t>
      </w:r>
      <w:r w:rsidRPr="006E1A7B">
        <w:rPr>
          <w:rFonts w:ascii="Roboto" w:eastAsia="Roboto" w:hAnsi="Roboto" w:cs="Roboto"/>
          <w:color w:val="111111"/>
          <w:sz w:val="24"/>
          <w:szCs w:val="24"/>
        </w:rPr>
        <w:t xml:space="preserve">aintain close contact with </w:t>
      </w:r>
      <w:r>
        <w:rPr>
          <w:rFonts w:ascii="Roboto" w:eastAsia="Roboto" w:hAnsi="Roboto" w:cs="Roboto"/>
          <w:color w:val="111111"/>
          <w:sz w:val="24"/>
          <w:szCs w:val="24"/>
        </w:rPr>
        <w:t>your</w:t>
      </w:r>
      <w:r w:rsidRPr="006E1A7B">
        <w:rPr>
          <w:rFonts w:ascii="Roboto" w:eastAsia="Roboto" w:hAnsi="Roboto" w:cs="Roboto"/>
          <w:color w:val="111111"/>
          <w:sz w:val="24"/>
          <w:szCs w:val="24"/>
        </w:rPr>
        <w:t xml:space="preserve"> lab partner</w:t>
      </w:r>
      <w:r>
        <w:rPr>
          <w:rFonts w:ascii="Roboto" w:eastAsia="Roboto" w:hAnsi="Roboto" w:cs="Roboto"/>
          <w:color w:val="111111"/>
          <w:sz w:val="24"/>
          <w:szCs w:val="24"/>
        </w:rPr>
        <w:t>. C</w:t>
      </w:r>
      <w:r w:rsidRPr="006E1A7B">
        <w:rPr>
          <w:rFonts w:ascii="Roboto" w:eastAsia="Roboto" w:hAnsi="Roboto" w:cs="Roboto"/>
          <w:color w:val="111111"/>
          <w:sz w:val="24"/>
          <w:szCs w:val="24"/>
        </w:rPr>
        <w:t>onstant communication can help reduce project time and margin of error.</w:t>
      </w:r>
    </w:p>
    <w:p w14:paraId="51D54661" w14:textId="77777777" w:rsidR="006E1A7B" w:rsidRDefault="006E1A7B">
      <w:pPr>
        <w:spacing w:after="280" w:line="240" w:lineRule="auto"/>
        <w:rPr>
          <w:rFonts w:ascii="Roboto" w:eastAsia="Roboto" w:hAnsi="Roboto" w:cs="Roboto"/>
          <w:color w:val="111111"/>
          <w:sz w:val="24"/>
          <w:szCs w:val="24"/>
        </w:rPr>
      </w:pPr>
    </w:p>
    <w:p w14:paraId="00000014" w14:textId="517FB29D" w:rsidR="00DC379B" w:rsidRPr="00C85C59" w:rsidRDefault="00DC379B">
      <w:pPr>
        <w:spacing w:after="280" w:line="240" w:lineRule="auto"/>
        <w:rPr>
          <w:rFonts w:ascii="Roboto" w:eastAsia="Roboto" w:hAnsi="Roboto" w:cs="Roboto"/>
          <w:i/>
          <w:iCs/>
          <w:color w:val="111111"/>
          <w:sz w:val="24"/>
          <w:szCs w:val="24"/>
        </w:rPr>
      </w:pPr>
    </w:p>
    <w:sectPr w:rsidR="00DC379B" w:rsidRPr="00C85C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4582"/>
    <w:multiLevelType w:val="hybridMultilevel"/>
    <w:tmpl w:val="B54A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07562"/>
    <w:multiLevelType w:val="hybridMultilevel"/>
    <w:tmpl w:val="20CE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C45D0"/>
    <w:multiLevelType w:val="hybridMultilevel"/>
    <w:tmpl w:val="1960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429160">
    <w:abstractNumId w:val="0"/>
  </w:num>
  <w:num w:numId="2" w16cid:durableId="1481002590">
    <w:abstractNumId w:val="2"/>
  </w:num>
  <w:num w:numId="3" w16cid:durableId="58970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9B"/>
    <w:rsid w:val="00083D2A"/>
    <w:rsid w:val="000D79A0"/>
    <w:rsid w:val="001107EB"/>
    <w:rsid w:val="001F0374"/>
    <w:rsid w:val="00243F89"/>
    <w:rsid w:val="004356FC"/>
    <w:rsid w:val="006052EB"/>
    <w:rsid w:val="006E1A7B"/>
    <w:rsid w:val="006F26CC"/>
    <w:rsid w:val="008859F0"/>
    <w:rsid w:val="009F37F0"/>
    <w:rsid w:val="00BF55F8"/>
    <w:rsid w:val="00C85C59"/>
    <w:rsid w:val="00DC379B"/>
    <w:rsid w:val="00E551D7"/>
    <w:rsid w:val="00FA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A242"/>
  <w15:docId w15:val="{4A8B30EF-8D07-D349-AD45-3DDF3B54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5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Helbert Schneider Garcia Delgado</cp:lastModifiedBy>
  <cp:revision>10</cp:revision>
  <dcterms:created xsi:type="dcterms:W3CDTF">2024-09-06T20:55:00Z</dcterms:created>
  <dcterms:modified xsi:type="dcterms:W3CDTF">2025-05-06T19:27:00Z</dcterms:modified>
</cp:coreProperties>
</file>