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89" w:rsidRDefault="00216389" w:rsidP="00216389">
      <w:pPr>
        <w:pStyle w:val="Heading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16389" w:rsidRPr="002E4662" w:rsidRDefault="00216389" w:rsidP="00216389">
      <w:pPr>
        <w:pStyle w:val="Title"/>
        <w:jc w:val="left"/>
      </w:pPr>
      <w:r w:rsidRPr="00091C5E">
        <w:t>Communication Roadblocks</w:t>
      </w:r>
    </w:p>
    <w:p w:rsidR="00216389" w:rsidRPr="00B23FFC" w:rsidRDefault="00216389" w:rsidP="00216389">
      <w:pPr>
        <w:pStyle w:val="Subtitle"/>
        <w:spacing w:after="200"/>
        <w:jc w:val="left"/>
        <w:rPr>
          <w:sz w:val="22"/>
          <w:szCs w:val="22"/>
        </w:rPr>
      </w:pPr>
      <w:r w:rsidRPr="00B23FFC">
        <w:rPr>
          <w:sz w:val="22"/>
          <w:szCs w:val="22"/>
        </w:rPr>
        <w:t xml:space="preserve">Although most people believe that listening is important for clear communication, many people do things which inhibit effective listening. </w:t>
      </w:r>
    </w:p>
    <w:p w:rsidR="00216389" w:rsidRDefault="00216389" w:rsidP="00216389">
      <w:pPr>
        <w:pStyle w:val="Heading1"/>
      </w:pPr>
      <w:r>
        <w:t>The Twelve “Roadblocks” To Good Communication:</w:t>
      </w:r>
      <w:r>
        <w:rPr>
          <w:rStyle w:val="EndnoteReference"/>
        </w:rPr>
        <w:endnoteReference w:id="1"/>
      </w:r>
    </w:p>
    <w:p w:rsidR="00216389" w:rsidRDefault="00216389" w:rsidP="009A64F6">
      <w:pPr>
        <w:pStyle w:val="Heading2"/>
        <w:numPr>
          <w:ilvl w:val="0"/>
          <w:numId w:val="2"/>
        </w:numPr>
      </w:pPr>
      <w:r w:rsidRPr="00091C5E">
        <w:t xml:space="preserve">Ordering. Directing. Commanding:  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spacing w:before="200" w:line="240" w:lineRule="auto"/>
        <w:jc w:val="left"/>
      </w:pPr>
      <w:r w:rsidRPr="00091C5E">
        <w:t xml:space="preserve">“You must…,” 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spacing w:before="200" w:line="240" w:lineRule="auto"/>
        <w:jc w:val="left"/>
      </w:pPr>
      <w:r w:rsidRPr="00091C5E">
        <w:t>“You are not allowed…”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>Warning.</w:t>
      </w:r>
      <w:r w:rsidRPr="00091C5E">
        <w:t xml:space="preserve"> Admonishing. Threatening: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“If you do that, then…,”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“You shouldn’t do that…”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 w:rsidRPr="00091C5E">
        <w:t>Moralizing. Preaching. Imploring: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“If you</w:t>
      </w:r>
      <w:r>
        <w:rPr>
          <w:rFonts w:cs="Arial"/>
          <w:szCs w:val="22"/>
        </w:rPr>
        <w:t xml:space="preserve"> want to do the right thing…,”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“Please don’t do that…”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>Advising.</w:t>
      </w:r>
      <w:r w:rsidRPr="00091C5E">
        <w:t xml:space="preserve"> G</w:t>
      </w:r>
      <w:r>
        <w:t>iving suggestions or solutions: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“If I were you…,”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“May I suggest…”</w:t>
      </w:r>
    </w:p>
    <w:p w:rsidR="00216389" w:rsidRPr="00091C5E" w:rsidRDefault="00216389" w:rsidP="009A64F6">
      <w:pPr>
        <w:pStyle w:val="Heading2"/>
        <w:numPr>
          <w:ilvl w:val="0"/>
          <w:numId w:val="2"/>
        </w:numPr>
      </w:pPr>
      <w:r w:rsidRPr="00091C5E">
        <w:t xml:space="preserve">Persuading with logic. Lecturing. Arguing:  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>“Let’s look at the date…,”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“The right way to do this is…”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>Judging. Criticizing. Disagreeing.</w:t>
      </w:r>
      <w:r w:rsidRPr="00091C5E">
        <w:t xml:space="preserve"> Blaming:  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“That’s a dumb move…,”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“I strongly disagree.”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>Praising. Agreeing. Evaluating positively.</w:t>
      </w:r>
      <w:r w:rsidRPr="00091C5E">
        <w:t xml:space="preserve"> Buttering up: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“What a great idea…,”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 xml:space="preserve">“Now aren’t you creative?”  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>Name-calling. Ridiculing.</w:t>
      </w:r>
      <w:r w:rsidRPr="00091C5E">
        <w:t xml:space="preserve"> Shaming: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“You should be ashamed of yourself for…,”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lastRenderedPageBreak/>
        <w:t>“You blew it”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 w:rsidRPr="00091C5E">
        <w:t>Interpreting. Analyzing. Diagnosing: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jc w:val="left"/>
        <w:rPr>
          <w:rFonts w:cs="Arial"/>
          <w:szCs w:val="22"/>
        </w:rPr>
      </w:pPr>
      <w:r w:rsidRPr="00091C5E">
        <w:rPr>
          <w:rFonts w:cs="Arial"/>
          <w:szCs w:val="22"/>
        </w:rPr>
        <w:t xml:space="preserve">“What they meant to say was ....,"  </w:t>
      </w:r>
    </w:p>
    <w:p w:rsidR="009A64F6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“You are just frustrated…”</w:t>
      </w:r>
    </w:p>
    <w:p w:rsidR="00216389" w:rsidRPr="009A64F6" w:rsidRDefault="00216389" w:rsidP="009A64F6">
      <w:pPr>
        <w:pStyle w:val="Heading2"/>
        <w:numPr>
          <w:ilvl w:val="0"/>
          <w:numId w:val="2"/>
        </w:numPr>
        <w:rPr>
          <w:rFonts w:cs="Arial"/>
          <w:szCs w:val="22"/>
        </w:rPr>
      </w:pPr>
      <w:r>
        <w:t xml:space="preserve">Reassuring. Sympathizing. Consoling. </w:t>
      </w:r>
      <w:r w:rsidRPr="00091C5E">
        <w:t>Supporting: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“It will be all right…,”</w:t>
      </w:r>
    </w:p>
    <w:p w:rsidR="00216389" w:rsidRDefault="00216389" w:rsidP="009A64F6">
      <w:pPr>
        <w:pStyle w:val="BodyText"/>
        <w:numPr>
          <w:ilvl w:val="1"/>
          <w:numId w:val="7"/>
        </w:numPr>
        <w:jc w:val="left"/>
        <w:rPr>
          <w:rFonts w:cs="Arial"/>
          <w:szCs w:val="22"/>
        </w:rPr>
      </w:pPr>
      <w:r w:rsidRPr="00091C5E">
        <w:rPr>
          <w:rFonts w:cs="Arial"/>
          <w:szCs w:val="22"/>
        </w:rPr>
        <w:t xml:space="preserve">“Things will change…”  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 xml:space="preserve">Probing. Questioning. </w:t>
      </w:r>
      <w:r w:rsidRPr="00091C5E">
        <w:t>Interrogating: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“Why did you do it?”</w:t>
      </w:r>
    </w:p>
    <w:p w:rsidR="00216389" w:rsidRPr="00DA101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“Who have you been talking to?”</w:t>
      </w:r>
    </w:p>
    <w:p w:rsidR="00216389" w:rsidRDefault="00216389" w:rsidP="009A64F6">
      <w:pPr>
        <w:pStyle w:val="Heading2"/>
        <w:numPr>
          <w:ilvl w:val="0"/>
          <w:numId w:val="2"/>
        </w:numPr>
      </w:pPr>
      <w:r>
        <w:t>Distracting.</w:t>
      </w:r>
      <w:r w:rsidRPr="00091C5E">
        <w:t xml:space="preserve"> Diverting:</w:t>
      </w:r>
    </w:p>
    <w:p w:rsidR="00216389" w:rsidRPr="00091C5E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 xml:space="preserve">“Let’s not talk about it now…,”  </w:t>
      </w:r>
    </w:p>
    <w:p w:rsidR="00216389" w:rsidRDefault="00216389" w:rsidP="009A64F6">
      <w:pPr>
        <w:pStyle w:val="BodyText"/>
        <w:numPr>
          <w:ilvl w:val="1"/>
          <w:numId w:val="7"/>
        </w:numPr>
        <w:rPr>
          <w:rFonts w:cs="Arial"/>
          <w:szCs w:val="22"/>
        </w:rPr>
      </w:pPr>
      <w:r w:rsidRPr="00091C5E">
        <w:rPr>
          <w:rFonts w:cs="Arial"/>
          <w:szCs w:val="22"/>
        </w:rPr>
        <w:t>“Let’s do something and you’ll forget about it.”</w:t>
      </w:r>
    </w:p>
    <w:p w:rsidR="006F30A4" w:rsidRDefault="00805007"/>
    <w:sectPr w:rsidR="006F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89" w:rsidRDefault="00216389" w:rsidP="00216389">
      <w:pPr>
        <w:spacing w:after="0" w:line="240" w:lineRule="auto"/>
      </w:pPr>
      <w:r>
        <w:separator/>
      </w:r>
    </w:p>
  </w:endnote>
  <w:endnote w:type="continuationSeparator" w:id="0">
    <w:p w:rsidR="00216389" w:rsidRDefault="00216389" w:rsidP="00216389">
      <w:pPr>
        <w:spacing w:after="0" w:line="240" w:lineRule="auto"/>
      </w:pPr>
      <w:r>
        <w:continuationSeparator/>
      </w:r>
    </w:p>
  </w:endnote>
  <w:endnote w:id="1">
    <w:p w:rsidR="00216389" w:rsidRPr="00D93A78" w:rsidRDefault="00216389" w:rsidP="00216389">
      <w:pPr>
        <w:pStyle w:val="EndnoteText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 w:cs="Arial"/>
          <w:szCs w:val="22"/>
        </w:rPr>
        <w:t xml:space="preserve">Adapted from </w:t>
      </w:r>
      <w:r w:rsidRPr="00DA1019">
        <w:rPr>
          <w:rFonts w:ascii="Arial" w:hAnsi="Arial" w:cs="Arial"/>
          <w:szCs w:val="22"/>
        </w:rPr>
        <w:t>Thomas Gordon, “Leadership Effectiveness Training.”  New York: Wyde</w:t>
      </w:r>
      <w:r w:rsidRPr="00DA1019">
        <w:rPr>
          <w:rFonts w:ascii="Arial" w:hAnsi="Arial" w:cs="Arial"/>
        </w:rPr>
        <w:t>n, 1977, p. 60-62.</w:t>
      </w:r>
      <w:r>
        <w:rPr>
          <w:rFonts w:ascii="Arial" w:hAnsi="Arial" w:cs="Arial"/>
        </w:rPr>
        <w:t xml:space="preserve"> </w:t>
      </w:r>
      <w:r w:rsidRPr="00D93A78">
        <w:rPr>
          <w:rFonts w:ascii="Arial" w:hAnsi="Arial" w:cs="Arial"/>
          <w:color w:val="222222"/>
          <w:shd w:val="clear" w:color="auto" w:fill="FFFFFF"/>
        </w:rPr>
        <w:t>For the University of Colorado Boulder Ombuds Office services and information, please call 303-492-5077.</w:t>
      </w:r>
    </w:p>
    <w:p w:rsidR="00216389" w:rsidRDefault="0021638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89" w:rsidRDefault="00216389" w:rsidP="00216389">
      <w:pPr>
        <w:spacing w:after="0" w:line="240" w:lineRule="auto"/>
      </w:pPr>
      <w:r>
        <w:separator/>
      </w:r>
    </w:p>
  </w:footnote>
  <w:footnote w:type="continuationSeparator" w:id="0">
    <w:p w:rsidR="00216389" w:rsidRDefault="00216389" w:rsidP="0021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E43"/>
    <w:multiLevelType w:val="hybridMultilevel"/>
    <w:tmpl w:val="483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52E2"/>
    <w:multiLevelType w:val="hybridMultilevel"/>
    <w:tmpl w:val="CFCC7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0CA5"/>
    <w:multiLevelType w:val="hybridMultilevel"/>
    <w:tmpl w:val="A4A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554"/>
    <w:multiLevelType w:val="hybridMultilevel"/>
    <w:tmpl w:val="F9DE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51F60"/>
    <w:multiLevelType w:val="hybridMultilevel"/>
    <w:tmpl w:val="D47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17FE"/>
    <w:multiLevelType w:val="hybridMultilevel"/>
    <w:tmpl w:val="4212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82E7F"/>
    <w:multiLevelType w:val="hybridMultilevel"/>
    <w:tmpl w:val="DA66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89"/>
    <w:rsid w:val="00216389"/>
    <w:rsid w:val="00507D8D"/>
    <w:rsid w:val="00805007"/>
    <w:rsid w:val="009A64F6"/>
    <w:rsid w:val="00BC796C"/>
    <w:rsid w:val="00B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1F87-369A-49D8-A378-717313C7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389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389"/>
    <w:pPr>
      <w:spacing w:after="0" w:line="276" w:lineRule="auto"/>
      <w:outlineLvl w:val="1"/>
    </w:pPr>
    <w:rPr>
      <w:rFonts w:ascii="Arial" w:eastAsiaTheme="minorEastAsia" w:hAnsi="Arial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389"/>
    <w:pPr>
      <w:spacing w:after="0"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389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6389"/>
    <w:rPr>
      <w:rFonts w:ascii="Arial" w:eastAsiaTheme="minorEastAsia" w:hAnsi="Arial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6389"/>
    <w:rPr>
      <w:rFonts w:eastAsiaTheme="minorEastAsia"/>
      <w:smallCaps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6389"/>
    <w:pPr>
      <w:pBdr>
        <w:top w:val="single" w:sz="8" w:space="1" w:color="70AD47" w:themeColor="accent6"/>
      </w:pBdr>
      <w:spacing w:after="120" w:line="240" w:lineRule="auto"/>
      <w:jc w:val="right"/>
    </w:pPr>
    <w:rPr>
      <w:rFonts w:ascii="Arial" w:eastAsiaTheme="minorEastAsia" w:hAnsi="Arial"/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389"/>
    <w:rPr>
      <w:rFonts w:ascii="Arial" w:eastAsiaTheme="minorEastAsia" w:hAnsi="Arial"/>
      <w:smallCaps/>
      <w:color w:val="262626" w:themeColor="text1" w:themeTint="D9"/>
      <w:sz w:val="52"/>
      <w:szCs w:val="52"/>
    </w:rPr>
  </w:style>
  <w:style w:type="paragraph" w:styleId="BodyText">
    <w:name w:val="Body Text"/>
    <w:basedOn w:val="Normal"/>
    <w:link w:val="BodyTextChar"/>
    <w:rsid w:val="00216389"/>
    <w:pPr>
      <w:spacing w:after="200" w:line="276" w:lineRule="auto"/>
      <w:jc w:val="both"/>
    </w:pPr>
    <w:rPr>
      <w:rFonts w:ascii="Arial" w:eastAsiaTheme="minorEastAsia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216389"/>
    <w:rPr>
      <w:rFonts w:ascii="Arial" w:eastAsiaTheme="minorEastAsia" w:hAnsi="Arial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389"/>
    <w:pPr>
      <w:spacing w:after="720" w:line="240" w:lineRule="auto"/>
      <w:jc w:val="right"/>
    </w:pPr>
    <w:rPr>
      <w:rFonts w:ascii="Arial" w:eastAsiaTheme="majorEastAsia" w:hAnsi="Arial" w:cstheme="majorBidi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16389"/>
    <w:rPr>
      <w:rFonts w:ascii="Arial" w:eastAsiaTheme="majorEastAsia" w:hAnsi="Arial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63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3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6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5320-01FB-4FD3-9920-888B2DF8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Roadblocks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Roadblocks</dc:title>
  <dc:subject/>
  <dc:creator>Thomas Gordon;Kerry Tay McLean</dc:creator>
  <cp:keywords>Communication Roadblocks</cp:keywords>
  <dc:description/>
  <cp:lastModifiedBy>Kerry McLean</cp:lastModifiedBy>
  <cp:revision>2</cp:revision>
  <dcterms:created xsi:type="dcterms:W3CDTF">2017-10-06T22:10:00Z</dcterms:created>
  <dcterms:modified xsi:type="dcterms:W3CDTF">2017-10-06T22:10:00Z</dcterms:modified>
</cp:coreProperties>
</file>