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2D21F5" w14:textId="77777777" w:rsidR="00131B46" w:rsidRDefault="00393DBA">
      <w:pPr>
        <w:rPr>
          <w:b/>
        </w:rPr>
      </w:pPr>
      <w:r>
        <w:rPr>
          <w:b/>
        </w:rPr>
        <w:t>Directions to Pull a Closing Awards Report</w:t>
      </w:r>
    </w:p>
    <w:p w14:paraId="357C8C7F" w14:textId="77777777" w:rsidR="00393DBA" w:rsidRDefault="00393DBA" w:rsidP="00393DBA">
      <w:pPr>
        <w:pStyle w:val="ListParagraph"/>
        <w:numPr>
          <w:ilvl w:val="0"/>
          <w:numId w:val="1"/>
        </w:numPr>
      </w:pPr>
      <w:r>
        <w:t xml:space="preserve">Go to the </w:t>
      </w:r>
      <w:hyperlink r:id="rId5" w:history="1">
        <w:r w:rsidRPr="00393DBA">
          <w:rPr>
            <w:rStyle w:val="Hyperlink"/>
          </w:rPr>
          <w:t>CU Portal</w:t>
        </w:r>
      </w:hyperlink>
      <w:r>
        <w:t xml:space="preserve"> and Login</w:t>
      </w:r>
      <w:r w:rsidR="007123B9">
        <w:t xml:space="preserve"> with your credentials</w:t>
      </w:r>
    </w:p>
    <w:p w14:paraId="0626AB79" w14:textId="77777777" w:rsidR="00393DBA" w:rsidRDefault="00250FE5" w:rsidP="00393DBA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DDC115" wp14:editId="1645211E">
                <wp:simplePos x="0" y="0"/>
                <wp:positionH relativeFrom="column">
                  <wp:posOffset>4324350</wp:posOffset>
                </wp:positionH>
                <wp:positionV relativeFrom="paragraph">
                  <wp:posOffset>206375</wp:posOffset>
                </wp:positionV>
                <wp:extent cx="838200" cy="1162050"/>
                <wp:effectExtent l="19050" t="19050" r="76200" b="571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1162050"/>
                        </a:xfrm>
                        <a:prstGeom prst="straightConnector1">
                          <a:avLst/>
                        </a:prstGeom>
                        <a:ln w="508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FCC7B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340.5pt;margin-top:16.25pt;width:66pt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" strokecolor="#5b9bd5 [3204]" strokeweight="4pt">
                <v:stroke endarrow="block" joinstyle="miter"/>
              </v:shape>
            </w:pict>
          </mc:Fallback>
        </mc:AlternateContent>
      </w:r>
      <w:r w:rsidR="00393DBA">
        <w:t>Scroll over the Reporting &amp; Compliance Tab and then select Public Folders</w:t>
      </w:r>
    </w:p>
    <w:p w14:paraId="148CF170" w14:textId="77777777" w:rsidR="00393DBA" w:rsidRDefault="00393DBA" w:rsidP="00393DBA">
      <w:pPr>
        <w:ind w:left="360"/>
      </w:pPr>
      <w:r>
        <w:rPr>
          <w:noProof/>
        </w:rPr>
        <w:drawing>
          <wp:inline distT="0" distB="0" distL="0" distR="0" wp14:anchorId="5232A39B" wp14:editId="271D4BC6">
            <wp:extent cx="5943600" cy="289877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02561" cy="2927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71D2A" w14:textId="08E2F4B7" w:rsidR="00393DBA" w:rsidRDefault="007123B9" w:rsidP="00393DBA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C83480" wp14:editId="4DED3448">
                <wp:simplePos x="0" y="0"/>
                <wp:positionH relativeFrom="column">
                  <wp:posOffset>2800350</wp:posOffset>
                </wp:positionH>
                <wp:positionV relativeFrom="page">
                  <wp:posOffset>4895850</wp:posOffset>
                </wp:positionV>
                <wp:extent cx="82296" cy="484632"/>
                <wp:effectExtent l="95250" t="0" r="89535" b="4889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296" cy="484632"/>
                        </a:xfrm>
                        <a:prstGeom prst="straightConnector1">
                          <a:avLst/>
                        </a:prstGeom>
                        <a:ln w="508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11DC0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220.5pt;margin-top:385.5pt;width:6.5pt;height:38.1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" strokecolor="#5b9bd5 [3204]" strokeweight="4pt">
                <v:stroke endarrow="block" joinstyle="miter"/>
                <w10:wrap anchory="page"/>
              </v:shape>
            </w:pict>
          </mc:Fallback>
        </mc:AlternateContent>
      </w:r>
      <w:r w:rsidR="006A36E3">
        <w:t>The</w:t>
      </w:r>
      <w:r>
        <w:t xml:space="preserve"> </w:t>
      </w:r>
      <w:r w:rsidR="006A36E3">
        <w:t xml:space="preserve">screen now shows </w:t>
      </w:r>
      <w:r>
        <w:t xml:space="preserve">a variety of </w:t>
      </w:r>
      <w:proofErr w:type="spellStart"/>
      <w:r>
        <w:t>Cognos</w:t>
      </w:r>
      <w:proofErr w:type="spellEnd"/>
      <w:r>
        <w:t xml:space="preserve"> Reports. </w:t>
      </w:r>
      <w:r w:rsidR="00393DBA">
        <w:t xml:space="preserve">Next select the </w:t>
      </w:r>
      <w:proofErr w:type="spellStart"/>
      <w:r w:rsidR="00393DBA" w:rsidRPr="00393DBA">
        <w:rPr>
          <w:i/>
        </w:rPr>
        <w:t>eRA</w:t>
      </w:r>
      <w:proofErr w:type="spellEnd"/>
      <w:r w:rsidR="00393DBA">
        <w:t xml:space="preserve"> folder, then the </w:t>
      </w:r>
      <w:r w:rsidR="00393DBA" w:rsidRPr="00393DBA">
        <w:rPr>
          <w:i/>
        </w:rPr>
        <w:t>CU Boulder</w:t>
      </w:r>
      <w:r w:rsidR="00393DBA">
        <w:t xml:space="preserve"> folder, then the </w:t>
      </w:r>
      <w:r w:rsidR="00393DBA">
        <w:rPr>
          <w:i/>
        </w:rPr>
        <w:t>Proposal and Award Tracking</w:t>
      </w:r>
      <w:r w:rsidR="00393DBA">
        <w:t xml:space="preserve"> folder. This route will </w:t>
      </w:r>
      <w:r w:rsidR="006A36E3">
        <w:t>show the</w:t>
      </w:r>
      <w:r w:rsidR="00393DBA">
        <w:t xml:space="preserve"> </w:t>
      </w:r>
      <w:r w:rsidR="00393DBA">
        <w:rPr>
          <w:i/>
        </w:rPr>
        <w:t xml:space="preserve">Closing Awards Report </w:t>
      </w:r>
      <w:r w:rsidR="00250FE5">
        <w:t>as highlighted below</w:t>
      </w:r>
      <w:r w:rsidR="006A36E3">
        <w:t>.</w:t>
      </w:r>
    </w:p>
    <w:p w14:paraId="57C6DF66" w14:textId="77777777" w:rsidR="00393DBA" w:rsidRDefault="00393DBA" w:rsidP="007123B9">
      <w:pPr>
        <w:ind w:left="360"/>
      </w:pPr>
      <w:r>
        <w:rPr>
          <w:noProof/>
        </w:rPr>
        <w:drawing>
          <wp:inline distT="0" distB="0" distL="0" distR="0" wp14:anchorId="4A076F25" wp14:editId="1A3FBDAE">
            <wp:extent cx="5943600" cy="30575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2487" b="30989"/>
                    <a:stretch/>
                  </pic:blipFill>
                  <pic:spPr bwMode="auto">
                    <a:xfrm>
                      <a:off x="0" y="0"/>
                      <a:ext cx="5943600" cy="3057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7531BD" w14:textId="77777777" w:rsidR="007123B9" w:rsidRDefault="007123B9" w:rsidP="007123B9">
      <w:pPr>
        <w:pStyle w:val="ListParagraph"/>
        <w:numPr>
          <w:ilvl w:val="0"/>
          <w:numId w:val="1"/>
        </w:numPr>
      </w:pPr>
      <w:r>
        <w:t xml:space="preserve">Select the </w:t>
      </w:r>
      <w:r>
        <w:rPr>
          <w:i/>
        </w:rPr>
        <w:t>Closing Awards Report</w:t>
      </w:r>
      <w:r w:rsidR="00250FE5">
        <w:t xml:space="preserve"> (Click the report name) </w:t>
      </w:r>
    </w:p>
    <w:p w14:paraId="4201BF6E" w14:textId="05D2C3CF" w:rsidR="00250FE5" w:rsidRDefault="00E70D8D" w:rsidP="007123B9">
      <w:pPr>
        <w:pStyle w:val="ListParagraph"/>
        <w:numPr>
          <w:ilvl w:val="0"/>
          <w:numId w:val="1"/>
        </w:numPr>
      </w:pPr>
      <w:r>
        <w:t>The next</w:t>
      </w:r>
      <w:r w:rsidR="00250FE5">
        <w:t xml:space="preserve"> screen brings up a list of reporting parameters to choose from</w:t>
      </w:r>
      <w:r w:rsidR="00807BF0">
        <w:t xml:space="preserve"> on the </w:t>
      </w:r>
      <w:r w:rsidR="00807BF0" w:rsidRPr="00807BF0">
        <w:rPr>
          <w:i/>
        </w:rPr>
        <w:t>Prompt Page</w:t>
      </w:r>
      <w:r w:rsidR="00250FE5">
        <w:t>. In the example below, the reporting parameters selected were t</w:t>
      </w:r>
      <w:r w:rsidR="006D69FE">
        <w:t>o display only awards</w:t>
      </w:r>
      <w:r w:rsidR="00250FE5">
        <w:t xml:space="preserve"> ending anytime in the month of February, 2016 and specific only to one department, </w:t>
      </w:r>
      <w:r w:rsidR="00807BF0">
        <w:t>10340 – Mechanical Engineering</w:t>
      </w:r>
      <w:r w:rsidR="006A36E3">
        <w:t>.</w:t>
      </w:r>
    </w:p>
    <w:p w14:paraId="5819B966" w14:textId="77777777" w:rsidR="00250FE5" w:rsidRDefault="00250FE5" w:rsidP="00250FE5">
      <w:pPr>
        <w:ind w:left="360"/>
      </w:pPr>
      <w:r>
        <w:rPr>
          <w:noProof/>
        </w:rPr>
        <w:lastRenderedPageBreak/>
        <w:drawing>
          <wp:inline distT="0" distB="0" distL="0" distR="0" wp14:anchorId="2727F698" wp14:editId="32D8D30E">
            <wp:extent cx="5692140" cy="5367957"/>
            <wp:effectExtent l="0" t="0" r="3810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3994"/>
                    <a:stretch/>
                  </pic:blipFill>
                  <pic:spPr bwMode="auto">
                    <a:xfrm>
                      <a:off x="0" y="0"/>
                      <a:ext cx="5713195" cy="53878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EA611B" w14:textId="63097A47" w:rsidR="006D69FE" w:rsidRPr="00393DBA" w:rsidRDefault="00E70D8D" w:rsidP="00FF241E">
      <w:pPr>
        <w:pStyle w:val="ListParagraph"/>
        <w:numPr>
          <w:ilvl w:val="0"/>
          <w:numId w:val="1"/>
        </w:numPr>
        <w:ind w:left="360"/>
      </w:pPr>
      <w:r>
        <w:t xml:space="preserve">Once the Finish button is selected on the </w:t>
      </w:r>
      <w:r w:rsidR="00807BF0" w:rsidRPr="00807BF0">
        <w:rPr>
          <w:i/>
        </w:rPr>
        <w:t>Prompt Page</w:t>
      </w:r>
      <w:r>
        <w:t>, t</w:t>
      </w:r>
      <w:r w:rsidR="00807BF0">
        <w:t>he s</w:t>
      </w:r>
      <w:r w:rsidR="006D69FE">
        <w:t xml:space="preserve">creen </w:t>
      </w:r>
      <w:r w:rsidR="00807BF0">
        <w:t xml:space="preserve">below </w:t>
      </w:r>
      <w:r>
        <w:t>populates.</w:t>
      </w:r>
      <w:r w:rsidR="00807BF0">
        <w:t xml:space="preserve"> (You can export to Excel if preferred) In</w:t>
      </w:r>
      <w:r w:rsidR="00B5616C">
        <w:t xml:space="preserve"> t</w:t>
      </w:r>
      <w:r w:rsidR="00807BF0">
        <w:t>his</w:t>
      </w:r>
      <w:r w:rsidR="00B5616C">
        <w:t xml:space="preserve"> example, t</w:t>
      </w:r>
      <w:r>
        <w:t>here is one award with a Period of Performance</w:t>
      </w:r>
      <w:r w:rsidR="006A36E3">
        <w:t xml:space="preserve"> (POP)</w:t>
      </w:r>
      <w:r>
        <w:t xml:space="preserve"> end date of </w:t>
      </w:r>
      <w:r w:rsidR="007E78BB">
        <w:t xml:space="preserve">2/28/2016. </w:t>
      </w:r>
      <w:bookmarkStart w:id="0" w:name="_GoBack"/>
      <w:bookmarkEnd w:id="0"/>
      <w:r w:rsidR="007E78BB">
        <w:t>Based on the award documents, k</w:t>
      </w:r>
      <w:r w:rsidR="006D69FE">
        <w:t xml:space="preserve">eep in mind this does not mean the award’s </w:t>
      </w:r>
      <w:r w:rsidR="00807BF0" w:rsidRPr="00807BF0">
        <w:rPr>
          <w:b/>
          <w:u w:val="single"/>
        </w:rPr>
        <w:t>p</w:t>
      </w:r>
      <w:r w:rsidRPr="00807BF0">
        <w:rPr>
          <w:b/>
          <w:u w:val="single"/>
        </w:rPr>
        <w:t>rojected</w:t>
      </w:r>
      <w:r w:rsidRPr="00E70D8D">
        <w:rPr>
          <w:b/>
        </w:rPr>
        <w:t xml:space="preserve"> </w:t>
      </w:r>
      <w:r w:rsidR="006A36E3">
        <w:t>POP</w:t>
      </w:r>
      <w:r w:rsidR="006D69FE">
        <w:t xml:space="preserve"> end date is 2016. In this example, </w:t>
      </w:r>
      <w:r w:rsidR="006A36E3">
        <w:t>this is an anticipated</w:t>
      </w:r>
      <w:r>
        <w:t xml:space="preserve"> 3 year award with a </w:t>
      </w:r>
      <w:r w:rsidR="00807BF0" w:rsidRPr="00807BF0">
        <w:rPr>
          <w:b/>
          <w:u w:val="single"/>
        </w:rPr>
        <w:t>p</w:t>
      </w:r>
      <w:r w:rsidRPr="00807BF0">
        <w:rPr>
          <w:b/>
          <w:u w:val="single"/>
        </w:rPr>
        <w:t>rojected</w:t>
      </w:r>
      <w:r w:rsidRPr="00807BF0">
        <w:rPr>
          <w:b/>
        </w:rPr>
        <w:t xml:space="preserve"> </w:t>
      </w:r>
      <w:r>
        <w:t xml:space="preserve">end date of 2018. </w:t>
      </w:r>
      <w:r w:rsidR="00807BF0">
        <w:t>Since it is projected to end in 2018, a funding increment/modification is expected to both extend the award</w:t>
      </w:r>
      <w:r w:rsidR="006A36E3">
        <w:t xml:space="preserve"> from the current date of 2016,</w:t>
      </w:r>
      <w:r w:rsidR="00807BF0">
        <w:t xml:space="preserve"> as well as increase the </w:t>
      </w:r>
      <w:r w:rsidR="006A36E3">
        <w:t xml:space="preserve">total </w:t>
      </w:r>
      <w:r w:rsidR="00807BF0">
        <w:t xml:space="preserve">funding. </w:t>
      </w:r>
      <w:r w:rsidR="006A36E3">
        <w:t xml:space="preserve">If the modification is not in process yet, check in with the </w:t>
      </w:r>
      <w:r w:rsidR="00464983">
        <w:t xml:space="preserve">project’s </w:t>
      </w:r>
      <w:r w:rsidR="006A36E3">
        <w:t>OCG Grant or Contract Officer so OCG ca</w:t>
      </w:r>
      <w:r w:rsidR="00464983">
        <w:t>n follow up with the Sponsor (</w:t>
      </w:r>
      <w:proofErr w:type="spellStart"/>
      <w:r w:rsidR="00464983">
        <w:t>ie</w:t>
      </w:r>
      <w:proofErr w:type="spellEnd"/>
      <w:r w:rsidR="00464983">
        <w:t>,</w:t>
      </w:r>
      <w:r w:rsidR="006A36E3">
        <w:t xml:space="preserve"> Cornell) on the next funding increment</w:t>
      </w:r>
      <w:r w:rsidR="00464983">
        <w:t xml:space="preserve"> or submit the PI’s request for the next funding increment.</w:t>
      </w:r>
      <w:r w:rsidR="006D69FE">
        <w:rPr>
          <w:noProof/>
        </w:rPr>
        <w:drawing>
          <wp:inline distT="0" distB="0" distL="0" distR="0" wp14:anchorId="3843702A" wp14:editId="6D056D17">
            <wp:extent cx="6134099" cy="1562100"/>
            <wp:effectExtent l="0" t="0" r="63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99596" cy="1578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69FE" w:rsidRPr="00393DBA" w:rsidSect="00E70D8D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8B7CEE"/>
    <w:multiLevelType w:val="hybridMultilevel"/>
    <w:tmpl w:val="821E2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DBA"/>
    <w:rsid w:val="00101DB0"/>
    <w:rsid w:val="00131B46"/>
    <w:rsid w:val="00250FE5"/>
    <w:rsid w:val="00393DBA"/>
    <w:rsid w:val="00464983"/>
    <w:rsid w:val="006A36E3"/>
    <w:rsid w:val="006D69FE"/>
    <w:rsid w:val="007123B9"/>
    <w:rsid w:val="007E78BB"/>
    <w:rsid w:val="00807BF0"/>
    <w:rsid w:val="00AA7B2B"/>
    <w:rsid w:val="00B5616C"/>
    <w:rsid w:val="00E7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09FA7"/>
  <w15:chartTrackingRefBased/>
  <w15:docId w15:val="{D8CEB17D-67A4-4471-B6B8-9B7E8F4F9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3D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3DB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93DBA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6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9F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70D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0D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0D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0D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0D8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ing.prod.cu.edu/idp/startSSO.ping?PartnerSpId=SP:EnterprisePortal&amp;IdpAdapterId=BoulderDirectory&amp;TargetResource=https://portal.prod.cu.edu%2Fpsp%2Fepprod%2FUCB2%2FENTP%2Fh%2F%3Ftab%3DCU_STAF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Leigh Litwin</dc:creator>
  <cp:keywords/>
  <dc:description/>
  <cp:lastModifiedBy>Patricia Kolenic Dodson</cp:lastModifiedBy>
  <cp:revision>2</cp:revision>
  <cp:lastPrinted>2016-01-25T23:37:00Z</cp:lastPrinted>
  <dcterms:created xsi:type="dcterms:W3CDTF">2016-01-26T22:49:00Z</dcterms:created>
  <dcterms:modified xsi:type="dcterms:W3CDTF">2016-01-26T22:49:00Z</dcterms:modified>
</cp:coreProperties>
</file>