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77DB" w14:textId="79BE142D" w:rsidR="00915501" w:rsidRPr="00790A54" w:rsidRDefault="00915501" w:rsidP="00915501">
      <w:pPr>
        <w:rPr>
          <w:b/>
          <w:color w:val="auto"/>
        </w:rPr>
      </w:pPr>
      <w:bookmarkStart w:id="0" w:name="_GoBack"/>
      <w:bookmarkEnd w:id="0"/>
      <w:r w:rsidRPr="00790A54">
        <w:rPr>
          <w:rFonts w:ascii="Bookman Old Style" w:hAnsi="Bookman Old Style"/>
          <w:color w:val="auto"/>
        </w:rPr>
        <w:t xml:space="preserve"> </w:t>
      </w:r>
      <w:r w:rsidRPr="00790A54">
        <w:rPr>
          <w:rFonts w:ascii="Bookman Old Style" w:hAnsi="Bookman Old Style"/>
          <w:color w:val="auto"/>
        </w:rPr>
        <w:tab/>
        <w:t xml:space="preserve"> </w:t>
      </w:r>
      <w:r w:rsidR="00B41595" w:rsidRPr="00790A54">
        <w:rPr>
          <w:rFonts w:ascii="Bookman Old Style" w:hAnsi="Bookman Old Style"/>
          <w:color w:val="auto"/>
        </w:rPr>
        <w:t xml:space="preserve"> </w:t>
      </w:r>
      <w:r w:rsidR="00B41595" w:rsidRPr="00790A54">
        <w:rPr>
          <w:rFonts w:ascii="Bookman Old Style" w:hAnsi="Bookman Old Style"/>
          <w:color w:val="auto"/>
        </w:rPr>
        <w:tab/>
      </w:r>
      <w:r w:rsidRPr="00790A54">
        <w:rPr>
          <w:rFonts w:ascii="Bookman Old Style" w:hAnsi="Bookman Old Style"/>
          <w:color w:val="auto"/>
        </w:rPr>
        <w:tab/>
      </w:r>
      <w:r w:rsidRPr="00790A54">
        <w:rPr>
          <w:b/>
          <w:color w:val="auto"/>
        </w:rPr>
        <w:t>HONOR CODE AND PROCEDURES</w:t>
      </w:r>
    </w:p>
    <w:p w14:paraId="072AD697" w14:textId="77777777" w:rsidR="00B41595" w:rsidRPr="00790A54" w:rsidRDefault="00B41595" w:rsidP="00915501">
      <w:pPr>
        <w:rPr>
          <w:b/>
          <w:color w:val="auto"/>
        </w:rPr>
      </w:pPr>
    </w:p>
    <w:p w14:paraId="6294DFA7" w14:textId="77777777" w:rsidR="00915501" w:rsidRPr="00790A54" w:rsidRDefault="00915501" w:rsidP="00915501">
      <w:pPr>
        <w:jc w:val="center"/>
        <w:rPr>
          <w:b/>
          <w:color w:val="auto"/>
        </w:rPr>
      </w:pPr>
    </w:p>
    <w:p w14:paraId="62D00D72" w14:textId="3220D456" w:rsidR="00B41595" w:rsidRPr="00790A54" w:rsidRDefault="00B41595" w:rsidP="00915501">
      <w:pPr>
        <w:spacing w:line="276" w:lineRule="auto"/>
        <w:rPr>
          <w:i/>
          <w:color w:val="auto"/>
        </w:rPr>
      </w:pPr>
    </w:p>
    <w:p w14:paraId="1B510445" w14:textId="77777777" w:rsidR="00B41595" w:rsidRPr="00790A54" w:rsidRDefault="00B41595" w:rsidP="00915501">
      <w:pPr>
        <w:spacing w:line="276" w:lineRule="auto"/>
        <w:rPr>
          <w:rFonts w:ascii="Bookman Old Style" w:hAnsi="Bookman Old Style"/>
          <w:color w:val="auto"/>
        </w:rPr>
        <w:sectPr w:rsidR="00B41595" w:rsidRPr="00790A54">
          <w:footerReference w:type="default" r:id="rId8"/>
          <w:pgSz w:w="12240" w:h="15840"/>
          <w:pgMar w:top="1140" w:right="1240" w:bottom="1220" w:left="1320" w:header="0" w:footer="720" w:gutter="0"/>
          <w:pgNumType w:start="1"/>
          <w:cols w:space="720"/>
        </w:sectPr>
      </w:pPr>
    </w:p>
    <w:p w14:paraId="6AA11A9E" w14:textId="77777777" w:rsidR="000E46FD" w:rsidRPr="00790A54" w:rsidRDefault="00966B41" w:rsidP="00E362E5">
      <w:pPr>
        <w:numPr>
          <w:ilvl w:val="0"/>
          <w:numId w:val="1"/>
        </w:numPr>
        <w:tabs>
          <w:tab w:val="left" w:pos="1401"/>
        </w:tabs>
        <w:spacing w:before="70" w:after="100" w:afterAutospacing="1"/>
        <w:rPr>
          <w:rFonts w:ascii="Bookman Old Style" w:hAnsi="Bookman Old Style"/>
          <w:b/>
          <w:color w:val="auto"/>
          <w:sz w:val="20"/>
          <w:szCs w:val="20"/>
        </w:rPr>
      </w:pPr>
      <w:r w:rsidRPr="00790A54">
        <w:rPr>
          <w:rFonts w:ascii="Bookman Old Style" w:hAnsi="Bookman Old Style"/>
          <w:b/>
          <w:color w:val="auto"/>
          <w:sz w:val="20"/>
          <w:szCs w:val="20"/>
        </w:rPr>
        <w:t>About the Honor Code</w:t>
      </w:r>
    </w:p>
    <w:p w14:paraId="52A52618" w14:textId="77777777" w:rsidR="000E46FD" w:rsidRPr="00790A54" w:rsidRDefault="00966B41" w:rsidP="00E362E5">
      <w:pPr>
        <w:numPr>
          <w:ilvl w:val="1"/>
          <w:numId w:val="1"/>
        </w:numPr>
        <w:tabs>
          <w:tab w:val="left" w:pos="1761"/>
        </w:tabs>
        <w:spacing w:before="195" w:after="100" w:afterAutospacing="1"/>
        <w:rPr>
          <w:rFonts w:ascii="Bookman Old Style" w:hAnsi="Bookman Old Style"/>
          <w:color w:val="auto"/>
          <w:sz w:val="20"/>
          <w:szCs w:val="20"/>
        </w:rPr>
      </w:pPr>
      <w:r w:rsidRPr="00790A54">
        <w:rPr>
          <w:rFonts w:ascii="Bookman Old Style" w:hAnsi="Bookman Old Style"/>
          <w:color w:val="auto"/>
          <w:sz w:val="20"/>
          <w:szCs w:val="20"/>
        </w:rPr>
        <w:t>Purpose</w:t>
      </w:r>
    </w:p>
    <w:p w14:paraId="24B34D4C" w14:textId="1985E4DA" w:rsidR="000E46FD" w:rsidRPr="00790A54" w:rsidRDefault="00966B41" w:rsidP="00E362E5">
      <w:pPr>
        <w:numPr>
          <w:ilvl w:val="2"/>
          <w:numId w:val="1"/>
        </w:numPr>
        <w:tabs>
          <w:tab w:val="left" w:pos="2121"/>
        </w:tabs>
        <w:spacing w:after="100" w:afterAutospacing="1"/>
        <w:ind w:right="947"/>
        <w:jc w:val="both"/>
        <w:rPr>
          <w:rFonts w:ascii="Bookman Old Style" w:hAnsi="Bookman Old Style"/>
          <w:color w:val="auto"/>
          <w:sz w:val="20"/>
          <w:szCs w:val="20"/>
        </w:rPr>
      </w:pPr>
      <w:r w:rsidRPr="00790A54">
        <w:rPr>
          <w:rFonts w:ascii="Bookman Old Style" w:hAnsi="Bookman Old Style"/>
          <w:color w:val="auto"/>
          <w:sz w:val="20"/>
          <w:szCs w:val="20"/>
        </w:rPr>
        <w:t>The purpose of the Honor Code at the University of Colorado Boulder is to secure an environment where academic integrity can flourish. The Honor Code recognizes the importance of honesty, trust, fairness, respect, and responsibility and aims to instill these principles as essential features of the University of Colorado Boulder campus. The Honor Code allows all students to have responsibility for, and the ability to attain, appropriate recognition for their academic and personal achievements</w:t>
      </w:r>
      <w:r w:rsidR="00437707" w:rsidRPr="00790A54">
        <w:rPr>
          <w:rFonts w:ascii="Bookman Old Style" w:hAnsi="Bookman Old Style"/>
          <w:color w:val="auto"/>
          <w:sz w:val="20"/>
          <w:szCs w:val="20"/>
        </w:rPr>
        <w:t>.</w:t>
      </w:r>
    </w:p>
    <w:p w14:paraId="0DA929A4" w14:textId="77777777" w:rsidR="000E46FD" w:rsidRPr="00790A54" w:rsidRDefault="00966B41" w:rsidP="00E362E5">
      <w:pPr>
        <w:numPr>
          <w:ilvl w:val="1"/>
          <w:numId w:val="1"/>
        </w:numPr>
        <w:tabs>
          <w:tab w:val="left" w:pos="1761"/>
        </w:tabs>
        <w:spacing w:before="196" w:after="100" w:afterAutospacing="1"/>
        <w:rPr>
          <w:rFonts w:ascii="Bookman Old Style" w:hAnsi="Bookman Old Style"/>
          <w:color w:val="auto"/>
          <w:sz w:val="20"/>
          <w:szCs w:val="20"/>
        </w:rPr>
      </w:pPr>
      <w:r w:rsidRPr="00790A54">
        <w:rPr>
          <w:rFonts w:ascii="Bookman Old Style" w:hAnsi="Bookman Old Style"/>
          <w:color w:val="auto"/>
          <w:sz w:val="20"/>
          <w:szCs w:val="20"/>
        </w:rPr>
        <w:t>Jurisdiction</w:t>
      </w:r>
    </w:p>
    <w:p w14:paraId="2DAF2191" w14:textId="62A8B774" w:rsidR="000E46FD" w:rsidRPr="00790A54" w:rsidRDefault="00966B41" w:rsidP="00E362E5">
      <w:pPr>
        <w:numPr>
          <w:ilvl w:val="2"/>
          <w:numId w:val="1"/>
        </w:numPr>
        <w:tabs>
          <w:tab w:val="left" w:pos="2121"/>
        </w:tabs>
        <w:spacing w:after="100" w:afterAutospacing="1"/>
        <w:ind w:right="948"/>
        <w:jc w:val="both"/>
        <w:rPr>
          <w:rFonts w:ascii="Bookman Old Style" w:hAnsi="Bookman Old Style"/>
          <w:color w:val="auto"/>
          <w:sz w:val="20"/>
          <w:szCs w:val="20"/>
        </w:rPr>
      </w:pPr>
      <w:r w:rsidRPr="00790A54">
        <w:rPr>
          <w:rFonts w:ascii="Bookman Old Style" w:hAnsi="Bookman Old Style"/>
          <w:color w:val="auto"/>
          <w:sz w:val="20"/>
          <w:szCs w:val="20"/>
        </w:rPr>
        <w:t>All students of the University of Colorado Boulder enrolled in credit o</w:t>
      </w:r>
      <w:r w:rsidR="00437707" w:rsidRPr="00790A54">
        <w:rPr>
          <w:rFonts w:ascii="Bookman Old Style" w:hAnsi="Bookman Old Style"/>
          <w:color w:val="auto"/>
          <w:sz w:val="20"/>
          <w:szCs w:val="20"/>
        </w:rPr>
        <w:t>r</w:t>
      </w:r>
      <w:r w:rsidRPr="00790A54">
        <w:rPr>
          <w:rFonts w:ascii="Bookman Old Style" w:hAnsi="Bookman Old Style"/>
          <w:color w:val="auto"/>
          <w:sz w:val="20"/>
          <w:szCs w:val="20"/>
        </w:rPr>
        <w:t xml:space="preserve"> non-credit classes are subject to the Honor Code for academic matters. The jurisdiction of the Honor Code includes, but is not limited to, the University of Colorado Boulder Campus, Continuing Education and Study Abroad classes and programs.</w:t>
      </w:r>
    </w:p>
    <w:p w14:paraId="5ED538FD" w14:textId="190AAAA3" w:rsidR="00E362E5" w:rsidRPr="00790A54" w:rsidRDefault="00966B41" w:rsidP="002B4C07">
      <w:pPr>
        <w:numPr>
          <w:ilvl w:val="3"/>
          <w:numId w:val="1"/>
        </w:numPr>
        <w:spacing w:before="195" w:after="100" w:afterAutospacing="1"/>
        <w:ind w:right="949"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As part of its role to prepare students for a self-regulating profession, the University </w:t>
      </w:r>
      <w:r w:rsidR="0070308A" w:rsidRPr="00790A54">
        <w:rPr>
          <w:rFonts w:ascii="Bookman Old Style" w:hAnsi="Bookman Old Style"/>
          <w:color w:val="auto"/>
          <w:sz w:val="20"/>
          <w:szCs w:val="20"/>
        </w:rPr>
        <w:t>Of Colorado School Of</w:t>
      </w:r>
      <w:r w:rsidRPr="00790A54">
        <w:rPr>
          <w:rFonts w:ascii="Bookman Old Style" w:hAnsi="Bookman Old Style"/>
          <w:color w:val="auto"/>
          <w:sz w:val="20"/>
          <w:szCs w:val="20"/>
        </w:rPr>
        <w:t xml:space="preserve"> Law will maintain, administer, and implement its long-standing Honor Code, and will submit all records pertaining to violations to </w:t>
      </w:r>
      <w:r w:rsidR="003F71A8" w:rsidRPr="00790A54">
        <w:rPr>
          <w:rFonts w:ascii="Bookman Old Style" w:hAnsi="Bookman Old Style"/>
          <w:color w:val="auto"/>
          <w:sz w:val="20"/>
          <w:szCs w:val="20"/>
        </w:rPr>
        <w:t xml:space="preserve">The Office of Student </w:t>
      </w:r>
      <w:r w:rsidR="00066685" w:rsidRPr="00790A54">
        <w:rPr>
          <w:rFonts w:ascii="Bookman Old Style" w:hAnsi="Bookman Old Style"/>
          <w:color w:val="auto"/>
          <w:sz w:val="20"/>
          <w:szCs w:val="20"/>
        </w:rPr>
        <w:t>Conduct &amp; Conflict</w:t>
      </w:r>
      <w:r w:rsidR="003F71A8" w:rsidRPr="00790A54">
        <w:rPr>
          <w:rFonts w:ascii="Bookman Old Style" w:hAnsi="Bookman Old Style"/>
          <w:color w:val="auto"/>
          <w:sz w:val="20"/>
          <w:szCs w:val="20"/>
        </w:rPr>
        <w:t xml:space="preserve"> Resolution</w:t>
      </w:r>
      <w:r w:rsidRPr="00790A54">
        <w:rPr>
          <w:rFonts w:ascii="Bookman Old Style" w:hAnsi="Bookman Old Style"/>
          <w:color w:val="auto"/>
          <w:sz w:val="20"/>
          <w:szCs w:val="20"/>
        </w:rPr>
        <w:t>.</w:t>
      </w:r>
    </w:p>
    <w:p w14:paraId="3ED22B7D" w14:textId="5A9105FD" w:rsidR="000E46FD" w:rsidRPr="00790A54" w:rsidRDefault="00966B41" w:rsidP="00E362E5">
      <w:pPr>
        <w:numPr>
          <w:ilvl w:val="2"/>
          <w:numId w:val="1"/>
        </w:numPr>
        <w:tabs>
          <w:tab w:val="left" w:pos="2481"/>
        </w:tabs>
        <w:spacing w:before="195" w:after="100" w:afterAutospacing="1"/>
        <w:ind w:right="949"/>
        <w:jc w:val="both"/>
        <w:rPr>
          <w:rFonts w:ascii="Bookman Old Style" w:hAnsi="Bookman Old Style"/>
          <w:color w:val="auto"/>
          <w:sz w:val="20"/>
          <w:szCs w:val="20"/>
        </w:rPr>
      </w:pPr>
      <w:r w:rsidRPr="00790A54">
        <w:rPr>
          <w:rFonts w:ascii="Bookman Old Style" w:hAnsi="Bookman Old Style"/>
          <w:color w:val="auto"/>
          <w:sz w:val="20"/>
          <w:szCs w:val="20"/>
        </w:rPr>
        <w:t xml:space="preserve">The Office of Student </w:t>
      </w:r>
      <w:r w:rsidR="00066685" w:rsidRPr="00790A54">
        <w:rPr>
          <w:rFonts w:ascii="Bookman Old Style" w:hAnsi="Bookman Old Style"/>
          <w:color w:val="auto"/>
          <w:sz w:val="20"/>
          <w:szCs w:val="20"/>
        </w:rPr>
        <w:t>Conduct &amp; Conflict</w:t>
      </w:r>
      <w:r w:rsidRPr="00790A54">
        <w:rPr>
          <w:rFonts w:ascii="Bookman Old Style" w:hAnsi="Bookman Old Style"/>
          <w:color w:val="auto"/>
          <w:sz w:val="20"/>
          <w:szCs w:val="20"/>
        </w:rPr>
        <w:t xml:space="preserve"> </w:t>
      </w:r>
      <w:r w:rsidR="005B505D" w:rsidRPr="00790A54">
        <w:rPr>
          <w:rFonts w:ascii="Bookman Old Style" w:hAnsi="Bookman Old Style"/>
          <w:color w:val="auto"/>
          <w:sz w:val="20"/>
          <w:szCs w:val="20"/>
        </w:rPr>
        <w:t>Resolution</w:t>
      </w:r>
      <w:r w:rsidR="00126152" w:rsidRPr="00790A54">
        <w:rPr>
          <w:rFonts w:ascii="Bookman Old Style" w:hAnsi="Bookman Old Style"/>
          <w:color w:val="auto"/>
          <w:sz w:val="20"/>
          <w:szCs w:val="20"/>
        </w:rPr>
        <w:t xml:space="preserve"> (OSCCR)</w:t>
      </w:r>
      <w:r w:rsidR="005B505D" w:rsidRPr="00790A54">
        <w:rPr>
          <w:rFonts w:ascii="Bookman Old Style" w:hAnsi="Bookman Old Style"/>
          <w:color w:val="auto"/>
          <w:sz w:val="20"/>
          <w:szCs w:val="20"/>
        </w:rPr>
        <w:t>,</w:t>
      </w:r>
      <w:r w:rsidR="003F71A8" w:rsidRPr="00790A54">
        <w:rPr>
          <w:rFonts w:ascii="Bookman Old Style" w:hAnsi="Bookman Old Style"/>
          <w:color w:val="auto"/>
          <w:sz w:val="20"/>
          <w:szCs w:val="20"/>
        </w:rPr>
        <w:t xml:space="preserve"> </w:t>
      </w:r>
      <w:r w:rsidRPr="00790A54">
        <w:rPr>
          <w:rFonts w:ascii="Bookman Old Style" w:hAnsi="Bookman Old Style"/>
          <w:color w:val="auto"/>
          <w:sz w:val="20"/>
          <w:szCs w:val="20"/>
        </w:rPr>
        <w:t>will work closely with the individual schools and colleges to promote academic integrity on a campus-wide basis.</w:t>
      </w:r>
    </w:p>
    <w:p w14:paraId="1FDB2078" w14:textId="77777777" w:rsidR="000E46FD" w:rsidRPr="00790A54" w:rsidRDefault="00966B41" w:rsidP="00E362E5">
      <w:pPr>
        <w:numPr>
          <w:ilvl w:val="2"/>
          <w:numId w:val="1"/>
        </w:numPr>
        <w:tabs>
          <w:tab w:val="left" w:pos="2121"/>
        </w:tabs>
        <w:spacing w:before="197" w:after="100" w:afterAutospacing="1"/>
        <w:ind w:right="949"/>
        <w:jc w:val="both"/>
        <w:rPr>
          <w:rFonts w:ascii="Bookman Old Style" w:hAnsi="Bookman Old Style"/>
          <w:color w:val="auto"/>
          <w:sz w:val="20"/>
          <w:szCs w:val="20"/>
        </w:rPr>
      </w:pPr>
      <w:r w:rsidRPr="00790A54">
        <w:rPr>
          <w:rFonts w:ascii="Bookman Old Style" w:hAnsi="Bookman Old Style"/>
          <w:color w:val="auto"/>
          <w:sz w:val="20"/>
          <w:szCs w:val="20"/>
        </w:rPr>
        <w:t>An Honor Code proceeding does not necessarily preclude other campus disciplinary proceedings, if the accused student’s conduct potentially violates another campus policy or policies.</w:t>
      </w:r>
    </w:p>
    <w:p w14:paraId="3B8FBBC4" w14:textId="69B84906" w:rsidR="0042224C" w:rsidRPr="00790A54" w:rsidRDefault="00966B41" w:rsidP="0042224C">
      <w:pPr>
        <w:numPr>
          <w:ilvl w:val="1"/>
          <w:numId w:val="1"/>
        </w:numPr>
        <w:tabs>
          <w:tab w:val="left" w:pos="1761"/>
        </w:tabs>
        <w:spacing w:before="197" w:after="100" w:afterAutospacing="1"/>
        <w:rPr>
          <w:rFonts w:ascii="Bookman Old Style" w:hAnsi="Bookman Old Style"/>
          <w:color w:val="auto"/>
          <w:sz w:val="20"/>
          <w:szCs w:val="20"/>
        </w:rPr>
      </w:pPr>
      <w:r w:rsidRPr="00790A54">
        <w:rPr>
          <w:rFonts w:ascii="Bookman Old Style" w:hAnsi="Bookman Old Style"/>
          <w:color w:val="auto"/>
          <w:sz w:val="20"/>
          <w:szCs w:val="20"/>
        </w:rPr>
        <w:t>Violations of the Honor Code</w:t>
      </w:r>
      <w:r w:rsidR="0042224C" w:rsidRPr="00790A54">
        <w:rPr>
          <w:rFonts w:ascii="Bookman Old Style" w:hAnsi="Bookman Old Style"/>
          <w:color w:val="auto"/>
          <w:sz w:val="20"/>
          <w:szCs w:val="20"/>
        </w:rPr>
        <w:t xml:space="preserve"> include any act of academic dishonesty as defined in Section A.4.a.</w:t>
      </w:r>
    </w:p>
    <w:p w14:paraId="5DD64F5B" w14:textId="77777777" w:rsidR="0042224C" w:rsidRPr="00790A54" w:rsidRDefault="0042224C" w:rsidP="0042224C">
      <w:pPr>
        <w:tabs>
          <w:tab w:val="left" w:pos="1761"/>
        </w:tabs>
        <w:ind w:left="1714"/>
        <w:rPr>
          <w:rFonts w:ascii="Bookman Old Style" w:hAnsi="Bookman Old Style"/>
          <w:color w:val="auto"/>
          <w:sz w:val="20"/>
          <w:szCs w:val="20"/>
        </w:rPr>
      </w:pPr>
    </w:p>
    <w:p w14:paraId="1A88F9B9" w14:textId="16734D3B" w:rsidR="000E46FD" w:rsidRPr="00790A54" w:rsidRDefault="00966B41" w:rsidP="00915501">
      <w:pPr>
        <w:numPr>
          <w:ilvl w:val="1"/>
          <w:numId w:val="1"/>
        </w:numPr>
        <w:tabs>
          <w:tab w:val="left" w:pos="2120"/>
          <w:tab w:val="left" w:pos="2121"/>
        </w:tabs>
        <w:spacing w:before="3" w:after="100" w:afterAutospacing="1"/>
        <w:rPr>
          <w:rFonts w:ascii="Bookman Old Style" w:hAnsi="Bookman Old Style"/>
          <w:color w:val="auto"/>
          <w:sz w:val="20"/>
          <w:szCs w:val="20"/>
        </w:rPr>
      </w:pPr>
      <w:r w:rsidRPr="00790A54">
        <w:rPr>
          <w:rFonts w:ascii="Bookman Old Style" w:hAnsi="Bookman Old Style"/>
          <w:color w:val="auto"/>
          <w:sz w:val="20"/>
          <w:szCs w:val="20"/>
        </w:rPr>
        <w:t>Definitions</w:t>
      </w:r>
    </w:p>
    <w:p w14:paraId="2768E4BD" w14:textId="77777777" w:rsidR="00B15D5A"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u w:val="single"/>
        </w:rPr>
        <w:t>Academic Dishonesty</w:t>
      </w:r>
      <w:r w:rsidRPr="00790A54">
        <w:rPr>
          <w:rFonts w:ascii="Bookman Old Style" w:hAnsi="Bookman Old Style"/>
          <w:color w:val="auto"/>
          <w:sz w:val="20"/>
          <w:szCs w:val="20"/>
        </w:rPr>
        <w:t>: Any act in which a student gains, or attempts to gain, an unfair academic advantage over other students. These acts may include, but are not limited to:</w:t>
      </w:r>
    </w:p>
    <w:p w14:paraId="115FFE82" w14:textId="77777777" w:rsidR="002B4C07"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Plagiarism</w:t>
      </w:r>
      <w:r w:rsidRPr="00790A54">
        <w:rPr>
          <w:rFonts w:ascii="Bookman Old Style" w:hAnsi="Bookman Old Style"/>
          <w:color w:val="auto"/>
          <w:sz w:val="20"/>
          <w:szCs w:val="20"/>
        </w:rPr>
        <w:t>: Portrayal of another’s work or ideas as one’s own</w:t>
      </w:r>
    </w:p>
    <w:p w14:paraId="45A7687F" w14:textId="0CB831ED" w:rsidR="00B15D5A"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Cheating</w:t>
      </w:r>
      <w:r w:rsidRPr="00790A54">
        <w:rPr>
          <w:rFonts w:ascii="Bookman Old Style" w:hAnsi="Bookman Old Style"/>
          <w:color w:val="auto"/>
          <w:sz w:val="20"/>
          <w:szCs w:val="20"/>
        </w:rPr>
        <w:t>: Using prohibited notes or study aids, allowing another party to do one's work/exam and turning in that work/exam as one's own, copying another student’s course work, and collaborating on course work when prohibited</w:t>
      </w:r>
    </w:p>
    <w:p w14:paraId="31FC6DF4"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Fabrication</w:t>
      </w:r>
      <w:r w:rsidRPr="00790A54">
        <w:rPr>
          <w:rFonts w:ascii="Bookman Old Style" w:hAnsi="Bookman Old Style"/>
          <w:color w:val="auto"/>
          <w:sz w:val="20"/>
          <w:szCs w:val="20"/>
        </w:rPr>
        <w:t xml:space="preserve">: Falsification or creation of data, research, or resources, altering a graded work without the prior consent of </w:t>
      </w:r>
      <w:r w:rsidRPr="00790A54">
        <w:rPr>
          <w:rFonts w:ascii="Bookman Old Style" w:hAnsi="Bookman Old Style"/>
          <w:color w:val="auto"/>
          <w:sz w:val="20"/>
          <w:szCs w:val="20"/>
        </w:rPr>
        <w:lastRenderedPageBreak/>
        <w:t>the course instructor</w:t>
      </w:r>
    </w:p>
    <w:p w14:paraId="6C10FCD2"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Lying</w:t>
      </w:r>
      <w:r w:rsidRPr="00790A54">
        <w:rPr>
          <w:rFonts w:ascii="Bookman Old Style" w:hAnsi="Bookman Old Style"/>
          <w:color w:val="auto"/>
          <w:sz w:val="20"/>
          <w:szCs w:val="20"/>
        </w:rPr>
        <w:t>: Deliberate falsification with the intent to deceive in written or verbal form as applied to an academic submission</w:t>
      </w:r>
    </w:p>
    <w:p w14:paraId="52794BBC"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Bribery</w:t>
      </w:r>
      <w:r w:rsidRPr="00790A54">
        <w:rPr>
          <w:rFonts w:ascii="Bookman Old Style" w:hAnsi="Bookman Old Style"/>
          <w:color w:val="auto"/>
          <w:sz w:val="20"/>
          <w:szCs w:val="20"/>
        </w:rPr>
        <w:t>: Providing, offering, or taking rewards in exchange for a grade, or, an assignment, or in the aid of Academic Dishonesty</w:t>
      </w:r>
    </w:p>
    <w:p w14:paraId="0A0F66A9" w14:textId="3A879951" w:rsidR="00E362E5"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Threat</w:t>
      </w:r>
      <w:r w:rsidRPr="00790A54">
        <w:rPr>
          <w:rFonts w:ascii="Bookman Old Style" w:hAnsi="Bookman Old Style"/>
          <w:color w:val="auto"/>
          <w:sz w:val="20"/>
          <w:szCs w:val="20"/>
        </w:rPr>
        <w:t>: An attempt to intimidate a student, staff, or faculty member for the purpose of receiving an unearned grade or in an effort to prevent the reporting of an Honor Code violation, or in connection with any o</w:t>
      </w:r>
      <w:r w:rsidR="00B15D5A" w:rsidRPr="00790A54">
        <w:rPr>
          <w:rFonts w:ascii="Bookman Old Style" w:hAnsi="Bookman Old Style"/>
          <w:color w:val="auto"/>
          <w:sz w:val="20"/>
          <w:szCs w:val="20"/>
        </w:rPr>
        <w:t>ther form of Academic Dishonesty</w:t>
      </w:r>
    </w:p>
    <w:p w14:paraId="674A6B28"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Unauthorized Access</w:t>
      </w:r>
      <w:r w:rsidRPr="00790A54">
        <w:rPr>
          <w:rFonts w:ascii="Bookman Old Style" w:hAnsi="Bookman Old Style"/>
          <w:color w:val="auto"/>
          <w:sz w:val="20"/>
          <w:szCs w:val="20"/>
        </w:rPr>
        <w:t>: Gaining unauthorized access to protected academic information including, but not limited to: CU-SIS; a faculty member’s computer, files, and/or office; or secure information on an online server</w:t>
      </w:r>
    </w:p>
    <w:p w14:paraId="16CD3250"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Clicker Fraud</w:t>
      </w:r>
      <w:r w:rsidRPr="00790A54">
        <w:rPr>
          <w:rFonts w:ascii="Bookman Old Style" w:hAnsi="Bookman Old Style"/>
          <w:color w:val="auto"/>
          <w:sz w:val="20"/>
          <w:szCs w:val="20"/>
        </w:rPr>
        <w:t>: Using, or having someone else use, clicker technology fraudulently in an effort to receive academic credit.</w:t>
      </w:r>
    </w:p>
    <w:p w14:paraId="6C8F7CB0"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Resubmission</w:t>
      </w:r>
      <w:r w:rsidRPr="00790A54">
        <w:rPr>
          <w:rFonts w:ascii="Bookman Old Style" w:hAnsi="Bookman Old Style"/>
          <w:color w:val="auto"/>
          <w:sz w:val="20"/>
          <w:szCs w:val="20"/>
        </w:rPr>
        <w:t>: Submitting the same or similar work for credit more than once without permission from</w:t>
      </w:r>
      <w:r w:rsidR="00B15D5A" w:rsidRPr="00790A54">
        <w:rPr>
          <w:rFonts w:ascii="Bookman Old Style" w:hAnsi="Bookman Old Style"/>
          <w:color w:val="auto"/>
          <w:sz w:val="20"/>
          <w:szCs w:val="20"/>
        </w:rPr>
        <w:t xml:space="preserve"> all course instructors involved</w:t>
      </w:r>
    </w:p>
    <w:p w14:paraId="78F96134"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u w:val="single"/>
        </w:rPr>
        <w:t>Aiding Academic Dishonesty</w:t>
      </w:r>
      <w:r w:rsidRPr="00790A54">
        <w:rPr>
          <w:rFonts w:ascii="Bookman Old Style" w:hAnsi="Bookman Old Style"/>
          <w:color w:val="auto"/>
          <w:sz w:val="20"/>
          <w:szCs w:val="20"/>
        </w:rPr>
        <w:t>: Intentionally facilitating any act which may help a student to gain an unfair academic advantage including, but not limited to, any of the aforementioned acts.</w:t>
      </w:r>
    </w:p>
    <w:p w14:paraId="4AD0D3D6" w14:textId="737CB06A" w:rsidR="00B15D5A" w:rsidRPr="00790A54" w:rsidRDefault="00966B41" w:rsidP="00B41595">
      <w:pPr>
        <w:numPr>
          <w:ilvl w:val="2"/>
          <w:numId w:val="1"/>
        </w:numPr>
        <w:tabs>
          <w:tab w:val="left" w:pos="2121"/>
        </w:tabs>
        <w:spacing w:before="120" w:after="100" w:afterAutospacing="1"/>
        <w:ind w:right="952"/>
        <w:rPr>
          <w:rFonts w:ascii="Bookman Old Style" w:hAnsi="Bookman Old Style"/>
          <w:color w:val="auto"/>
          <w:sz w:val="20"/>
          <w:szCs w:val="20"/>
        </w:rPr>
      </w:pPr>
      <w:r w:rsidRPr="00790A54">
        <w:rPr>
          <w:rFonts w:ascii="Bookman Old Style" w:hAnsi="Bookman Old Style"/>
          <w:color w:val="auto"/>
          <w:sz w:val="20"/>
          <w:szCs w:val="20"/>
          <w:u w:val="single"/>
        </w:rPr>
        <w:t>Faculty</w:t>
      </w:r>
      <w:r w:rsidRPr="00790A54">
        <w:rPr>
          <w:rFonts w:ascii="Bookman Old Style" w:hAnsi="Bookman Old Style"/>
          <w:color w:val="auto"/>
          <w:sz w:val="20"/>
          <w:szCs w:val="20"/>
        </w:rPr>
        <w:t>: All references to faculty include, but are not limited to: Deans</w:t>
      </w:r>
      <w:r w:rsidR="00790A54" w:rsidRPr="00790A54">
        <w:rPr>
          <w:rFonts w:ascii="Bookman Old Style" w:hAnsi="Bookman Old Style"/>
          <w:color w:val="auto"/>
          <w:sz w:val="20"/>
          <w:szCs w:val="20"/>
        </w:rPr>
        <w:t>,</w:t>
      </w:r>
      <w:r w:rsidR="00790A54" w:rsidRPr="00790A54">
        <w:rPr>
          <w:color w:val="auto"/>
        </w:rPr>
        <w:t xml:space="preserve"> Full Professors, Associate Professors, Assistant Professors, Research Professors, Teaching Professor, Senior Instructors, Instructors, Lecturers, Adjunct Faculty, Graduate Teaching Assistants, Graduate Part-time Instructors, and Undergraduate Teaching Assistants, </w:t>
      </w:r>
      <w:r w:rsidRPr="00790A54">
        <w:rPr>
          <w:rFonts w:ascii="Bookman Old Style" w:hAnsi="Bookman Old Style"/>
          <w:color w:val="auto"/>
          <w:sz w:val="20"/>
          <w:szCs w:val="20"/>
        </w:rPr>
        <w:t xml:space="preserve">Associate Professors, Assistant Professors, Research Professors, </w:t>
      </w:r>
      <w:r w:rsidR="0095673D" w:rsidRPr="00790A54">
        <w:rPr>
          <w:rFonts w:ascii="Bookman Old Style" w:hAnsi="Bookman Old Style"/>
          <w:color w:val="auto"/>
          <w:sz w:val="20"/>
          <w:szCs w:val="20"/>
        </w:rPr>
        <w:t xml:space="preserve">Full Professors and Teaching Professors, </w:t>
      </w:r>
      <w:r w:rsidRPr="00790A54">
        <w:rPr>
          <w:rFonts w:ascii="Bookman Old Style" w:hAnsi="Bookman Old Style"/>
          <w:color w:val="auto"/>
          <w:sz w:val="20"/>
          <w:szCs w:val="20"/>
        </w:rPr>
        <w:t>Senior Instructors, Instructors, Lecturers, Adjunct Faculty, Graduate Teaching Assistants, Graduate Part-time Instructors, and Undergraduate Teaching Assistants.</w:t>
      </w:r>
    </w:p>
    <w:p w14:paraId="330B1766" w14:textId="3008A158" w:rsidR="00B15D5A"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u w:val="single"/>
        </w:rPr>
        <w:t>Academic Sanctions</w:t>
      </w:r>
      <w:r w:rsidRPr="00790A54">
        <w:rPr>
          <w:rFonts w:ascii="Bookman Old Style" w:hAnsi="Bookman Old Style"/>
          <w:color w:val="auto"/>
          <w:sz w:val="20"/>
          <w:szCs w:val="20"/>
        </w:rPr>
        <w:t>: Academic Sanctions are</w:t>
      </w:r>
      <w:r w:rsidR="0070308A" w:rsidRPr="00790A54">
        <w:rPr>
          <w:rFonts w:ascii="Bookman Old Style" w:hAnsi="Bookman Old Style"/>
          <w:color w:val="auto"/>
          <w:sz w:val="20"/>
          <w:szCs w:val="20"/>
        </w:rPr>
        <w:t xml:space="preserve"> applied exclusively by faculty. T</w:t>
      </w:r>
      <w:r w:rsidRPr="00790A54">
        <w:rPr>
          <w:rFonts w:ascii="Bookman Old Style" w:hAnsi="Bookman Old Style"/>
          <w:color w:val="auto"/>
          <w:sz w:val="20"/>
          <w:szCs w:val="20"/>
        </w:rPr>
        <w:t xml:space="preserve">he Office of Student </w:t>
      </w:r>
      <w:r w:rsidR="00066685" w:rsidRPr="00790A54">
        <w:rPr>
          <w:rFonts w:ascii="Bookman Old Style" w:hAnsi="Bookman Old Style"/>
          <w:color w:val="auto"/>
          <w:sz w:val="20"/>
          <w:szCs w:val="20"/>
        </w:rPr>
        <w:t>Conduct &amp; Conflict</w:t>
      </w:r>
      <w:r w:rsidRPr="00790A54">
        <w:rPr>
          <w:rFonts w:ascii="Bookman Old Style" w:hAnsi="Bookman Old Style"/>
          <w:color w:val="auto"/>
          <w:sz w:val="20"/>
          <w:szCs w:val="20"/>
        </w:rPr>
        <w:t xml:space="preserve"> Resolution does not have jurisdiction over academic sanctions. Academic Sanctions may include, but are not limited to, assignment grades, assigning course grades, and/or requiring additional assignments.</w:t>
      </w:r>
    </w:p>
    <w:p w14:paraId="57D0D523" w14:textId="77777777" w:rsidR="00B15D5A"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In the event of an academic sanctions appeals process, the reporting party or the accused student may request that the hearing officer explain the reasoning for the outcome of an Honor Code case. </w:t>
      </w:r>
    </w:p>
    <w:p w14:paraId="5F0DB1FA" w14:textId="242B3F56" w:rsidR="00316DC3"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u w:val="single"/>
        </w:rPr>
        <w:t>Non-Academic Sanctions</w:t>
      </w:r>
      <w:r w:rsidRPr="00790A54">
        <w:rPr>
          <w:rFonts w:ascii="Bookman Old Style" w:hAnsi="Bookman Old Style"/>
          <w:color w:val="auto"/>
          <w:sz w:val="20"/>
          <w:szCs w:val="20"/>
        </w:rPr>
        <w:t xml:space="preserve">: Non-Academic Sanctions are issued by the </w:t>
      </w:r>
      <w:r w:rsidR="00316DC3" w:rsidRPr="00790A54">
        <w:rPr>
          <w:rFonts w:ascii="Bookman Old Style" w:hAnsi="Bookman Old Style"/>
          <w:color w:val="auto"/>
          <w:sz w:val="20"/>
          <w:szCs w:val="20"/>
        </w:rPr>
        <w:t>assigned hearing</w:t>
      </w:r>
      <w:r w:rsidRPr="00790A54">
        <w:rPr>
          <w:rFonts w:ascii="Bookman Old Style" w:hAnsi="Bookman Old Style"/>
          <w:color w:val="auto"/>
          <w:sz w:val="20"/>
          <w:szCs w:val="20"/>
        </w:rPr>
        <w:t xml:space="preserve"> officer, </w:t>
      </w:r>
      <w:r w:rsidR="0095561E" w:rsidRPr="00790A54">
        <w:rPr>
          <w:rFonts w:ascii="Bookman Old Style" w:hAnsi="Bookman Old Style"/>
          <w:color w:val="auto"/>
          <w:sz w:val="20"/>
          <w:szCs w:val="20"/>
        </w:rPr>
        <w:t>in consultation with the</w:t>
      </w:r>
      <w:r w:rsidRPr="00790A54">
        <w:rPr>
          <w:rFonts w:ascii="Bookman Old Style" w:hAnsi="Bookman Old Style"/>
          <w:color w:val="auto"/>
          <w:sz w:val="20"/>
          <w:szCs w:val="20"/>
        </w:rPr>
        <w:t xml:space="preserve"> </w:t>
      </w:r>
      <w:r w:rsidR="00316DC3" w:rsidRPr="00790A54">
        <w:rPr>
          <w:rFonts w:ascii="Bookman Old Style" w:hAnsi="Bookman Old Style"/>
          <w:color w:val="auto"/>
          <w:sz w:val="20"/>
          <w:szCs w:val="20"/>
        </w:rPr>
        <w:t>Advisory Board</w:t>
      </w:r>
      <w:r w:rsidRPr="00790A54">
        <w:rPr>
          <w:rFonts w:ascii="Bookman Old Style" w:hAnsi="Bookman Old Style"/>
          <w:color w:val="auto"/>
          <w:sz w:val="20"/>
          <w:szCs w:val="20"/>
        </w:rPr>
        <w:t xml:space="preserve"> upon the finding of an Honor Code violation. Non-Academic Sanctions for violations of the Honor Code include, but are not limited to:</w:t>
      </w:r>
    </w:p>
    <w:p w14:paraId="29794F80" w14:textId="09F1D2AF"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Recommendation for Expulsion (with </w:t>
      </w:r>
      <w:r w:rsidR="00915501" w:rsidRPr="00790A54">
        <w:rPr>
          <w:rFonts w:ascii="Bookman Old Style" w:hAnsi="Bookman Old Style"/>
          <w:color w:val="auto"/>
          <w:sz w:val="20"/>
          <w:szCs w:val="20"/>
        </w:rPr>
        <w:t xml:space="preserve">automatic transcript notation) </w:t>
      </w:r>
    </w:p>
    <w:p w14:paraId="07E78F09" w14:textId="1E6EE7F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lastRenderedPageBreak/>
        <w:t xml:space="preserve">Recommendation for Suspension (with automatic transcript notation for the period of suspension) </w:t>
      </w:r>
    </w:p>
    <w:p w14:paraId="6AE9B016"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Honor Code Probation</w:t>
      </w:r>
    </w:p>
    <w:p w14:paraId="5D4855AC"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Academic Ethics Seminar</w:t>
      </w:r>
    </w:p>
    <w:p w14:paraId="63010BF9"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Writing Seminar</w:t>
      </w:r>
    </w:p>
    <w:p w14:paraId="37EDBD82"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Educational/Skill Building Workshops</w:t>
      </w:r>
    </w:p>
    <w:p w14:paraId="237B6656"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Communit</w:t>
      </w:r>
      <w:r w:rsidR="00B15D5A" w:rsidRPr="00790A54">
        <w:rPr>
          <w:rFonts w:ascii="Bookman Old Style" w:hAnsi="Bookman Old Style"/>
          <w:color w:val="auto"/>
          <w:sz w:val="20"/>
          <w:szCs w:val="20"/>
        </w:rPr>
        <w:t>y Service</w:t>
      </w:r>
    </w:p>
    <w:p w14:paraId="5ECE7074" w14:textId="77777777" w:rsidR="00316DC3" w:rsidRPr="00790A54" w:rsidRDefault="00B15D5A"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R</w:t>
      </w:r>
      <w:r w:rsidR="00966B41" w:rsidRPr="00790A54">
        <w:rPr>
          <w:rFonts w:ascii="Bookman Old Style" w:hAnsi="Bookman Old Style"/>
          <w:color w:val="auto"/>
          <w:sz w:val="20"/>
          <w:szCs w:val="20"/>
        </w:rPr>
        <w:t>eflection paper</w:t>
      </w:r>
    </w:p>
    <w:p w14:paraId="61D6CAB2"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Letter of Warning</w:t>
      </w:r>
    </w:p>
    <w:p w14:paraId="69062628" w14:textId="77777777" w:rsidR="00F158C2" w:rsidRPr="00790A54" w:rsidRDefault="00F158C2" w:rsidP="00F158C2">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Roles</w:t>
      </w:r>
    </w:p>
    <w:p w14:paraId="2BF2BFFF" w14:textId="77777777" w:rsidR="00F158C2" w:rsidRPr="00790A54" w:rsidRDefault="00F158C2" w:rsidP="0091550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Hearing Officer</w:t>
      </w:r>
    </w:p>
    <w:p w14:paraId="1ABC6FF5" w14:textId="2E3F19B1" w:rsidR="00F158C2" w:rsidRPr="00790A54" w:rsidRDefault="00F158C2" w:rsidP="00B41595">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The hearing officer will include any university staff member designated to investigate and/or make decisions about facts in honor code case. Hearing officers have the authority to determine sanctions including, but not limited to probation, formal disciplinary probation, suspension, expulsion, and educational sanctions</w:t>
      </w:r>
      <w:r w:rsidR="00915501" w:rsidRPr="00790A54">
        <w:rPr>
          <w:rFonts w:ascii="Bookman Old Style" w:hAnsi="Bookman Old Style"/>
          <w:color w:val="auto"/>
          <w:sz w:val="20"/>
          <w:szCs w:val="20"/>
        </w:rPr>
        <w:t>.</w:t>
      </w:r>
    </w:p>
    <w:p w14:paraId="4A1FC712" w14:textId="60667B97" w:rsidR="00F158C2" w:rsidRPr="00790A54" w:rsidRDefault="00F158C2" w:rsidP="0091550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Case </w:t>
      </w:r>
      <w:r w:rsidR="00EC7E67" w:rsidRPr="00790A54">
        <w:rPr>
          <w:rFonts w:ascii="Bookman Old Style" w:hAnsi="Bookman Old Style"/>
          <w:color w:val="auto"/>
          <w:sz w:val="20"/>
          <w:szCs w:val="20"/>
        </w:rPr>
        <w:t>R</w:t>
      </w:r>
      <w:r w:rsidRPr="00790A54">
        <w:rPr>
          <w:rFonts w:ascii="Bookman Old Style" w:hAnsi="Bookman Old Style"/>
          <w:color w:val="auto"/>
          <w:sz w:val="20"/>
          <w:szCs w:val="20"/>
        </w:rPr>
        <w:t>epresentative</w:t>
      </w:r>
    </w:p>
    <w:p w14:paraId="4024D8CD" w14:textId="3D229D2F" w:rsidR="00F158C2" w:rsidRPr="00790A54" w:rsidRDefault="00F158C2" w:rsidP="00B41595">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Case Representatives are </w:t>
      </w:r>
      <w:r w:rsidR="00F12536" w:rsidRPr="00790A54">
        <w:rPr>
          <w:rFonts w:ascii="Bookman Old Style" w:hAnsi="Bookman Old Style"/>
          <w:color w:val="auto"/>
          <w:sz w:val="20"/>
          <w:szCs w:val="20"/>
        </w:rPr>
        <w:t>student employee</w:t>
      </w:r>
      <w:r w:rsidRPr="00790A54">
        <w:rPr>
          <w:rFonts w:ascii="Bookman Old Style" w:hAnsi="Bookman Old Style"/>
          <w:color w:val="auto"/>
          <w:sz w:val="20"/>
          <w:szCs w:val="20"/>
        </w:rPr>
        <w:t xml:space="preserve"> positions that ensure the involvement </w:t>
      </w:r>
      <w:r w:rsidR="00F12536" w:rsidRPr="00790A54">
        <w:rPr>
          <w:rFonts w:ascii="Bookman Old Style" w:hAnsi="Bookman Old Style"/>
          <w:color w:val="auto"/>
          <w:sz w:val="20"/>
          <w:szCs w:val="20"/>
        </w:rPr>
        <w:t xml:space="preserve">and expertise </w:t>
      </w:r>
      <w:r w:rsidRPr="00790A54">
        <w:rPr>
          <w:rFonts w:ascii="Bookman Old Style" w:hAnsi="Bookman Old Style"/>
          <w:color w:val="auto"/>
          <w:sz w:val="20"/>
          <w:szCs w:val="20"/>
        </w:rPr>
        <w:t xml:space="preserve">of students. </w:t>
      </w:r>
      <w:r w:rsidR="00F12536" w:rsidRPr="00790A54">
        <w:rPr>
          <w:rFonts w:ascii="Bookman Old Style" w:hAnsi="Bookman Old Style"/>
          <w:color w:val="auto"/>
          <w:sz w:val="20"/>
          <w:szCs w:val="20"/>
        </w:rPr>
        <w:t>Case Representatives m</w:t>
      </w:r>
      <w:r w:rsidRPr="00790A54">
        <w:rPr>
          <w:rFonts w:ascii="Bookman Old Style" w:hAnsi="Bookman Old Style"/>
          <w:color w:val="auto"/>
          <w:sz w:val="20"/>
          <w:szCs w:val="20"/>
        </w:rPr>
        <w:t>eet with students alleged of violating the Honor Code to provide students with an overview of the process</w:t>
      </w:r>
      <w:r w:rsidR="00AB238B" w:rsidRPr="00790A54">
        <w:rPr>
          <w:rFonts w:ascii="Bookman Old Style" w:hAnsi="Bookman Old Style"/>
          <w:color w:val="auto"/>
          <w:sz w:val="20"/>
          <w:szCs w:val="20"/>
        </w:rPr>
        <w:t xml:space="preserve">. Case Representatives provide the hearing officer with the student perspective. </w:t>
      </w:r>
      <w:r w:rsidR="0095673D" w:rsidRPr="00790A54">
        <w:rPr>
          <w:rFonts w:ascii="Bookman Old Style" w:hAnsi="Bookman Old Style"/>
          <w:color w:val="auto"/>
          <w:sz w:val="20"/>
          <w:szCs w:val="20"/>
        </w:rPr>
        <w:t>Case Represent</w:t>
      </w:r>
      <w:r w:rsidR="00AB238B" w:rsidRPr="00790A54">
        <w:rPr>
          <w:rFonts w:ascii="Bookman Old Style" w:hAnsi="Bookman Old Style"/>
          <w:color w:val="auto"/>
          <w:sz w:val="20"/>
          <w:szCs w:val="20"/>
        </w:rPr>
        <w:t xml:space="preserve">atives </w:t>
      </w:r>
      <w:r w:rsidR="0095673D" w:rsidRPr="00790A54">
        <w:rPr>
          <w:rFonts w:ascii="Bookman Old Style" w:hAnsi="Bookman Old Style"/>
          <w:color w:val="auto"/>
          <w:sz w:val="20"/>
          <w:szCs w:val="20"/>
        </w:rPr>
        <w:t xml:space="preserve">increase awareness of the </w:t>
      </w:r>
      <w:r w:rsidRPr="00790A54">
        <w:rPr>
          <w:rFonts w:ascii="Bookman Old Style" w:hAnsi="Bookman Old Style"/>
          <w:color w:val="auto"/>
          <w:sz w:val="20"/>
          <w:szCs w:val="20"/>
        </w:rPr>
        <w:t>Honor Code</w:t>
      </w:r>
      <w:r w:rsidR="0095673D" w:rsidRPr="00790A54">
        <w:rPr>
          <w:rFonts w:ascii="Bookman Old Style" w:hAnsi="Bookman Old Style"/>
          <w:color w:val="auto"/>
          <w:sz w:val="20"/>
          <w:szCs w:val="20"/>
        </w:rPr>
        <w:t xml:space="preserve"> on campus</w:t>
      </w:r>
      <w:r w:rsidRPr="00790A54">
        <w:rPr>
          <w:rFonts w:ascii="Bookman Old Style" w:hAnsi="Bookman Old Style"/>
          <w:color w:val="auto"/>
          <w:sz w:val="20"/>
          <w:szCs w:val="20"/>
        </w:rPr>
        <w:t xml:space="preserve"> by </w:t>
      </w:r>
      <w:r w:rsidR="0095673D" w:rsidRPr="00790A54">
        <w:rPr>
          <w:rFonts w:ascii="Bookman Old Style" w:hAnsi="Bookman Old Style"/>
          <w:color w:val="auto"/>
          <w:sz w:val="20"/>
          <w:szCs w:val="20"/>
        </w:rPr>
        <w:t xml:space="preserve">collaborating with students and faculty to facilitate presentations, distribute information, and communication about issues of academics misconduct. </w:t>
      </w:r>
    </w:p>
    <w:p w14:paraId="609E1374" w14:textId="77777777" w:rsidR="00F158C2" w:rsidRPr="00790A54" w:rsidRDefault="00F158C2" w:rsidP="0091550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Faculty</w:t>
      </w:r>
    </w:p>
    <w:p w14:paraId="177E5309" w14:textId="0755337C" w:rsidR="00915501" w:rsidRPr="00790A54" w:rsidRDefault="00915501" w:rsidP="00B41595">
      <w:pPr>
        <w:numPr>
          <w:ilvl w:val="3"/>
          <w:numId w:val="1"/>
        </w:numPr>
        <w:tabs>
          <w:tab w:val="left" w:pos="2121"/>
        </w:tabs>
        <w:spacing w:before="120" w:after="100" w:afterAutospacing="1"/>
        <w:ind w:left="2606" w:right="950"/>
        <w:rPr>
          <w:rFonts w:ascii="Bookman Old Style" w:hAnsi="Bookman Old Style"/>
          <w:color w:val="auto"/>
          <w:sz w:val="20"/>
          <w:szCs w:val="20"/>
        </w:rPr>
      </w:pPr>
      <w:r w:rsidRPr="00790A54">
        <w:rPr>
          <w:rFonts w:ascii="Bookman Old Style" w:hAnsi="Bookman Old Style"/>
          <w:color w:val="auto"/>
          <w:sz w:val="20"/>
          <w:szCs w:val="20"/>
        </w:rPr>
        <w:t>Faculty are expected to support and promote academic integrity and honor within their classrooms. They are encouraged to refer to the Honor Code on all pertinent materials including syllabi, tests, and other assignments. Faculty are encouraged to discuss the Honor Code periodically in class as it applies to their courses.</w:t>
      </w:r>
    </w:p>
    <w:p w14:paraId="03A027E7" w14:textId="1B3ED743" w:rsidR="00F158C2" w:rsidRPr="00790A54" w:rsidRDefault="00F158C2" w:rsidP="00915501">
      <w:pPr>
        <w:numPr>
          <w:ilvl w:val="3"/>
          <w:numId w:val="1"/>
        </w:numPr>
        <w:tabs>
          <w:tab w:val="left" w:pos="2121"/>
        </w:tabs>
        <w:spacing w:before="120" w:after="100" w:afterAutospacing="1"/>
        <w:ind w:right="952"/>
        <w:rPr>
          <w:rFonts w:ascii="Bookman Old Style" w:hAnsi="Bookman Old Style"/>
          <w:color w:val="auto"/>
          <w:sz w:val="20"/>
          <w:szCs w:val="20"/>
        </w:rPr>
      </w:pPr>
      <w:r w:rsidRPr="00790A54">
        <w:rPr>
          <w:rFonts w:ascii="Bookman Old Style" w:hAnsi="Bookman Old Style"/>
          <w:color w:val="auto"/>
          <w:sz w:val="20"/>
          <w:szCs w:val="20"/>
        </w:rPr>
        <w:t xml:space="preserve">Reporting faculty are responsible for providing any documentation of alleged honor code violations a student may </w:t>
      </w:r>
      <w:r w:rsidR="0095673D" w:rsidRPr="00790A54">
        <w:rPr>
          <w:rFonts w:ascii="Bookman Old Style" w:hAnsi="Bookman Old Style"/>
          <w:color w:val="auto"/>
          <w:sz w:val="20"/>
          <w:szCs w:val="20"/>
        </w:rPr>
        <w:t>have committed. Hearing officer</w:t>
      </w:r>
      <w:r w:rsidRPr="00790A54">
        <w:rPr>
          <w:rFonts w:ascii="Bookman Old Style" w:hAnsi="Bookman Old Style"/>
          <w:color w:val="auto"/>
          <w:sz w:val="20"/>
          <w:szCs w:val="20"/>
        </w:rPr>
        <w:t xml:space="preserve"> investigating may reach out to reporting faculty for more information if deemed necessary. </w:t>
      </w:r>
      <w:r w:rsidR="00915501" w:rsidRPr="00790A54">
        <w:rPr>
          <w:rFonts w:ascii="Bookman Old Style" w:hAnsi="Bookman Old Style"/>
          <w:color w:val="auto"/>
          <w:sz w:val="20"/>
          <w:szCs w:val="20"/>
        </w:rPr>
        <w:br/>
      </w:r>
    </w:p>
    <w:p w14:paraId="32278D07" w14:textId="77777777" w:rsidR="00F158C2" w:rsidRPr="00790A54" w:rsidRDefault="00F158C2" w:rsidP="0091550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Advisory Board</w:t>
      </w:r>
    </w:p>
    <w:p w14:paraId="325A23A7" w14:textId="33E920C5" w:rsidR="00F158C2" w:rsidRPr="00790A54" w:rsidRDefault="00F158C2" w:rsidP="00915501">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Advisory Board is comprised of </w:t>
      </w:r>
      <w:r w:rsidR="009A7FCA" w:rsidRPr="00790A54">
        <w:rPr>
          <w:rFonts w:ascii="Bookman Old Style" w:hAnsi="Bookman Old Style"/>
          <w:color w:val="auto"/>
          <w:sz w:val="20"/>
          <w:szCs w:val="20"/>
        </w:rPr>
        <w:t>three</w:t>
      </w:r>
      <w:r w:rsidRPr="00790A54">
        <w:rPr>
          <w:rFonts w:ascii="Bookman Old Style" w:hAnsi="Bookman Old Style"/>
          <w:color w:val="auto"/>
          <w:sz w:val="20"/>
          <w:szCs w:val="20"/>
        </w:rPr>
        <w:t xml:space="preserve"> faculty members and </w:t>
      </w:r>
      <w:r w:rsidR="009A7FCA" w:rsidRPr="00790A54">
        <w:rPr>
          <w:rFonts w:ascii="Bookman Old Style" w:hAnsi="Bookman Old Style"/>
          <w:color w:val="auto"/>
          <w:sz w:val="20"/>
          <w:szCs w:val="20"/>
        </w:rPr>
        <w:t>three</w:t>
      </w:r>
      <w:r w:rsidRPr="00790A54">
        <w:rPr>
          <w:rFonts w:ascii="Bookman Old Style" w:hAnsi="Bookman Old Style"/>
          <w:color w:val="auto"/>
          <w:sz w:val="20"/>
          <w:szCs w:val="20"/>
        </w:rPr>
        <w:t xml:space="preserve"> </w:t>
      </w:r>
      <w:r w:rsidR="00FB7AD2" w:rsidRPr="00790A54">
        <w:rPr>
          <w:rFonts w:ascii="Bookman Old Style" w:hAnsi="Bookman Old Style"/>
          <w:color w:val="auto"/>
          <w:sz w:val="20"/>
          <w:szCs w:val="20"/>
        </w:rPr>
        <w:t>s</w:t>
      </w:r>
      <w:r w:rsidRPr="00790A54">
        <w:rPr>
          <w:rFonts w:ascii="Bookman Old Style" w:hAnsi="Bookman Old Style"/>
          <w:color w:val="auto"/>
          <w:sz w:val="20"/>
          <w:szCs w:val="20"/>
        </w:rPr>
        <w:t>tudents.</w:t>
      </w:r>
      <w:r w:rsidR="0095673D" w:rsidRPr="00790A54">
        <w:rPr>
          <w:rFonts w:ascii="Bookman Old Style" w:hAnsi="Bookman Old Style"/>
          <w:color w:val="auto"/>
          <w:sz w:val="20"/>
          <w:szCs w:val="20"/>
        </w:rPr>
        <w:t xml:space="preserve"> If the Advisory Board reviews a graduate </w:t>
      </w:r>
      <w:r w:rsidR="00FB7AD2" w:rsidRPr="00790A54">
        <w:rPr>
          <w:rFonts w:ascii="Bookman Old Style" w:hAnsi="Bookman Old Style"/>
          <w:color w:val="auto"/>
          <w:sz w:val="20"/>
          <w:szCs w:val="20"/>
        </w:rPr>
        <w:t xml:space="preserve">student </w:t>
      </w:r>
      <w:r w:rsidR="0095673D" w:rsidRPr="00790A54">
        <w:rPr>
          <w:rFonts w:ascii="Bookman Old Style" w:hAnsi="Bookman Old Style"/>
          <w:color w:val="auto"/>
          <w:sz w:val="20"/>
          <w:szCs w:val="20"/>
        </w:rPr>
        <w:t>ca</w:t>
      </w:r>
      <w:r w:rsidR="00FB7AD2" w:rsidRPr="00790A54">
        <w:rPr>
          <w:rFonts w:ascii="Bookman Old Style" w:hAnsi="Bookman Old Style"/>
          <w:color w:val="auto"/>
          <w:sz w:val="20"/>
          <w:szCs w:val="20"/>
        </w:rPr>
        <w:t>se, one of the students on the B</w:t>
      </w:r>
      <w:r w:rsidR="0095673D" w:rsidRPr="00790A54">
        <w:rPr>
          <w:rFonts w:ascii="Bookman Old Style" w:hAnsi="Bookman Old Style"/>
          <w:color w:val="auto"/>
          <w:sz w:val="20"/>
          <w:szCs w:val="20"/>
        </w:rPr>
        <w:t>oard will be a graduate student.</w:t>
      </w:r>
      <w:r w:rsidRPr="00790A54">
        <w:rPr>
          <w:rFonts w:ascii="Bookman Old Style" w:hAnsi="Bookman Old Style"/>
          <w:color w:val="auto"/>
          <w:sz w:val="20"/>
          <w:szCs w:val="20"/>
        </w:rPr>
        <w:t xml:space="preserve"> The </w:t>
      </w:r>
      <w:r w:rsidR="002A225D" w:rsidRPr="00790A54">
        <w:rPr>
          <w:rFonts w:ascii="Bookman Old Style" w:hAnsi="Bookman Old Style"/>
          <w:color w:val="auto"/>
          <w:sz w:val="20"/>
          <w:szCs w:val="20"/>
        </w:rPr>
        <w:t xml:space="preserve">Faculty </w:t>
      </w:r>
      <w:r w:rsidR="00FB7AD2" w:rsidRPr="00790A54">
        <w:rPr>
          <w:rFonts w:ascii="Bookman Old Style" w:hAnsi="Bookman Old Style"/>
          <w:color w:val="auto"/>
          <w:sz w:val="20"/>
          <w:szCs w:val="20"/>
        </w:rPr>
        <w:t>on</w:t>
      </w:r>
      <w:r w:rsidR="002A225D" w:rsidRPr="00790A54">
        <w:rPr>
          <w:rFonts w:ascii="Bookman Old Style" w:hAnsi="Bookman Old Style"/>
          <w:color w:val="auto"/>
          <w:sz w:val="20"/>
          <w:szCs w:val="20"/>
        </w:rPr>
        <w:t xml:space="preserve"> the Advisory </w:t>
      </w:r>
      <w:r w:rsidR="009A7FCA" w:rsidRPr="00790A54">
        <w:rPr>
          <w:rFonts w:ascii="Bookman Old Style" w:hAnsi="Bookman Old Style"/>
          <w:color w:val="auto"/>
          <w:sz w:val="20"/>
          <w:szCs w:val="20"/>
        </w:rPr>
        <w:t>B</w:t>
      </w:r>
      <w:r w:rsidR="002A225D" w:rsidRPr="00790A54">
        <w:rPr>
          <w:rFonts w:ascii="Bookman Old Style" w:hAnsi="Bookman Old Style"/>
          <w:color w:val="auto"/>
          <w:sz w:val="20"/>
          <w:szCs w:val="20"/>
        </w:rPr>
        <w:t>oard</w:t>
      </w:r>
      <w:r w:rsidRPr="00790A54">
        <w:rPr>
          <w:rFonts w:ascii="Bookman Old Style" w:hAnsi="Bookman Old Style"/>
          <w:color w:val="auto"/>
          <w:sz w:val="20"/>
          <w:szCs w:val="20"/>
        </w:rPr>
        <w:t xml:space="preserve"> </w:t>
      </w:r>
      <w:r w:rsidR="00FB7AD2" w:rsidRPr="00790A54">
        <w:rPr>
          <w:rFonts w:ascii="Bookman Old Style" w:hAnsi="Bookman Old Style"/>
          <w:color w:val="auto"/>
          <w:sz w:val="20"/>
          <w:szCs w:val="20"/>
        </w:rPr>
        <w:t xml:space="preserve">are </w:t>
      </w:r>
      <w:r w:rsidRPr="00790A54">
        <w:rPr>
          <w:rFonts w:ascii="Bookman Old Style" w:hAnsi="Bookman Old Style"/>
          <w:color w:val="auto"/>
          <w:sz w:val="20"/>
          <w:szCs w:val="20"/>
        </w:rPr>
        <w:lastRenderedPageBreak/>
        <w:t>selected by Boulder Faculty Assembly Chair.</w:t>
      </w:r>
      <w:r w:rsidR="002A225D" w:rsidRPr="00790A54">
        <w:rPr>
          <w:rFonts w:ascii="Bookman Old Style" w:hAnsi="Bookman Old Style"/>
          <w:color w:val="auto"/>
          <w:sz w:val="20"/>
          <w:szCs w:val="20"/>
        </w:rPr>
        <w:t xml:space="preserve"> The </w:t>
      </w:r>
      <w:r w:rsidR="00A67B0E" w:rsidRPr="00790A54">
        <w:rPr>
          <w:rFonts w:ascii="Bookman Old Style" w:hAnsi="Bookman Old Style"/>
          <w:color w:val="auto"/>
          <w:sz w:val="20"/>
          <w:szCs w:val="20"/>
        </w:rPr>
        <w:t xml:space="preserve">students </w:t>
      </w:r>
      <w:r w:rsidR="00FB7AD2" w:rsidRPr="00790A54">
        <w:rPr>
          <w:rFonts w:ascii="Bookman Old Style" w:hAnsi="Bookman Old Style"/>
          <w:color w:val="auto"/>
          <w:sz w:val="20"/>
          <w:szCs w:val="20"/>
        </w:rPr>
        <w:t>on</w:t>
      </w:r>
      <w:r w:rsidR="002A225D" w:rsidRPr="00790A54">
        <w:rPr>
          <w:rFonts w:ascii="Bookman Old Style" w:hAnsi="Bookman Old Style"/>
          <w:color w:val="auto"/>
          <w:sz w:val="20"/>
          <w:szCs w:val="20"/>
        </w:rPr>
        <w:t xml:space="preserve"> the Advisory Board </w:t>
      </w:r>
      <w:r w:rsidR="009A7FCA" w:rsidRPr="00790A54">
        <w:rPr>
          <w:rFonts w:ascii="Bookman Old Style" w:hAnsi="Bookman Old Style"/>
          <w:color w:val="auto"/>
          <w:sz w:val="20"/>
          <w:szCs w:val="20"/>
        </w:rPr>
        <w:t>are</w:t>
      </w:r>
      <w:r w:rsidR="002A225D" w:rsidRPr="00790A54">
        <w:rPr>
          <w:rFonts w:ascii="Bookman Old Style" w:hAnsi="Bookman Old Style"/>
          <w:color w:val="auto"/>
          <w:sz w:val="20"/>
          <w:szCs w:val="20"/>
        </w:rPr>
        <w:t xml:space="preserve"> selected by the Director</w:t>
      </w:r>
      <w:r w:rsidR="009A7FCA" w:rsidRPr="00790A54">
        <w:rPr>
          <w:rFonts w:ascii="Bookman Old Style" w:hAnsi="Bookman Old Style"/>
          <w:color w:val="auto"/>
          <w:sz w:val="20"/>
          <w:szCs w:val="20"/>
        </w:rPr>
        <w:t xml:space="preserve"> of</w:t>
      </w:r>
      <w:r w:rsidR="002A225D" w:rsidRPr="00790A54">
        <w:rPr>
          <w:rFonts w:ascii="Bookman Old Style" w:hAnsi="Bookman Old Style"/>
          <w:color w:val="auto"/>
          <w:sz w:val="20"/>
          <w:szCs w:val="20"/>
        </w:rPr>
        <w:t xml:space="preserve"> OSCCR. </w:t>
      </w:r>
      <w:r w:rsidRPr="00790A54">
        <w:rPr>
          <w:rFonts w:ascii="Bookman Old Style" w:hAnsi="Bookman Old Style"/>
          <w:color w:val="auto"/>
          <w:sz w:val="20"/>
          <w:szCs w:val="20"/>
        </w:rPr>
        <w:t>The Advisory Board discuss</w:t>
      </w:r>
      <w:r w:rsidR="009A7FCA" w:rsidRPr="00790A54">
        <w:rPr>
          <w:rFonts w:ascii="Bookman Old Style" w:hAnsi="Bookman Old Style"/>
          <w:color w:val="auto"/>
          <w:sz w:val="20"/>
          <w:szCs w:val="20"/>
        </w:rPr>
        <w:t>es</w:t>
      </w:r>
      <w:r w:rsidRPr="00790A54">
        <w:rPr>
          <w:rFonts w:ascii="Bookman Old Style" w:hAnsi="Bookman Old Style"/>
          <w:color w:val="auto"/>
          <w:sz w:val="20"/>
          <w:szCs w:val="20"/>
        </w:rPr>
        <w:t xml:space="preserve"> finding</w:t>
      </w:r>
      <w:r w:rsidR="009A7FCA" w:rsidRPr="00790A54">
        <w:rPr>
          <w:rFonts w:ascii="Bookman Old Style" w:hAnsi="Bookman Old Style"/>
          <w:color w:val="auto"/>
          <w:sz w:val="20"/>
          <w:szCs w:val="20"/>
        </w:rPr>
        <w:t>s</w:t>
      </w:r>
      <w:r w:rsidRPr="00790A54">
        <w:rPr>
          <w:rFonts w:ascii="Bookman Old Style" w:hAnsi="Bookman Old Style"/>
          <w:color w:val="auto"/>
          <w:sz w:val="20"/>
          <w:szCs w:val="20"/>
        </w:rPr>
        <w:t xml:space="preserve"> of responsibility on case</w:t>
      </w:r>
      <w:r w:rsidR="009A7FCA" w:rsidRPr="00790A54">
        <w:rPr>
          <w:rFonts w:ascii="Bookman Old Style" w:hAnsi="Bookman Old Style"/>
          <w:color w:val="auto"/>
          <w:sz w:val="20"/>
          <w:szCs w:val="20"/>
        </w:rPr>
        <w:t>s</w:t>
      </w:r>
      <w:r w:rsidRPr="00790A54">
        <w:rPr>
          <w:rFonts w:ascii="Bookman Old Style" w:hAnsi="Bookman Old Style"/>
          <w:color w:val="auto"/>
          <w:sz w:val="20"/>
          <w:szCs w:val="20"/>
        </w:rPr>
        <w:t xml:space="preserve"> of alleged academic misconduct</w:t>
      </w:r>
      <w:r w:rsidR="009A7FCA" w:rsidRPr="00790A54">
        <w:rPr>
          <w:rFonts w:ascii="Bookman Old Style" w:hAnsi="Bookman Old Style"/>
          <w:color w:val="auto"/>
          <w:sz w:val="20"/>
          <w:szCs w:val="20"/>
        </w:rPr>
        <w:t>,</w:t>
      </w:r>
      <w:r w:rsidRPr="00790A54">
        <w:rPr>
          <w:rFonts w:ascii="Bookman Old Style" w:hAnsi="Bookman Old Style"/>
          <w:color w:val="auto"/>
          <w:sz w:val="20"/>
          <w:szCs w:val="20"/>
        </w:rPr>
        <w:t xml:space="preserve"> provide</w:t>
      </w:r>
      <w:r w:rsidR="00EC7E67" w:rsidRPr="00790A54">
        <w:rPr>
          <w:rFonts w:ascii="Bookman Old Style" w:hAnsi="Bookman Old Style"/>
          <w:color w:val="auto"/>
          <w:sz w:val="20"/>
          <w:szCs w:val="20"/>
        </w:rPr>
        <w:t>s</w:t>
      </w:r>
      <w:r w:rsidRPr="00790A54">
        <w:rPr>
          <w:rFonts w:ascii="Bookman Old Style" w:hAnsi="Bookman Old Style"/>
          <w:color w:val="auto"/>
          <w:sz w:val="20"/>
          <w:szCs w:val="20"/>
        </w:rPr>
        <w:t xml:space="preserve"> technical expertise on complex cases</w:t>
      </w:r>
      <w:r w:rsidR="009A7FCA" w:rsidRPr="00790A54">
        <w:rPr>
          <w:rFonts w:ascii="Bookman Old Style" w:hAnsi="Bookman Old Style"/>
          <w:color w:val="auto"/>
          <w:sz w:val="20"/>
          <w:szCs w:val="20"/>
        </w:rPr>
        <w:t>,</w:t>
      </w:r>
      <w:r w:rsidRPr="00790A54">
        <w:rPr>
          <w:rFonts w:ascii="Bookman Old Style" w:hAnsi="Bookman Old Style"/>
          <w:color w:val="auto"/>
          <w:sz w:val="20"/>
          <w:szCs w:val="20"/>
        </w:rPr>
        <w:t xml:space="preserve"> </w:t>
      </w:r>
      <w:r w:rsidR="009A7FCA" w:rsidRPr="00790A54">
        <w:rPr>
          <w:rFonts w:ascii="Bookman Old Style" w:hAnsi="Bookman Old Style"/>
          <w:color w:val="auto"/>
          <w:sz w:val="20"/>
          <w:szCs w:val="20"/>
        </w:rPr>
        <w:t>d</w:t>
      </w:r>
      <w:r w:rsidRPr="00790A54">
        <w:rPr>
          <w:rFonts w:ascii="Bookman Old Style" w:hAnsi="Bookman Old Style"/>
          <w:color w:val="auto"/>
          <w:sz w:val="20"/>
          <w:szCs w:val="20"/>
        </w:rPr>
        <w:t>iscuss</w:t>
      </w:r>
      <w:r w:rsidR="00EC7E67" w:rsidRPr="00790A54">
        <w:rPr>
          <w:rFonts w:ascii="Bookman Old Style" w:hAnsi="Bookman Old Style"/>
          <w:color w:val="auto"/>
          <w:sz w:val="20"/>
          <w:szCs w:val="20"/>
        </w:rPr>
        <w:t>es</w:t>
      </w:r>
      <w:r w:rsidRPr="00790A54">
        <w:rPr>
          <w:rFonts w:ascii="Bookman Old Style" w:hAnsi="Bookman Old Style"/>
          <w:color w:val="auto"/>
          <w:sz w:val="20"/>
          <w:szCs w:val="20"/>
        </w:rPr>
        <w:t xml:space="preserve"> </w:t>
      </w:r>
      <w:r w:rsidR="00CD15D1" w:rsidRPr="00790A54">
        <w:rPr>
          <w:rFonts w:ascii="Bookman Old Style" w:hAnsi="Bookman Old Style"/>
          <w:color w:val="auto"/>
          <w:sz w:val="20"/>
          <w:szCs w:val="20"/>
        </w:rPr>
        <w:t xml:space="preserve">with </w:t>
      </w:r>
      <w:r w:rsidRPr="00790A54">
        <w:rPr>
          <w:rFonts w:ascii="Bookman Old Style" w:hAnsi="Bookman Old Style"/>
          <w:color w:val="auto"/>
          <w:sz w:val="20"/>
          <w:szCs w:val="20"/>
        </w:rPr>
        <w:t>and advise</w:t>
      </w:r>
      <w:r w:rsidR="00EC7E67" w:rsidRPr="00790A54">
        <w:rPr>
          <w:rFonts w:ascii="Bookman Old Style" w:hAnsi="Bookman Old Style"/>
          <w:color w:val="auto"/>
          <w:sz w:val="20"/>
          <w:szCs w:val="20"/>
        </w:rPr>
        <w:t>s</w:t>
      </w:r>
      <w:r w:rsidRPr="00790A54">
        <w:rPr>
          <w:rFonts w:ascii="Bookman Old Style" w:hAnsi="Bookman Old Style"/>
          <w:color w:val="auto"/>
          <w:sz w:val="20"/>
          <w:szCs w:val="20"/>
        </w:rPr>
        <w:t xml:space="preserve"> the hearing officer on Non-</w:t>
      </w:r>
      <w:r w:rsidR="009A7FCA" w:rsidRPr="00790A54">
        <w:rPr>
          <w:rFonts w:ascii="Bookman Old Style" w:hAnsi="Bookman Old Style"/>
          <w:color w:val="auto"/>
          <w:sz w:val="20"/>
          <w:szCs w:val="20"/>
        </w:rPr>
        <w:t>A</w:t>
      </w:r>
      <w:r w:rsidRPr="00790A54">
        <w:rPr>
          <w:rFonts w:ascii="Bookman Old Style" w:hAnsi="Bookman Old Style"/>
          <w:color w:val="auto"/>
          <w:sz w:val="20"/>
          <w:szCs w:val="20"/>
        </w:rPr>
        <w:t xml:space="preserve">cademic </w:t>
      </w:r>
      <w:r w:rsidR="009A7FCA" w:rsidRPr="00790A54">
        <w:rPr>
          <w:rFonts w:ascii="Bookman Old Style" w:hAnsi="Bookman Old Style"/>
          <w:color w:val="auto"/>
          <w:sz w:val="20"/>
          <w:szCs w:val="20"/>
        </w:rPr>
        <w:t>S</w:t>
      </w:r>
      <w:r w:rsidRPr="00790A54">
        <w:rPr>
          <w:rFonts w:ascii="Bookman Old Style" w:hAnsi="Bookman Old Style"/>
          <w:color w:val="auto"/>
          <w:sz w:val="20"/>
          <w:szCs w:val="20"/>
        </w:rPr>
        <w:t>anctions for</w:t>
      </w:r>
      <w:r w:rsidR="00EC7E67" w:rsidRPr="00790A54">
        <w:rPr>
          <w:rFonts w:ascii="Bookman Old Style" w:hAnsi="Bookman Old Style"/>
          <w:color w:val="auto"/>
          <w:sz w:val="20"/>
          <w:szCs w:val="20"/>
        </w:rPr>
        <w:t xml:space="preserve"> H</w:t>
      </w:r>
      <w:r w:rsidR="006563BA" w:rsidRPr="00790A54">
        <w:rPr>
          <w:rFonts w:ascii="Bookman Old Style" w:hAnsi="Bookman Old Style"/>
          <w:color w:val="auto"/>
          <w:sz w:val="20"/>
          <w:szCs w:val="20"/>
        </w:rPr>
        <w:t>onor Code violations. The Advisory Board</w:t>
      </w:r>
      <w:r w:rsidR="00EC7E67" w:rsidRPr="00790A54">
        <w:rPr>
          <w:rFonts w:ascii="Bookman Old Style" w:hAnsi="Bookman Old Style"/>
          <w:color w:val="auto"/>
          <w:sz w:val="20"/>
          <w:szCs w:val="20"/>
        </w:rPr>
        <w:t xml:space="preserve"> d</w:t>
      </w:r>
      <w:r w:rsidRPr="00790A54">
        <w:rPr>
          <w:rFonts w:ascii="Bookman Old Style" w:hAnsi="Bookman Old Style"/>
          <w:color w:val="auto"/>
          <w:sz w:val="20"/>
          <w:szCs w:val="20"/>
        </w:rPr>
        <w:t>iscuss</w:t>
      </w:r>
      <w:r w:rsidR="00EC7E67" w:rsidRPr="00790A54">
        <w:rPr>
          <w:rFonts w:ascii="Bookman Old Style" w:hAnsi="Bookman Old Style"/>
          <w:color w:val="auto"/>
          <w:sz w:val="20"/>
          <w:szCs w:val="20"/>
        </w:rPr>
        <w:t>es</w:t>
      </w:r>
      <w:r w:rsidRPr="00790A54">
        <w:rPr>
          <w:rFonts w:ascii="Bookman Old Style" w:hAnsi="Bookman Old Style"/>
          <w:color w:val="auto"/>
          <w:sz w:val="20"/>
          <w:szCs w:val="20"/>
        </w:rPr>
        <w:t xml:space="preserve"> trends and observation of </w:t>
      </w:r>
      <w:r w:rsidR="006563BA" w:rsidRPr="00790A54">
        <w:rPr>
          <w:rFonts w:ascii="Bookman Old Style" w:hAnsi="Bookman Old Style"/>
          <w:color w:val="auto"/>
          <w:sz w:val="20"/>
          <w:szCs w:val="20"/>
        </w:rPr>
        <w:t>issues of academic misconduct</w:t>
      </w:r>
      <w:r w:rsidR="00EC7E67" w:rsidRPr="00790A54">
        <w:rPr>
          <w:rFonts w:ascii="Bookman Old Style" w:hAnsi="Bookman Old Style"/>
          <w:color w:val="auto"/>
          <w:sz w:val="20"/>
          <w:szCs w:val="20"/>
        </w:rPr>
        <w:t>,</w:t>
      </w:r>
      <w:r w:rsidRPr="00790A54">
        <w:rPr>
          <w:rFonts w:ascii="Bookman Old Style" w:hAnsi="Bookman Old Style"/>
          <w:color w:val="auto"/>
          <w:sz w:val="20"/>
          <w:szCs w:val="20"/>
        </w:rPr>
        <w:t xml:space="preserve"> </w:t>
      </w:r>
      <w:r w:rsidR="00EC7E67" w:rsidRPr="00790A54">
        <w:rPr>
          <w:rFonts w:ascii="Bookman Old Style" w:hAnsi="Bookman Old Style"/>
          <w:color w:val="auto"/>
          <w:sz w:val="20"/>
          <w:szCs w:val="20"/>
        </w:rPr>
        <w:t>r</w:t>
      </w:r>
      <w:r w:rsidRPr="00790A54">
        <w:rPr>
          <w:rFonts w:ascii="Bookman Old Style" w:hAnsi="Bookman Old Style"/>
          <w:color w:val="auto"/>
          <w:sz w:val="20"/>
          <w:szCs w:val="20"/>
        </w:rPr>
        <w:t>ecruit</w:t>
      </w:r>
      <w:r w:rsidR="00E86CBE" w:rsidRPr="00790A54">
        <w:rPr>
          <w:rFonts w:ascii="Bookman Old Style" w:hAnsi="Bookman Old Style"/>
          <w:color w:val="auto"/>
          <w:sz w:val="20"/>
          <w:szCs w:val="20"/>
        </w:rPr>
        <w:t>s</w:t>
      </w:r>
      <w:r w:rsidR="00CD15D1" w:rsidRPr="00790A54">
        <w:rPr>
          <w:rFonts w:ascii="Bookman Old Style" w:hAnsi="Bookman Old Style"/>
          <w:color w:val="auto"/>
          <w:sz w:val="20"/>
          <w:szCs w:val="20"/>
        </w:rPr>
        <w:t xml:space="preserve"> faculty to administer</w:t>
      </w:r>
      <w:r w:rsidRPr="00790A54">
        <w:rPr>
          <w:rFonts w:ascii="Bookman Old Style" w:hAnsi="Bookman Old Style"/>
          <w:color w:val="auto"/>
          <w:sz w:val="20"/>
          <w:szCs w:val="20"/>
        </w:rPr>
        <w:t xml:space="preserve"> educational sanctions</w:t>
      </w:r>
      <w:r w:rsidR="00EC7E67" w:rsidRPr="00790A54">
        <w:rPr>
          <w:rFonts w:ascii="Bookman Old Style" w:hAnsi="Bookman Old Style"/>
          <w:color w:val="auto"/>
          <w:sz w:val="20"/>
          <w:szCs w:val="20"/>
        </w:rPr>
        <w:t>,</w:t>
      </w:r>
      <w:r w:rsidRPr="00790A54">
        <w:rPr>
          <w:rFonts w:ascii="Bookman Old Style" w:hAnsi="Bookman Old Style"/>
          <w:color w:val="auto"/>
          <w:sz w:val="20"/>
          <w:szCs w:val="20"/>
        </w:rPr>
        <w:t xml:space="preserve"> </w:t>
      </w:r>
      <w:r w:rsidR="00EC7E67" w:rsidRPr="00790A54">
        <w:rPr>
          <w:rFonts w:ascii="Bookman Old Style" w:hAnsi="Bookman Old Style"/>
          <w:color w:val="auto"/>
          <w:sz w:val="20"/>
          <w:szCs w:val="20"/>
        </w:rPr>
        <w:t>and e</w:t>
      </w:r>
      <w:r w:rsidRPr="00790A54">
        <w:rPr>
          <w:rFonts w:ascii="Bookman Old Style" w:hAnsi="Bookman Old Style"/>
          <w:color w:val="auto"/>
          <w:sz w:val="20"/>
          <w:szCs w:val="20"/>
        </w:rPr>
        <w:t>ducate</w:t>
      </w:r>
      <w:r w:rsidR="00EC7E67" w:rsidRPr="00790A54">
        <w:rPr>
          <w:rFonts w:ascii="Bookman Old Style" w:hAnsi="Bookman Old Style"/>
          <w:color w:val="auto"/>
          <w:sz w:val="20"/>
          <w:szCs w:val="20"/>
        </w:rPr>
        <w:t>s</w:t>
      </w:r>
      <w:r w:rsidRPr="00790A54">
        <w:rPr>
          <w:rFonts w:ascii="Bookman Old Style" w:hAnsi="Bookman Old Style"/>
          <w:color w:val="auto"/>
          <w:sz w:val="20"/>
          <w:szCs w:val="20"/>
        </w:rPr>
        <w:t xml:space="preserve"> other faculty on </w:t>
      </w:r>
      <w:r w:rsidR="006563BA" w:rsidRPr="00790A54">
        <w:rPr>
          <w:rFonts w:ascii="Bookman Old Style" w:hAnsi="Bookman Old Style"/>
          <w:color w:val="auto"/>
          <w:sz w:val="20"/>
          <w:szCs w:val="20"/>
        </w:rPr>
        <w:t>the Honor</w:t>
      </w:r>
      <w:r w:rsidR="00EC7E67" w:rsidRPr="00790A54">
        <w:rPr>
          <w:rFonts w:ascii="Bookman Old Style" w:hAnsi="Bookman Old Style"/>
          <w:color w:val="auto"/>
          <w:sz w:val="20"/>
          <w:szCs w:val="20"/>
        </w:rPr>
        <w:t xml:space="preserve"> Code and P</w:t>
      </w:r>
      <w:r w:rsidRPr="00790A54">
        <w:rPr>
          <w:rFonts w:ascii="Bookman Old Style" w:hAnsi="Bookman Old Style"/>
          <w:color w:val="auto"/>
          <w:sz w:val="20"/>
          <w:szCs w:val="20"/>
        </w:rPr>
        <w:t xml:space="preserve">rocedures.  </w:t>
      </w:r>
      <w:r w:rsidR="006563BA" w:rsidRPr="00790A54">
        <w:rPr>
          <w:rFonts w:ascii="Bookman Old Style" w:hAnsi="Bookman Old Style"/>
          <w:color w:val="auto"/>
          <w:sz w:val="20"/>
          <w:szCs w:val="20"/>
        </w:rPr>
        <w:t xml:space="preserve">If the Advisory Board determines that the hearing officer has failed to give the consensus expertise </w:t>
      </w:r>
      <w:r w:rsidR="00CD15D1" w:rsidRPr="00790A54">
        <w:rPr>
          <w:rFonts w:ascii="Bookman Old Style" w:hAnsi="Bookman Old Style"/>
          <w:color w:val="auto"/>
          <w:sz w:val="20"/>
          <w:szCs w:val="20"/>
        </w:rPr>
        <w:t xml:space="preserve">of </w:t>
      </w:r>
      <w:r w:rsidR="006563BA" w:rsidRPr="00790A54">
        <w:rPr>
          <w:rFonts w:ascii="Bookman Old Style" w:hAnsi="Bookman Old Style"/>
          <w:color w:val="auto"/>
          <w:sz w:val="20"/>
          <w:szCs w:val="20"/>
        </w:rPr>
        <w:t xml:space="preserve">the Advisory Board proper consideration, the Advisory Board may submit a written complaint to the attention of the Boulder Faculty Assembly Chair, Dean of Students, and CUSG. </w:t>
      </w:r>
      <w:r w:rsidR="00CD15D1" w:rsidRPr="00790A54">
        <w:rPr>
          <w:rFonts w:ascii="Bookman Old Style" w:hAnsi="Bookman Old Style"/>
          <w:color w:val="auto"/>
          <w:sz w:val="20"/>
          <w:szCs w:val="20"/>
        </w:rPr>
        <w:t>If necessary, t</w:t>
      </w:r>
      <w:r w:rsidR="006563BA" w:rsidRPr="00790A54">
        <w:rPr>
          <w:rFonts w:ascii="Bookman Old Style" w:hAnsi="Bookman Old Style"/>
          <w:color w:val="auto"/>
          <w:sz w:val="20"/>
          <w:szCs w:val="20"/>
        </w:rPr>
        <w:t xml:space="preserve">he Advisory Board reserves the right to work </w:t>
      </w:r>
      <w:r w:rsidR="004C58E6" w:rsidRPr="00790A54">
        <w:rPr>
          <w:rFonts w:ascii="Bookman Old Style" w:hAnsi="Bookman Old Style"/>
          <w:color w:val="auto"/>
          <w:sz w:val="20"/>
          <w:szCs w:val="20"/>
        </w:rPr>
        <w:t>directly with the Director of</w:t>
      </w:r>
      <w:r w:rsidR="006563BA" w:rsidRPr="00790A54">
        <w:rPr>
          <w:rFonts w:ascii="Bookman Old Style" w:hAnsi="Bookman Old Style"/>
          <w:color w:val="auto"/>
          <w:sz w:val="20"/>
          <w:szCs w:val="20"/>
        </w:rPr>
        <w:t xml:space="preserve"> Student Conduct to</w:t>
      </w:r>
      <w:r w:rsidR="00E86CBE" w:rsidRPr="00790A54">
        <w:rPr>
          <w:rFonts w:ascii="Bookman Old Style" w:hAnsi="Bookman Old Style"/>
          <w:color w:val="auto"/>
          <w:sz w:val="20"/>
          <w:szCs w:val="20"/>
        </w:rPr>
        <w:t xml:space="preserve"> review cases, and</w:t>
      </w:r>
      <w:r w:rsidR="00F84AEC" w:rsidRPr="00790A54">
        <w:rPr>
          <w:rFonts w:ascii="Bookman Old Style" w:hAnsi="Bookman Old Style"/>
          <w:color w:val="auto"/>
          <w:sz w:val="20"/>
          <w:szCs w:val="20"/>
        </w:rPr>
        <w:t>/or</w:t>
      </w:r>
      <w:r w:rsidR="00E86CBE" w:rsidRPr="00790A54">
        <w:rPr>
          <w:rFonts w:ascii="Bookman Old Style" w:hAnsi="Bookman Old Style"/>
          <w:color w:val="auto"/>
          <w:sz w:val="20"/>
          <w:szCs w:val="20"/>
        </w:rPr>
        <w:t xml:space="preserve"> </w:t>
      </w:r>
      <w:r w:rsidR="004C58E6" w:rsidRPr="00790A54">
        <w:rPr>
          <w:rFonts w:ascii="Bookman Old Style" w:hAnsi="Bookman Old Style"/>
          <w:color w:val="auto"/>
          <w:sz w:val="20"/>
          <w:szCs w:val="20"/>
        </w:rPr>
        <w:t xml:space="preserve">to </w:t>
      </w:r>
      <w:r w:rsidR="00E86CBE" w:rsidRPr="00790A54">
        <w:rPr>
          <w:rFonts w:ascii="Bookman Old Style" w:hAnsi="Bookman Old Style"/>
          <w:color w:val="auto"/>
          <w:sz w:val="20"/>
          <w:szCs w:val="20"/>
        </w:rPr>
        <w:t xml:space="preserve">submit a report </w:t>
      </w:r>
      <w:r w:rsidR="00F84AEC" w:rsidRPr="00790A54">
        <w:rPr>
          <w:rFonts w:ascii="Bookman Old Style" w:hAnsi="Bookman Old Style"/>
          <w:color w:val="auto"/>
          <w:sz w:val="20"/>
          <w:szCs w:val="20"/>
        </w:rPr>
        <w:t xml:space="preserve">with concerns related to case determinations and improper consideration. </w:t>
      </w:r>
      <w:r w:rsidR="00E86CBE" w:rsidRPr="00790A54">
        <w:rPr>
          <w:rFonts w:ascii="Bookman Old Style" w:hAnsi="Bookman Old Style"/>
          <w:color w:val="auto"/>
          <w:sz w:val="20"/>
          <w:szCs w:val="20"/>
        </w:rPr>
        <w:t xml:space="preserve"> </w:t>
      </w:r>
    </w:p>
    <w:p w14:paraId="61BD3D35" w14:textId="77777777" w:rsidR="00316DC3" w:rsidRPr="00790A54" w:rsidRDefault="00316DC3" w:rsidP="002B4C07">
      <w:pPr>
        <w:numPr>
          <w:ilvl w:val="0"/>
          <w:numId w:val="1"/>
        </w:numPr>
        <w:tabs>
          <w:tab w:val="left" w:pos="2121"/>
        </w:tabs>
        <w:spacing w:before="120" w:after="100" w:afterAutospacing="1"/>
        <w:ind w:right="952"/>
        <w:jc w:val="both"/>
        <w:rPr>
          <w:rFonts w:ascii="Bookman Old Style" w:hAnsi="Bookman Old Style"/>
          <w:b/>
          <w:color w:val="auto"/>
          <w:sz w:val="20"/>
          <w:szCs w:val="20"/>
        </w:rPr>
      </w:pPr>
      <w:r w:rsidRPr="00790A54">
        <w:rPr>
          <w:rFonts w:ascii="Bookman Old Style" w:hAnsi="Bookman Old Style"/>
          <w:b/>
          <w:color w:val="auto"/>
          <w:sz w:val="20"/>
          <w:szCs w:val="20"/>
        </w:rPr>
        <w:t>P</w:t>
      </w:r>
      <w:r w:rsidR="00966B41" w:rsidRPr="00790A54">
        <w:rPr>
          <w:rFonts w:ascii="Bookman Old Style" w:hAnsi="Bookman Old Style"/>
          <w:b/>
          <w:color w:val="auto"/>
          <w:sz w:val="20"/>
          <w:szCs w:val="20"/>
        </w:rPr>
        <w:t>rocedures for Case Resolution</w:t>
      </w:r>
    </w:p>
    <w:p w14:paraId="6473CAC5" w14:textId="77777777" w:rsidR="00316DC3" w:rsidRPr="00790A54" w:rsidRDefault="00966B41"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Time Period for Referral of Suspected Violation</w:t>
      </w:r>
    </w:p>
    <w:p w14:paraId="0B27FAE4" w14:textId="202180CC" w:rsidR="00316DC3" w:rsidRPr="00790A54" w:rsidRDefault="00966B41" w:rsidP="0091550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The O</w:t>
      </w:r>
      <w:r w:rsidR="001F21F2" w:rsidRPr="00790A54">
        <w:rPr>
          <w:rFonts w:ascii="Bookman Old Style" w:hAnsi="Bookman Old Style"/>
          <w:color w:val="auto"/>
          <w:sz w:val="20"/>
          <w:szCs w:val="20"/>
        </w:rPr>
        <w:t>SCCR</w:t>
      </w:r>
      <w:r w:rsidRPr="00790A54">
        <w:rPr>
          <w:rFonts w:ascii="Bookman Old Style" w:hAnsi="Bookman Old Style"/>
          <w:color w:val="auto"/>
          <w:sz w:val="20"/>
          <w:szCs w:val="20"/>
        </w:rPr>
        <w:t xml:space="preserve"> shall only accept reports of suspected Honor Code violations made within </w:t>
      </w:r>
      <w:r w:rsidR="00915501" w:rsidRPr="00790A54">
        <w:rPr>
          <w:rFonts w:ascii="Bookman Old Style" w:hAnsi="Bookman Old Style"/>
          <w:color w:val="auto"/>
          <w:sz w:val="20"/>
          <w:szCs w:val="20"/>
        </w:rPr>
        <w:t>40</w:t>
      </w:r>
      <w:r w:rsidRPr="00790A54">
        <w:rPr>
          <w:rFonts w:ascii="Bookman Old Style" w:hAnsi="Bookman Old Style"/>
          <w:color w:val="auto"/>
          <w:sz w:val="20"/>
          <w:szCs w:val="20"/>
        </w:rPr>
        <w:t xml:space="preserve"> calendar days from the date of discovery of the suspected violation. The O</w:t>
      </w:r>
      <w:r w:rsidR="001F21F2" w:rsidRPr="00790A54">
        <w:rPr>
          <w:rFonts w:ascii="Bookman Old Style" w:hAnsi="Bookman Old Style"/>
          <w:color w:val="auto"/>
          <w:sz w:val="20"/>
          <w:szCs w:val="20"/>
        </w:rPr>
        <w:t>SCCR</w:t>
      </w:r>
      <w:r w:rsidRPr="00790A54">
        <w:rPr>
          <w:rFonts w:ascii="Bookman Old Style" w:hAnsi="Bookman Old Style"/>
          <w:color w:val="auto"/>
          <w:sz w:val="20"/>
          <w:szCs w:val="20"/>
        </w:rPr>
        <w:t xml:space="preserve"> may consider allegations that were suspected more than </w:t>
      </w:r>
      <w:r w:rsidR="00915501" w:rsidRPr="00790A54">
        <w:rPr>
          <w:rFonts w:ascii="Bookman Old Style" w:hAnsi="Bookman Old Style"/>
          <w:color w:val="auto"/>
          <w:sz w:val="20"/>
          <w:szCs w:val="20"/>
        </w:rPr>
        <w:t>40</w:t>
      </w:r>
      <w:r w:rsidRPr="00790A54">
        <w:rPr>
          <w:rFonts w:ascii="Bookman Old Style" w:hAnsi="Bookman Old Style"/>
          <w:color w:val="auto"/>
          <w:sz w:val="20"/>
          <w:szCs w:val="20"/>
        </w:rPr>
        <w:t xml:space="preserve"> days before referral, where those allegations relate to more recent conduct which occurred within the </w:t>
      </w:r>
      <w:r w:rsidR="00915501" w:rsidRPr="00790A54">
        <w:rPr>
          <w:rFonts w:ascii="Bookman Old Style" w:hAnsi="Bookman Old Style"/>
          <w:color w:val="auto"/>
          <w:sz w:val="20"/>
          <w:szCs w:val="20"/>
        </w:rPr>
        <w:t>40</w:t>
      </w:r>
      <w:r w:rsidRPr="00790A54">
        <w:rPr>
          <w:rFonts w:ascii="Bookman Old Style" w:hAnsi="Bookman Old Style"/>
          <w:color w:val="auto"/>
          <w:sz w:val="20"/>
          <w:szCs w:val="20"/>
        </w:rPr>
        <w:t>-day time period.</w:t>
      </w:r>
    </w:p>
    <w:p w14:paraId="0DB96DD2" w14:textId="77777777" w:rsidR="00316DC3" w:rsidRPr="00790A54" w:rsidRDefault="00966B41"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Honor Code Report Forms</w:t>
      </w:r>
    </w:p>
    <w:p w14:paraId="5EE42A6A" w14:textId="334E6237" w:rsidR="00316DC3"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u w:val="single"/>
        </w:rPr>
        <w:t>Submission of Forms:</w:t>
      </w:r>
      <w:r w:rsidRPr="00790A54">
        <w:rPr>
          <w:rFonts w:ascii="Bookman Old Style" w:hAnsi="Bookman Old Style"/>
          <w:color w:val="auto"/>
          <w:sz w:val="20"/>
          <w:szCs w:val="20"/>
        </w:rPr>
        <w:t xml:space="preserve"> All referral forms may be obtained in</w:t>
      </w:r>
      <w:r w:rsidR="0070308A" w:rsidRPr="00790A54">
        <w:rPr>
          <w:rFonts w:ascii="Bookman Old Style" w:hAnsi="Bookman Old Style"/>
          <w:color w:val="auto"/>
          <w:sz w:val="20"/>
          <w:szCs w:val="20"/>
        </w:rPr>
        <w:t xml:space="preserve"> t</w:t>
      </w:r>
      <w:r w:rsidR="005B505D" w:rsidRPr="00790A54">
        <w:rPr>
          <w:rFonts w:ascii="Bookman Old Style" w:hAnsi="Bookman Old Style"/>
          <w:color w:val="auto"/>
          <w:sz w:val="20"/>
          <w:szCs w:val="20"/>
        </w:rPr>
        <w:t>he O</w:t>
      </w:r>
      <w:r w:rsidR="001F21F2" w:rsidRPr="00790A54">
        <w:rPr>
          <w:rFonts w:ascii="Bookman Old Style" w:hAnsi="Bookman Old Style"/>
          <w:color w:val="auto"/>
          <w:sz w:val="20"/>
          <w:szCs w:val="20"/>
        </w:rPr>
        <w:t>SCCR</w:t>
      </w:r>
      <w:r w:rsidRPr="00790A54">
        <w:rPr>
          <w:rFonts w:ascii="Bookman Old Style" w:hAnsi="Bookman Old Style"/>
          <w:color w:val="auto"/>
          <w:sz w:val="20"/>
          <w:szCs w:val="20"/>
        </w:rPr>
        <w:t xml:space="preserve"> </w:t>
      </w:r>
      <w:r w:rsidR="005B505D" w:rsidRPr="00790A54">
        <w:rPr>
          <w:rFonts w:ascii="Bookman Old Style" w:hAnsi="Bookman Old Style"/>
          <w:color w:val="auto"/>
          <w:sz w:val="20"/>
          <w:szCs w:val="20"/>
        </w:rPr>
        <w:t xml:space="preserve">or </w:t>
      </w:r>
      <w:r w:rsidR="0070308A" w:rsidRPr="00790A54">
        <w:rPr>
          <w:rFonts w:ascii="Bookman Old Style" w:hAnsi="Bookman Old Style"/>
          <w:color w:val="auto"/>
          <w:sz w:val="20"/>
          <w:szCs w:val="20"/>
        </w:rPr>
        <w:t xml:space="preserve">a web form may be found on </w:t>
      </w:r>
      <w:r w:rsidRPr="00790A54">
        <w:rPr>
          <w:rFonts w:ascii="Bookman Old Style" w:hAnsi="Bookman Old Style"/>
          <w:color w:val="auto"/>
          <w:sz w:val="20"/>
          <w:szCs w:val="20"/>
        </w:rPr>
        <w:t xml:space="preserve">the </w:t>
      </w:r>
      <w:r w:rsidR="005B505D" w:rsidRPr="00790A54">
        <w:rPr>
          <w:rFonts w:ascii="Bookman Old Style" w:hAnsi="Bookman Old Style"/>
          <w:color w:val="auto"/>
          <w:sz w:val="20"/>
          <w:szCs w:val="20"/>
        </w:rPr>
        <w:t>O</w:t>
      </w:r>
      <w:r w:rsidR="00914C38" w:rsidRPr="00790A54">
        <w:rPr>
          <w:rFonts w:ascii="Bookman Old Style" w:hAnsi="Bookman Old Style"/>
          <w:color w:val="auto"/>
          <w:sz w:val="20"/>
          <w:szCs w:val="20"/>
        </w:rPr>
        <w:t>SCCR</w:t>
      </w:r>
      <w:r w:rsidR="005B505D" w:rsidRPr="00790A54">
        <w:rPr>
          <w:rFonts w:ascii="Bookman Old Style" w:hAnsi="Bookman Old Style"/>
          <w:color w:val="auto"/>
          <w:sz w:val="20"/>
          <w:szCs w:val="20"/>
        </w:rPr>
        <w:t xml:space="preserve"> </w:t>
      </w:r>
      <w:r w:rsidRPr="00790A54">
        <w:rPr>
          <w:rFonts w:ascii="Bookman Old Style" w:hAnsi="Bookman Old Style"/>
          <w:color w:val="auto"/>
          <w:sz w:val="20"/>
          <w:szCs w:val="20"/>
        </w:rPr>
        <w:t xml:space="preserve">website. Forms may be turned in to the </w:t>
      </w:r>
      <w:r w:rsidR="005B505D" w:rsidRPr="00790A54">
        <w:rPr>
          <w:rFonts w:ascii="Bookman Old Style" w:hAnsi="Bookman Old Style"/>
          <w:color w:val="auto"/>
          <w:sz w:val="20"/>
          <w:szCs w:val="20"/>
        </w:rPr>
        <w:t>O</w:t>
      </w:r>
      <w:r w:rsidR="00914C38" w:rsidRPr="00790A54">
        <w:rPr>
          <w:rFonts w:ascii="Bookman Old Style" w:hAnsi="Bookman Old Style"/>
          <w:color w:val="auto"/>
          <w:sz w:val="20"/>
          <w:szCs w:val="20"/>
        </w:rPr>
        <w:t>SCCR</w:t>
      </w:r>
      <w:r w:rsidR="005B505D" w:rsidRPr="00790A54">
        <w:rPr>
          <w:rFonts w:ascii="Bookman Old Style" w:hAnsi="Bookman Old Style"/>
          <w:color w:val="auto"/>
          <w:sz w:val="20"/>
          <w:szCs w:val="20"/>
        </w:rPr>
        <w:t xml:space="preserve"> via hand-delivery</w:t>
      </w:r>
      <w:r w:rsidR="0070308A" w:rsidRPr="00790A54">
        <w:rPr>
          <w:rFonts w:ascii="Bookman Old Style" w:hAnsi="Bookman Old Style"/>
          <w:color w:val="auto"/>
          <w:sz w:val="20"/>
          <w:szCs w:val="20"/>
        </w:rPr>
        <w:t>, electronically</w:t>
      </w:r>
      <w:r w:rsidR="005B505D" w:rsidRPr="00790A54">
        <w:rPr>
          <w:rFonts w:ascii="Bookman Old Style" w:hAnsi="Bookman Old Style"/>
          <w:color w:val="auto"/>
          <w:sz w:val="20"/>
          <w:szCs w:val="20"/>
        </w:rPr>
        <w:t>,</w:t>
      </w:r>
      <w:r w:rsidR="005C3BFD" w:rsidRPr="00790A54">
        <w:rPr>
          <w:rFonts w:ascii="Bookman Old Style" w:hAnsi="Bookman Old Style"/>
          <w:color w:val="auto"/>
          <w:sz w:val="20"/>
          <w:szCs w:val="20"/>
        </w:rPr>
        <w:t xml:space="preserve"> </w:t>
      </w:r>
      <w:r w:rsidR="00316DC3" w:rsidRPr="00790A54">
        <w:rPr>
          <w:rFonts w:ascii="Bookman Old Style" w:hAnsi="Bookman Old Style"/>
          <w:color w:val="auto"/>
          <w:sz w:val="20"/>
          <w:szCs w:val="20"/>
        </w:rPr>
        <w:t>or campus mail</w:t>
      </w:r>
      <w:r w:rsidR="0070308A" w:rsidRPr="00790A54">
        <w:rPr>
          <w:rFonts w:ascii="Bookman Old Style" w:hAnsi="Bookman Old Style"/>
          <w:color w:val="auto"/>
          <w:sz w:val="20"/>
          <w:szCs w:val="20"/>
        </w:rPr>
        <w:t>.</w:t>
      </w:r>
    </w:p>
    <w:p w14:paraId="27E887E2" w14:textId="127F30CD" w:rsidR="00316DC3" w:rsidRPr="00790A54" w:rsidRDefault="00966B41">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u w:val="single"/>
        </w:rPr>
        <w:t>Faculty</w:t>
      </w:r>
      <w:r w:rsidR="004C029C" w:rsidRPr="00790A54">
        <w:rPr>
          <w:rFonts w:ascii="Bookman Old Style" w:hAnsi="Bookman Old Style"/>
          <w:color w:val="auto"/>
          <w:sz w:val="20"/>
          <w:szCs w:val="20"/>
          <w:u w:val="single"/>
        </w:rPr>
        <w:t xml:space="preserve"> and Student</w:t>
      </w:r>
      <w:r w:rsidRPr="00790A54">
        <w:rPr>
          <w:rFonts w:ascii="Bookman Old Style" w:hAnsi="Bookman Old Style"/>
          <w:color w:val="auto"/>
          <w:sz w:val="20"/>
          <w:szCs w:val="20"/>
          <w:u w:val="single"/>
        </w:rPr>
        <w:t xml:space="preserve"> Referral Forms:</w:t>
      </w:r>
      <w:r w:rsidRPr="00790A54">
        <w:rPr>
          <w:rFonts w:ascii="Bookman Old Style" w:hAnsi="Bookman Old Style"/>
          <w:color w:val="auto"/>
          <w:sz w:val="20"/>
          <w:szCs w:val="20"/>
        </w:rPr>
        <w:t xml:space="preserve"> Faculty Referral Forms are to be completed when a student is either suspected of a violation of the Honor Code or has admitted to violating it. This form should include all allegations and information pertinent to the alleged violation.</w:t>
      </w:r>
    </w:p>
    <w:p w14:paraId="7BA77DFA" w14:textId="611AA275" w:rsidR="00316DC3" w:rsidRPr="00790A54" w:rsidRDefault="002A225D"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 </w:t>
      </w:r>
      <w:r w:rsidR="00966B41" w:rsidRPr="00790A54">
        <w:rPr>
          <w:rFonts w:ascii="Bookman Old Style" w:hAnsi="Bookman Old Style"/>
          <w:color w:val="auto"/>
          <w:sz w:val="20"/>
          <w:szCs w:val="20"/>
        </w:rPr>
        <w:t xml:space="preserve">Reporting of </w:t>
      </w:r>
      <w:r w:rsidR="00554446" w:rsidRPr="00790A54">
        <w:rPr>
          <w:rFonts w:ascii="Bookman Old Style" w:hAnsi="Bookman Old Style"/>
          <w:color w:val="auto"/>
          <w:sz w:val="20"/>
          <w:szCs w:val="20"/>
        </w:rPr>
        <w:t>Referrals</w:t>
      </w:r>
    </w:p>
    <w:p w14:paraId="12AFA362" w14:textId="6B651C37" w:rsidR="00316DC3"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Student Procedures</w:t>
      </w:r>
    </w:p>
    <w:p w14:paraId="14616972" w14:textId="5A988B22"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Students are expected to submit a Student Referral Form to both the O</w:t>
      </w:r>
      <w:r w:rsidR="00914C38" w:rsidRPr="00790A54">
        <w:rPr>
          <w:rFonts w:ascii="Bookman Old Style" w:hAnsi="Bookman Old Style"/>
          <w:color w:val="auto"/>
          <w:sz w:val="20"/>
          <w:szCs w:val="20"/>
        </w:rPr>
        <w:t>SCCR</w:t>
      </w:r>
      <w:r w:rsidRPr="00790A54">
        <w:rPr>
          <w:rFonts w:ascii="Bookman Old Style" w:hAnsi="Bookman Old Style"/>
          <w:color w:val="auto"/>
          <w:sz w:val="20"/>
          <w:szCs w:val="20"/>
        </w:rPr>
        <w:t xml:space="preserve"> and the course instructor when they have direct knowledge of an Honor Code violation.</w:t>
      </w:r>
    </w:p>
    <w:p w14:paraId="4392B121" w14:textId="77777777" w:rsidR="00316DC3"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Faculty Procedures</w:t>
      </w:r>
    </w:p>
    <w:p w14:paraId="08DAC38F" w14:textId="77777777"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Faculty members are expected to notify students regarding suspected Honor Code violations.</w:t>
      </w:r>
    </w:p>
    <w:p w14:paraId="4FA5546E" w14:textId="02652618" w:rsidR="00316DC3" w:rsidRPr="00790A54" w:rsidRDefault="00966B41" w:rsidP="002B4C07">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Faculty members are expected to submit a Faculty Referral Form to the O</w:t>
      </w:r>
      <w:r w:rsidR="00554446" w:rsidRPr="00790A54">
        <w:rPr>
          <w:rFonts w:ascii="Bookman Old Style" w:hAnsi="Bookman Old Style"/>
          <w:color w:val="auto"/>
          <w:sz w:val="20"/>
          <w:szCs w:val="20"/>
        </w:rPr>
        <w:t>SCCR</w:t>
      </w:r>
      <w:r w:rsidR="00316DC3" w:rsidRPr="00790A54">
        <w:rPr>
          <w:rFonts w:ascii="Bookman Old Style" w:hAnsi="Bookman Old Style"/>
          <w:color w:val="auto"/>
          <w:sz w:val="20"/>
          <w:szCs w:val="20"/>
        </w:rPr>
        <w:t xml:space="preserve">. </w:t>
      </w:r>
    </w:p>
    <w:p w14:paraId="27217A76" w14:textId="77777777" w:rsidR="00316DC3" w:rsidRPr="00790A54" w:rsidRDefault="00966B41"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Initial Contact</w:t>
      </w:r>
    </w:p>
    <w:p w14:paraId="4E35A43A" w14:textId="7778CDEA" w:rsidR="00316DC3"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lastRenderedPageBreak/>
        <w:t xml:space="preserve">Upon receipt of a Faculty or Student Referral Form, </w:t>
      </w:r>
      <w:r w:rsidR="00F84AEC" w:rsidRPr="00790A54">
        <w:rPr>
          <w:rFonts w:ascii="Bookman Old Style" w:hAnsi="Bookman Old Style"/>
          <w:color w:val="auto"/>
          <w:sz w:val="20"/>
          <w:szCs w:val="20"/>
        </w:rPr>
        <w:t xml:space="preserve">case representatives will review and work with the </w:t>
      </w:r>
      <w:r w:rsidR="00915501" w:rsidRPr="00790A54">
        <w:rPr>
          <w:rFonts w:ascii="Bookman Old Style" w:hAnsi="Bookman Old Style"/>
          <w:color w:val="auto"/>
          <w:sz w:val="20"/>
          <w:szCs w:val="20"/>
        </w:rPr>
        <w:t>OSCCR</w:t>
      </w:r>
      <w:r w:rsidRPr="00790A54">
        <w:rPr>
          <w:rFonts w:ascii="Bookman Old Style" w:hAnsi="Bookman Old Style"/>
          <w:color w:val="auto"/>
          <w:sz w:val="20"/>
          <w:szCs w:val="20"/>
        </w:rPr>
        <w:t xml:space="preserve"> </w:t>
      </w:r>
      <w:r w:rsidR="00F84AEC" w:rsidRPr="00790A54">
        <w:rPr>
          <w:rFonts w:ascii="Bookman Old Style" w:hAnsi="Bookman Old Style"/>
          <w:color w:val="auto"/>
          <w:sz w:val="20"/>
          <w:szCs w:val="20"/>
        </w:rPr>
        <w:t>to</w:t>
      </w:r>
      <w:r w:rsidRPr="00790A54">
        <w:rPr>
          <w:rFonts w:ascii="Bookman Old Style" w:hAnsi="Bookman Old Style"/>
          <w:color w:val="auto"/>
          <w:sz w:val="20"/>
          <w:szCs w:val="20"/>
        </w:rPr>
        <w:t xml:space="preserve"> determine if the allegatio</w:t>
      </w:r>
      <w:r w:rsidR="0070308A" w:rsidRPr="00790A54">
        <w:rPr>
          <w:rFonts w:ascii="Bookman Old Style" w:hAnsi="Bookman Old Style"/>
          <w:color w:val="auto"/>
          <w:sz w:val="20"/>
          <w:szCs w:val="20"/>
        </w:rPr>
        <w:t xml:space="preserve">n(s) </w:t>
      </w:r>
      <w:r w:rsidR="00915501" w:rsidRPr="00790A54">
        <w:rPr>
          <w:rFonts w:ascii="Bookman Old Style" w:hAnsi="Bookman Old Style"/>
          <w:color w:val="auto"/>
          <w:sz w:val="20"/>
          <w:szCs w:val="20"/>
        </w:rPr>
        <w:t>fall within</w:t>
      </w:r>
      <w:r w:rsidR="0070308A" w:rsidRPr="00790A54">
        <w:rPr>
          <w:rFonts w:ascii="Bookman Old Style" w:hAnsi="Bookman Old Style"/>
          <w:color w:val="auto"/>
          <w:sz w:val="20"/>
          <w:szCs w:val="20"/>
        </w:rPr>
        <w:t xml:space="preserve"> jurisdiction. If the referral is within the jurisdiction, </w:t>
      </w:r>
      <w:r w:rsidR="00915501" w:rsidRPr="00790A54">
        <w:rPr>
          <w:rFonts w:ascii="Bookman Old Style" w:hAnsi="Bookman Old Style"/>
          <w:color w:val="auto"/>
          <w:sz w:val="20"/>
          <w:szCs w:val="20"/>
        </w:rPr>
        <w:t>the OSCCR</w:t>
      </w:r>
      <w:r w:rsidRPr="00790A54">
        <w:rPr>
          <w:rFonts w:ascii="Bookman Old Style" w:hAnsi="Bookman Old Style"/>
          <w:color w:val="auto"/>
          <w:sz w:val="20"/>
          <w:szCs w:val="20"/>
        </w:rPr>
        <w:t xml:space="preserve"> will determine which </w:t>
      </w:r>
      <w:r w:rsidR="0070308A" w:rsidRPr="00790A54">
        <w:rPr>
          <w:rFonts w:ascii="Bookman Old Style" w:hAnsi="Bookman Old Style"/>
          <w:color w:val="auto"/>
          <w:sz w:val="20"/>
          <w:szCs w:val="20"/>
        </w:rPr>
        <w:t>alleged violations of</w:t>
      </w:r>
      <w:r w:rsidRPr="00790A54">
        <w:rPr>
          <w:rFonts w:ascii="Bookman Old Style" w:hAnsi="Bookman Old Style"/>
          <w:color w:val="auto"/>
          <w:sz w:val="20"/>
          <w:szCs w:val="20"/>
        </w:rPr>
        <w:t xml:space="preserve"> academic misconduct are implicated. The </w:t>
      </w:r>
      <w:r w:rsidR="00915501" w:rsidRPr="00790A54">
        <w:rPr>
          <w:rFonts w:ascii="Bookman Old Style" w:hAnsi="Bookman Old Style"/>
          <w:color w:val="auto"/>
          <w:sz w:val="20"/>
          <w:szCs w:val="20"/>
        </w:rPr>
        <w:t>OSCCR</w:t>
      </w:r>
      <w:r w:rsidRPr="00790A54">
        <w:rPr>
          <w:rFonts w:ascii="Bookman Old Style" w:hAnsi="Bookman Old Style"/>
          <w:color w:val="auto"/>
          <w:sz w:val="20"/>
          <w:szCs w:val="20"/>
        </w:rPr>
        <w:t xml:space="preserve"> reserves the right to allege and investigate more than one violation per referral form. The </w:t>
      </w:r>
      <w:r w:rsidR="00915501" w:rsidRPr="00790A54">
        <w:rPr>
          <w:rFonts w:ascii="Bookman Old Style" w:hAnsi="Bookman Old Style"/>
          <w:color w:val="auto"/>
          <w:sz w:val="20"/>
          <w:szCs w:val="20"/>
        </w:rPr>
        <w:t>OSCCR</w:t>
      </w:r>
      <w:r w:rsidRPr="00790A54">
        <w:rPr>
          <w:rFonts w:ascii="Bookman Old Style" w:hAnsi="Bookman Old Style"/>
          <w:color w:val="auto"/>
          <w:sz w:val="20"/>
          <w:szCs w:val="20"/>
        </w:rPr>
        <w:t xml:space="preserve"> will notify the accused student of all allegations against the student.</w:t>
      </w:r>
    </w:p>
    <w:p w14:paraId="25A5D0C7" w14:textId="3556EE30" w:rsidR="008D55CC" w:rsidRPr="00790A54" w:rsidRDefault="00966B41" w:rsidP="00915501">
      <w:pPr>
        <w:numPr>
          <w:ilvl w:val="3"/>
          <w:numId w:val="1"/>
        </w:numPr>
        <w:tabs>
          <w:tab w:val="left" w:pos="2121"/>
        </w:tabs>
        <w:spacing w:before="120" w:after="100" w:afterAutospacing="1"/>
        <w:ind w:left="2520"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The accused student or the reporting faculty member may, at any time, review the contents of the </w:t>
      </w:r>
      <w:r w:rsidR="0070308A" w:rsidRPr="00790A54">
        <w:rPr>
          <w:rFonts w:ascii="Bookman Old Style" w:hAnsi="Bookman Old Style"/>
          <w:color w:val="auto"/>
          <w:sz w:val="20"/>
          <w:szCs w:val="20"/>
        </w:rPr>
        <w:t>student’s</w:t>
      </w:r>
      <w:r w:rsidRPr="00790A54">
        <w:rPr>
          <w:rFonts w:ascii="Bookman Old Style" w:hAnsi="Bookman Old Style"/>
          <w:color w:val="auto"/>
          <w:sz w:val="20"/>
          <w:szCs w:val="20"/>
        </w:rPr>
        <w:t xml:space="preserve"> file.</w:t>
      </w:r>
    </w:p>
    <w:p w14:paraId="26211C04" w14:textId="067A7D19" w:rsidR="00F84AEC" w:rsidRPr="00790A54" w:rsidRDefault="00F84AEC" w:rsidP="00F84AEC">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accused student can request a Case Representative. The assigned Case Representative is responsible for acting as the accused student’s procedural advisor and shall provide information regarding procedures. </w:t>
      </w:r>
    </w:p>
    <w:p w14:paraId="7C40C0BF" w14:textId="1E9D475F" w:rsidR="00E362E5" w:rsidRPr="00790A54" w:rsidRDefault="003C518E"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Resolution</w:t>
      </w:r>
      <w:r w:rsidR="00966B41" w:rsidRPr="00790A54">
        <w:rPr>
          <w:rFonts w:ascii="Bookman Old Style" w:hAnsi="Bookman Old Style"/>
          <w:color w:val="auto"/>
          <w:sz w:val="20"/>
          <w:szCs w:val="20"/>
        </w:rPr>
        <w:t xml:space="preserve"> Process</w:t>
      </w:r>
    </w:p>
    <w:p w14:paraId="320568E9" w14:textId="77777777"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This process generally includes written notice of the factual allegations and alleged violations of the Honor Code, the opportunity to meet with the hearing officer to address the allegations and provide information to the hearing officer, the hearing officer reviewing the allegations and making factual and violation determinations based on preponderance of the evidence, and written notice to the student of the hearing officer’s determinations. The hearing officer will consider the following in making this determination:</w:t>
      </w:r>
    </w:p>
    <w:p w14:paraId="5BC6818D" w14:textId="77777777"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the allegations in the Student academi</w:t>
      </w:r>
      <w:r w:rsidR="00813559" w:rsidRPr="00790A54">
        <w:rPr>
          <w:rFonts w:ascii="Bookman Old Style" w:hAnsi="Bookman Old Style"/>
          <w:color w:val="auto"/>
          <w:sz w:val="20"/>
          <w:szCs w:val="20"/>
        </w:rPr>
        <w:t>c misconduct n</w:t>
      </w:r>
      <w:r w:rsidRPr="00790A54">
        <w:rPr>
          <w:rFonts w:ascii="Bookman Old Style" w:hAnsi="Bookman Old Style"/>
          <w:color w:val="auto"/>
          <w:sz w:val="20"/>
          <w:szCs w:val="20"/>
        </w:rPr>
        <w:t xml:space="preserve">otice and the responding student's response to those allegations; </w:t>
      </w:r>
    </w:p>
    <w:p w14:paraId="251F3661" w14:textId="77777777"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any relevant documents that are contained in the file or presented by the student, or any other interested party; and</w:t>
      </w:r>
    </w:p>
    <w:p w14:paraId="5BE5AE24" w14:textId="6979686A"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the oral or written statements of any witnesses with relevant information, as supplied by the parties to the case or as requested by the hearing officer.  </w:t>
      </w:r>
    </w:p>
    <w:p w14:paraId="749487B6" w14:textId="437BC4F1" w:rsidR="008D55CC" w:rsidRPr="00790A54" w:rsidRDefault="008D55CC" w:rsidP="002A225D">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Notice</w:t>
      </w:r>
      <w:r w:rsidR="003C518E" w:rsidRPr="00790A54">
        <w:rPr>
          <w:rFonts w:ascii="Bookman Old Style" w:hAnsi="Bookman Old Style"/>
          <w:color w:val="auto"/>
          <w:sz w:val="20"/>
          <w:szCs w:val="20"/>
        </w:rPr>
        <w:t xml:space="preserve"> of</w:t>
      </w:r>
      <w:r w:rsidRPr="00790A54">
        <w:rPr>
          <w:rFonts w:ascii="Bookman Old Style" w:hAnsi="Bookman Old Style"/>
          <w:color w:val="auto"/>
          <w:sz w:val="20"/>
          <w:szCs w:val="20"/>
        </w:rPr>
        <w:t xml:space="preserve"> </w:t>
      </w:r>
      <w:r w:rsidR="00554446" w:rsidRPr="00790A54">
        <w:rPr>
          <w:rFonts w:ascii="Bookman Old Style" w:hAnsi="Bookman Old Style"/>
          <w:color w:val="auto"/>
          <w:sz w:val="20"/>
          <w:szCs w:val="20"/>
        </w:rPr>
        <w:t>Alleged Violation and Opportunity to be Heard</w:t>
      </w:r>
      <w:r w:rsidRPr="00790A54">
        <w:rPr>
          <w:rFonts w:ascii="Bookman Old Style" w:hAnsi="Bookman Old Style"/>
          <w:color w:val="auto"/>
          <w:sz w:val="20"/>
          <w:szCs w:val="20"/>
        </w:rPr>
        <w:t xml:space="preserve"> </w:t>
      </w:r>
    </w:p>
    <w:p w14:paraId="01274962" w14:textId="77BA04FC" w:rsidR="008D55CC" w:rsidRPr="00790A54" w:rsidRDefault="008D55CC" w:rsidP="002A225D">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accused student will be notified of the alleged Honor Code violation(s) and asked to schedule a </w:t>
      </w:r>
      <w:r w:rsidR="00554446" w:rsidRPr="00790A54">
        <w:rPr>
          <w:rFonts w:ascii="Bookman Old Style" w:hAnsi="Bookman Old Style"/>
          <w:color w:val="auto"/>
          <w:sz w:val="20"/>
          <w:szCs w:val="20"/>
        </w:rPr>
        <w:t>meeting</w:t>
      </w:r>
      <w:r w:rsidRPr="00790A54">
        <w:rPr>
          <w:rFonts w:ascii="Bookman Old Style" w:hAnsi="Bookman Old Style"/>
          <w:color w:val="auto"/>
          <w:sz w:val="20"/>
          <w:szCs w:val="20"/>
        </w:rPr>
        <w:t xml:space="preserve"> with the </w:t>
      </w:r>
      <w:r w:rsidR="00554446" w:rsidRPr="00790A54">
        <w:rPr>
          <w:rFonts w:ascii="Bookman Old Style" w:hAnsi="Bookman Old Style"/>
          <w:color w:val="auto"/>
          <w:sz w:val="20"/>
          <w:szCs w:val="20"/>
        </w:rPr>
        <w:t>hearing officer</w:t>
      </w:r>
      <w:r w:rsidR="00915501" w:rsidRPr="00790A54">
        <w:rPr>
          <w:rFonts w:ascii="Bookman Old Style" w:hAnsi="Bookman Old Style"/>
          <w:color w:val="auto"/>
          <w:sz w:val="20"/>
          <w:szCs w:val="20"/>
        </w:rPr>
        <w:t>.</w:t>
      </w:r>
    </w:p>
    <w:p w14:paraId="5B36D63E" w14:textId="37C2788C" w:rsidR="008D55CC" w:rsidRPr="00790A54" w:rsidRDefault="00554446" w:rsidP="00F84AEC">
      <w:pPr>
        <w:numPr>
          <w:ilvl w:val="3"/>
          <w:numId w:val="1"/>
        </w:numPr>
        <w:tabs>
          <w:tab w:val="left" w:pos="2121"/>
        </w:tabs>
        <w:spacing w:before="120" w:after="100" w:afterAutospacing="1"/>
        <w:ind w:right="952"/>
        <w:rPr>
          <w:rFonts w:ascii="Bookman Old Style" w:hAnsi="Bookman Old Style"/>
          <w:color w:val="auto"/>
          <w:sz w:val="20"/>
          <w:szCs w:val="20"/>
        </w:rPr>
      </w:pPr>
      <w:r w:rsidRPr="00790A54">
        <w:rPr>
          <w:rFonts w:ascii="Bookman Old Style" w:hAnsi="Bookman Old Style"/>
          <w:color w:val="auto"/>
          <w:sz w:val="20"/>
          <w:szCs w:val="20"/>
        </w:rPr>
        <w:t xml:space="preserve">The notice </w:t>
      </w:r>
      <w:r w:rsidR="008D55CC" w:rsidRPr="00790A54">
        <w:rPr>
          <w:rFonts w:ascii="Bookman Old Style" w:hAnsi="Bookman Old Style"/>
          <w:color w:val="auto"/>
          <w:sz w:val="20"/>
          <w:szCs w:val="20"/>
        </w:rPr>
        <w:t xml:space="preserve">will be sent to the </w:t>
      </w:r>
      <w:r w:rsidRPr="00790A54">
        <w:rPr>
          <w:rFonts w:ascii="Bookman Old Style" w:hAnsi="Bookman Old Style"/>
          <w:color w:val="auto"/>
          <w:sz w:val="20"/>
          <w:szCs w:val="20"/>
        </w:rPr>
        <w:t xml:space="preserve">accused </w:t>
      </w:r>
      <w:r w:rsidR="008D55CC" w:rsidRPr="00790A54">
        <w:rPr>
          <w:rFonts w:ascii="Bookman Old Style" w:hAnsi="Bookman Old Style"/>
          <w:color w:val="auto"/>
          <w:sz w:val="20"/>
          <w:szCs w:val="20"/>
        </w:rPr>
        <w:t xml:space="preserve">student </w:t>
      </w:r>
      <w:r w:rsidRPr="00790A54">
        <w:rPr>
          <w:rFonts w:ascii="Bookman Old Style" w:hAnsi="Bookman Old Style"/>
          <w:color w:val="auto"/>
          <w:sz w:val="20"/>
          <w:szCs w:val="20"/>
        </w:rPr>
        <w:t>via email</w:t>
      </w:r>
      <w:r w:rsidR="008D55CC" w:rsidRPr="00790A54">
        <w:rPr>
          <w:rFonts w:ascii="Bookman Old Style" w:hAnsi="Bookman Old Style"/>
          <w:color w:val="auto"/>
          <w:sz w:val="20"/>
          <w:szCs w:val="20"/>
        </w:rPr>
        <w:t>. As noted in the Student Email Policy (http://www.colorado.edu/policies/student-e-mailpolicy), email is an official means of communication within the University of Colorado Boulder. Therefore, the university has the right to send communications to students via email and the right to expect that those communications will be received and read in a timely fashion.</w:t>
      </w:r>
    </w:p>
    <w:p w14:paraId="61C5F7B7" w14:textId="77777777" w:rsidR="008D55CC" w:rsidRPr="00790A54" w:rsidRDefault="008D55CC" w:rsidP="002A225D">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Notice shall include: </w:t>
      </w:r>
    </w:p>
    <w:p w14:paraId="02BD2211" w14:textId="77777777" w:rsidR="008D55CC" w:rsidRPr="00790A54" w:rsidRDefault="008D55CC" w:rsidP="001A272B">
      <w:pPr>
        <w:numPr>
          <w:ilvl w:val="4"/>
          <w:numId w:val="1"/>
        </w:numPr>
        <w:tabs>
          <w:tab w:val="left" w:pos="2121"/>
        </w:tabs>
        <w:spacing w:before="120" w:after="100" w:afterAutospacing="1"/>
        <w:ind w:left="3060" w:right="952" w:hanging="450"/>
        <w:jc w:val="both"/>
        <w:rPr>
          <w:rFonts w:ascii="Bookman Old Style" w:hAnsi="Bookman Old Style"/>
          <w:color w:val="auto"/>
          <w:sz w:val="20"/>
          <w:szCs w:val="20"/>
        </w:rPr>
      </w:pPr>
      <w:r w:rsidRPr="00790A54">
        <w:rPr>
          <w:rFonts w:ascii="Bookman Old Style" w:hAnsi="Bookman Old Style"/>
          <w:color w:val="auto"/>
          <w:sz w:val="20"/>
          <w:szCs w:val="20"/>
        </w:rPr>
        <w:t>a summary of the known factual information supporting the alleged prohibited hearing ;</w:t>
      </w:r>
    </w:p>
    <w:p w14:paraId="2CD09FF2" w14:textId="77777777" w:rsidR="008D55CC" w:rsidRPr="00790A54" w:rsidRDefault="008D55CC" w:rsidP="001A272B">
      <w:pPr>
        <w:numPr>
          <w:ilvl w:val="4"/>
          <w:numId w:val="1"/>
        </w:numPr>
        <w:tabs>
          <w:tab w:val="left" w:pos="2121"/>
        </w:tabs>
        <w:spacing w:before="120" w:after="100" w:afterAutospacing="1"/>
        <w:ind w:left="3060"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the Honor  code provisions that are alleged to have been </w:t>
      </w:r>
      <w:r w:rsidRPr="00790A54">
        <w:rPr>
          <w:rFonts w:ascii="Bookman Old Style" w:hAnsi="Bookman Old Style"/>
          <w:color w:val="auto"/>
          <w:sz w:val="20"/>
          <w:szCs w:val="20"/>
        </w:rPr>
        <w:lastRenderedPageBreak/>
        <w:t xml:space="preserve">violated; and </w:t>
      </w:r>
    </w:p>
    <w:p w14:paraId="477E2E64" w14:textId="004D0323" w:rsidR="009F0AE6" w:rsidRPr="00790A54" w:rsidRDefault="002A225D" w:rsidP="001A272B">
      <w:pPr>
        <w:numPr>
          <w:ilvl w:val="4"/>
          <w:numId w:val="1"/>
        </w:numPr>
        <w:tabs>
          <w:tab w:val="left" w:pos="2121"/>
        </w:tabs>
        <w:spacing w:before="120" w:after="100" w:afterAutospacing="1"/>
        <w:ind w:left="3060" w:right="952" w:hanging="450"/>
        <w:jc w:val="both"/>
        <w:rPr>
          <w:rFonts w:ascii="Bookman Old Style" w:hAnsi="Bookman Old Style"/>
          <w:color w:val="auto"/>
          <w:sz w:val="20"/>
          <w:szCs w:val="20"/>
        </w:rPr>
      </w:pPr>
      <w:r w:rsidRPr="00790A54">
        <w:rPr>
          <w:rFonts w:ascii="Bookman Old Style" w:hAnsi="Bookman Old Style"/>
          <w:color w:val="auto"/>
          <w:sz w:val="20"/>
          <w:szCs w:val="20"/>
        </w:rPr>
        <w:t>The</w:t>
      </w:r>
      <w:r w:rsidR="008D55CC" w:rsidRPr="00790A54">
        <w:rPr>
          <w:rFonts w:ascii="Bookman Old Style" w:hAnsi="Bookman Old Style"/>
          <w:color w:val="auto"/>
          <w:sz w:val="20"/>
          <w:szCs w:val="20"/>
        </w:rPr>
        <w:t xml:space="preserve"> requirement that the student schedule a meeting with the hearing officer within the time frame designated in the letter. </w:t>
      </w:r>
    </w:p>
    <w:p w14:paraId="1CC151D1" w14:textId="77777777" w:rsidR="008D55CC" w:rsidRPr="00790A54" w:rsidRDefault="008D55CC" w:rsidP="002A225D">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Advisors</w:t>
      </w:r>
    </w:p>
    <w:p w14:paraId="71A7A29D" w14:textId="615ACCD9" w:rsidR="008D55CC" w:rsidRPr="00790A54" w:rsidRDefault="008D55CC" w:rsidP="00915501">
      <w:pPr>
        <w:numPr>
          <w:ilvl w:val="3"/>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accused student may bring an advisor of their choice, including but not limited to advocates and attorneys, to any Honor Code meeting or hearing. However, advisors are not permitted to speak for or on behalf of the student during any phase of the process, including the hearing. If a student chooses to bring an advisor to the hearing, it is the student’s obligation to select an advisor whose schedule allows attendance at the scheduled hearing time. The </w:t>
      </w:r>
      <w:r w:rsidR="003C518E" w:rsidRPr="00790A54">
        <w:rPr>
          <w:rFonts w:ascii="Bookman Old Style" w:hAnsi="Bookman Old Style"/>
          <w:color w:val="auto"/>
          <w:sz w:val="20"/>
          <w:szCs w:val="20"/>
        </w:rPr>
        <w:t>OSCCR</w:t>
      </w:r>
      <w:r w:rsidRPr="00790A54">
        <w:rPr>
          <w:rFonts w:ascii="Bookman Old Style" w:hAnsi="Bookman Old Style"/>
          <w:color w:val="auto"/>
          <w:sz w:val="20"/>
          <w:szCs w:val="20"/>
        </w:rPr>
        <w:t xml:space="preserve"> is not obligated to reschedule the hearing to accommodate an advisor’s schedule.</w:t>
      </w:r>
    </w:p>
    <w:p w14:paraId="6D66E40E" w14:textId="4AC7C760" w:rsidR="00E362E5" w:rsidRPr="00790A54" w:rsidRDefault="001A272B"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 </w:t>
      </w:r>
      <w:r w:rsidR="00966B41" w:rsidRPr="00790A54">
        <w:rPr>
          <w:rFonts w:ascii="Bookman Old Style" w:hAnsi="Bookman Old Style"/>
          <w:color w:val="auto"/>
          <w:sz w:val="20"/>
          <w:szCs w:val="20"/>
        </w:rPr>
        <w:t xml:space="preserve">The responding student may identify witnesses believed to have relevant information to impart to the hearing officer. If the hearing officer determines that the witness may have relevant information, a good faith effort to contact such witnesses will be made to obtain a statement from them. </w:t>
      </w:r>
    </w:p>
    <w:p w14:paraId="5044D2A8" w14:textId="141743C8"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The OSCCR cannot guarantee the particip</w:t>
      </w:r>
      <w:r w:rsidR="00264D57" w:rsidRPr="00790A54">
        <w:rPr>
          <w:rFonts w:ascii="Bookman Old Style" w:hAnsi="Bookman Old Style"/>
          <w:color w:val="auto"/>
          <w:sz w:val="20"/>
          <w:szCs w:val="20"/>
        </w:rPr>
        <w:t>ation of an identified witness.</w:t>
      </w:r>
    </w:p>
    <w:p w14:paraId="4602F8EE" w14:textId="77777777"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The hearing officer may decline to contact any witnesses if the hearing officer believes that the witness does not have information relevant to the facts in dispute.</w:t>
      </w:r>
    </w:p>
    <w:p w14:paraId="3C9919EE" w14:textId="275F5067" w:rsidR="00264D57"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The responding student may submit questions to the hearing officer </w:t>
      </w:r>
      <w:r w:rsidR="00C86E00" w:rsidRPr="00790A54">
        <w:rPr>
          <w:rFonts w:ascii="Bookman Old Style" w:hAnsi="Bookman Old Style"/>
          <w:color w:val="auto"/>
          <w:sz w:val="20"/>
          <w:szCs w:val="20"/>
        </w:rPr>
        <w:t xml:space="preserve">for the hearing office to consider </w:t>
      </w:r>
      <w:r w:rsidRPr="00790A54">
        <w:rPr>
          <w:rFonts w:ascii="Bookman Old Style" w:hAnsi="Bookman Old Style"/>
          <w:color w:val="auto"/>
          <w:sz w:val="20"/>
          <w:szCs w:val="20"/>
        </w:rPr>
        <w:t>ask</w:t>
      </w:r>
      <w:r w:rsidR="00C86E00" w:rsidRPr="00790A54">
        <w:rPr>
          <w:rFonts w:ascii="Bookman Old Style" w:hAnsi="Bookman Old Style"/>
          <w:color w:val="auto"/>
          <w:sz w:val="20"/>
          <w:szCs w:val="20"/>
        </w:rPr>
        <w:t>ing</w:t>
      </w:r>
      <w:r w:rsidRPr="00790A54">
        <w:rPr>
          <w:rFonts w:ascii="Bookman Old Style" w:hAnsi="Bookman Old Style"/>
          <w:color w:val="auto"/>
          <w:sz w:val="20"/>
          <w:szCs w:val="20"/>
        </w:rPr>
        <w:t xml:space="preserve"> of the witnesses, but is not entitled to be present during the hearing officer’s interview of witnesses. </w:t>
      </w:r>
    </w:p>
    <w:p w14:paraId="59136B78" w14:textId="207C3C0F" w:rsidR="00E362E5" w:rsidRPr="00790A54" w:rsidRDefault="00966B41" w:rsidP="00264D5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It is within the </w:t>
      </w:r>
      <w:r w:rsidR="00264D57" w:rsidRPr="00790A54">
        <w:rPr>
          <w:rFonts w:ascii="Bookman Old Style" w:hAnsi="Bookman Old Style"/>
          <w:color w:val="auto"/>
          <w:sz w:val="20"/>
          <w:szCs w:val="20"/>
        </w:rPr>
        <w:t>discretion</w:t>
      </w:r>
      <w:r w:rsidRPr="00790A54">
        <w:rPr>
          <w:rFonts w:ascii="Bookman Old Style" w:hAnsi="Bookman Old Style"/>
          <w:color w:val="auto"/>
          <w:sz w:val="20"/>
          <w:szCs w:val="20"/>
        </w:rPr>
        <w:t xml:space="preserve"> of the hearing officer to decide whether to ask the witnesses any question(s) submitted by the responding student. </w:t>
      </w:r>
    </w:p>
    <w:p w14:paraId="5C27DAA6" w14:textId="1D51D622" w:rsidR="00E362E5" w:rsidRPr="00790A54" w:rsidRDefault="00966B41" w:rsidP="002B4C07">
      <w:pPr>
        <w:numPr>
          <w:ilvl w:val="3"/>
          <w:numId w:val="1"/>
        </w:numPr>
        <w:tabs>
          <w:tab w:val="left" w:pos="2121"/>
        </w:tabs>
        <w:spacing w:before="120" w:after="100" w:afterAutospacing="1"/>
        <w:ind w:right="952" w:hanging="450"/>
        <w:jc w:val="both"/>
        <w:rPr>
          <w:rFonts w:ascii="Bookman Old Style" w:hAnsi="Bookman Old Style"/>
          <w:color w:val="auto"/>
          <w:sz w:val="20"/>
          <w:szCs w:val="20"/>
        </w:rPr>
      </w:pPr>
      <w:r w:rsidRPr="00790A54">
        <w:rPr>
          <w:rFonts w:ascii="Bookman Old Style" w:hAnsi="Bookman Old Style"/>
          <w:color w:val="auto"/>
          <w:sz w:val="20"/>
          <w:szCs w:val="20"/>
        </w:rPr>
        <w:t>The hearing officer may choose to meet again with the responding student or any other witnesses, including any reporting party, in order to obtain responses to additional information gathered during t</w:t>
      </w:r>
      <w:r w:rsidR="00264D57" w:rsidRPr="00790A54">
        <w:rPr>
          <w:rFonts w:ascii="Bookman Old Style" w:hAnsi="Bookman Old Style"/>
          <w:color w:val="auto"/>
          <w:sz w:val="20"/>
          <w:szCs w:val="20"/>
        </w:rPr>
        <w:t xml:space="preserve">he formal resolution process. </w:t>
      </w:r>
    </w:p>
    <w:p w14:paraId="415E65B7" w14:textId="77777777"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Technical rules of evidence and procedures applicable to civil and criminal court cases do not apply to the student hearing process. The hearing officer is authorized to consider any information relevant to the allegation of prohibited conduct. </w:t>
      </w:r>
    </w:p>
    <w:p w14:paraId="38EF36C1" w14:textId="77777777"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The hearing officer may exclude any person, including the responding student and the student's advisor, who disrupts a meeting.</w:t>
      </w:r>
    </w:p>
    <w:p w14:paraId="5984B09D" w14:textId="52786135"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hearing officer will make determinations about the facts and the credibility and reliability of the information provided and determine whether the student has violated the </w:t>
      </w:r>
      <w:r w:rsidR="00E362E5" w:rsidRPr="00790A54">
        <w:rPr>
          <w:rFonts w:ascii="Bookman Old Style" w:hAnsi="Bookman Old Style"/>
          <w:color w:val="auto"/>
          <w:sz w:val="20"/>
          <w:szCs w:val="20"/>
        </w:rPr>
        <w:t>Honor Code.</w:t>
      </w:r>
    </w:p>
    <w:p w14:paraId="68C3B1D8" w14:textId="57F0B9AD"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hearing officer </w:t>
      </w:r>
      <w:r w:rsidR="00264D57" w:rsidRPr="00790A54">
        <w:rPr>
          <w:rFonts w:ascii="Bookman Old Style" w:hAnsi="Bookman Old Style"/>
          <w:color w:val="auto"/>
          <w:sz w:val="20"/>
          <w:szCs w:val="20"/>
        </w:rPr>
        <w:t>will</w:t>
      </w:r>
      <w:r w:rsidRPr="00790A54">
        <w:rPr>
          <w:rFonts w:ascii="Bookman Old Style" w:hAnsi="Bookman Old Style"/>
          <w:color w:val="auto"/>
          <w:sz w:val="20"/>
          <w:szCs w:val="20"/>
        </w:rPr>
        <w:t xml:space="preserve"> consult with </w:t>
      </w:r>
      <w:r w:rsidR="00813559" w:rsidRPr="00790A54">
        <w:rPr>
          <w:rFonts w:ascii="Bookman Old Style" w:hAnsi="Bookman Old Style"/>
          <w:color w:val="auto"/>
          <w:sz w:val="20"/>
          <w:szCs w:val="20"/>
        </w:rPr>
        <w:t>the</w:t>
      </w:r>
      <w:r w:rsidRPr="00790A54">
        <w:rPr>
          <w:rFonts w:ascii="Bookman Old Style" w:hAnsi="Bookman Old Style"/>
          <w:color w:val="auto"/>
          <w:sz w:val="20"/>
          <w:szCs w:val="20"/>
        </w:rPr>
        <w:t xml:space="preserve"> Advisory Board, who will serve as experts to issues related to academic misconduct. </w:t>
      </w:r>
    </w:p>
    <w:p w14:paraId="01164AF0" w14:textId="628C2046"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If the student is found responsible for violating the Honor Code, the hearing officer</w:t>
      </w:r>
      <w:r w:rsidR="00264D57" w:rsidRPr="00790A54">
        <w:rPr>
          <w:rFonts w:ascii="Bookman Old Style" w:hAnsi="Bookman Old Style"/>
          <w:color w:val="auto"/>
          <w:sz w:val="20"/>
          <w:szCs w:val="20"/>
        </w:rPr>
        <w:t>, in consultation with the Advisory Board will</w:t>
      </w:r>
      <w:r w:rsidRPr="00790A54">
        <w:rPr>
          <w:rFonts w:ascii="Bookman Old Style" w:hAnsi="Bookman Old Style"/>
          <w:color w:val="auto"/>
          <w:sz w:val="20"/>
          <w:szCs w:val="20"/>
        </w:rPr>
        <w:t xml:space="preserve"> determine any aggravating or mitigating circumstances and assign sanctions. The hearing officer will notify the responding student and appropriate university officials of the decision in writing. </w:t>
      </w:r>
    </w:p>
    <w:p w14:paraId="3839C5DC" w14:textId="6B668955"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If the student does not schedule or attend a scheduled meeting with the hearing officer or attends a meeting but does not participate by the date specified in the notice, the hearing officer may decide the outcome of the case</w:t>
      </w:r>
      <w:r w:rsidR="004C58E6" w:rsidRPr="00790A54">
        <w:rPr>
          <w:rFonts w:ascii="Bookman Old Style" w:hAnsi="Bookman Old Style"/>
          <w:color w:val="auto"/>
          <w:sz w:val="20"/>
          <w:szCs w:val="20"/>
        </w:rPr>
        <w:t>, in consultation with the A</w:t>
      </w:r>
      <w:r w:rsidR="00264D57" w:rsidRPr="00790A54">
        <w:rPr>
          <w:rFonts w:ascii="Bookman Old Style" w:hAnsi="Bookman Old Style"/>
          <w:color w:val="auto"/>
          <w:sz w:val="20"/>
          <w:szCs w:val="20"/>
        </w:rPr>
        <w:t xml:space="preserve">dvisory </w:t>
      </w:r>
      <w:r w:rsidR="004C58E6" w:rsidRPr="00790A54">
        <w:rPr>
          <w:rFonts w:ascii="Bookman Old Style" w:hAnsi="Bookman Old Style"/>
          <w:color w:val="auto"/>
          <w:sz w:val="20"/>
          <w:szCs w:val="20"/>
        </w:rPr>
        <w:t>B</w:t>
      </w:r>
      <w:r w:rsidR="00264D57" w:rsidRPr="00790A54">
        <w:rPr>
          <w:rFonts w:ascii="Bookman Old Style" w:hAnsi="Bookman Old Style"/>
          <w:color w:val="auto"/>
          <w:sz w:val="20"/>
          <w:szCs w:val="20"/>
        </w:rPr>
        <w:t>oard,</w:t>
      </w:r>
      <w:r w:rsidRPr="00790A54">
        <w:rPr>
          <w:rFonts w:ascii="Bookman Old Style" w:hAnsi="Bookman Old Style"/>
          <w:color w:val="auto"/>
          <w:sz w:val="20"/>
          <w:szCs w:val="20"/>
        </w:rPr>
        <w:t xml:space="preserve"> in the student’s absence or without the student’s participation based on the information available to the </w:t>
      </w:r>
      <w:r w:rsidR="00CE349C" w:rsidRPr="00790A54">
        <w:rPr>
          <w:rFonts w:ascii="Bookman Old Style" w:hAnsi="Bookman Old Style"/>
          <w:color w:val="auto"/>
          <w:sz w:val="20"/>
          <w:szCs w:val="20"/>
        </w:rPr>
        <w:t xml:space="preserve">hearing </w:t>
      </w:r>
      <w:r w:rsidRPr="00790A54">
        <w:rPr>
          <w:rFonts w:ascii="Bookman Old Style" w:hAnsi="Bookman Old Style"/>
          <w:color w:val="auto"/>
          <w:sz w:val="20"/>
          <w:szCs w:val="20"/>
        </w:rPr>
        <w:t>officer.</w:t>
      </w:r>
    </w:p>
    <w:p w14:paraId="22145F57" w14:textId="0147DD22" w:rsidR="00E362E5" w:rsidRPr="00790A54" w:rsidRDefault="00966B41"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Information Standard in </w:t>
      </w:r>
      <w:r w:rsidR="00B41595" w:rsidRPr="00790A54">
        <w:rPr>
          <w:rFonts w:ascii="Bookman Old Style" w:hAnsi="Bookman Old Style"/>
          <w:color w:val="auto"/>
          <w:sz w:val="20"/>
          <w:szCs w:val="20"/>
        </w:rPr>
        <w:t>Resolution</w:t>
      </w:r>
      <w:r w:rsidRPr="00790A54">
        <w:rPr>
          <w:rFonts w:ascii="Bookman Old Style" w:hAnsi="Bookman Old Style"/>
          <w:color w:val="auto"/>
          <w:sz w:val="20"/>
          <w:szCs w:val="20"/>
        </w:rPr>
        <w:t xml:space="preserve"> Process</w:t>
      </w:r>
    </w:p>
    <w:p w14:paraId="6BF48338" w14:textId="5ED2CD37"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In order to find that a student has engaged in </w:t>
      </w:r>
      <w:r w:rsidR="00264D57" w:rsidRPr="00790A54">
        <w:rPr>
          <w:rFonts w:ascii="Bookman Old Style" w:hAnsi="Bookman Old Style"/>
          <w:color w:val="auto"/>
          <w:sz w:val="20"/>
          <w:szCs w:val="20"/>
        </w:rPr>
        <w:t>a violation of t</w:t>
      </w:r>
      <w:r w:rsidRPr="00790A54">
        <w:rPr>
          <w:rFonts w:ascii="Bookman Old Style" w:hAnsi="Bookman Old Style"/>
          <w:color w:val="auto"/>
          <w:sz w:val="20"/>
          <w:szCs w:val="20"/>
        </w:rPr>
        <w:t>he Honor Code, the standard of proof required is a preponderance of the information contained in the record. The information must demonstrate that it is more likely than not that the student violated the Honor Code.</w:t>
      </w:r>
    </w:p>
    <w:p w14:paraId="4D07A8C9" w14:textId="77777777" w:rsidR="00E362E5" w:rsidRPr="00790A54" w:rsidRDefault="00966B41" w:rsidP="002B4C07">
      <w:pPr>
        <w:numPr>
          <w:ilvl w:val="1"/>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Sanctioning</w:t>
      </w:r>
    </w:p>
    <w:p w14:paraId="7532D43D" w14:textId="48346FEF" w:rsidR="00E362E5" w:rsidRPr="00790A54" w:rsidRDefault="00F9051A"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Faculty </w:t>
      </w:r>
      <w:r w:rsidR="00966B41" w:rsidRPr="00790A54">
        <w:rPr>
          <w:rFonts w:ascii="Bookman Old Style" w:hAnsi="Bookman Old Style"/>
          <w:color w:val="auto"/>
          <w:sz w:val="20"/>
          <w:szCs w:val="20"/>
        </w:rPr>
        <w:t xml:space="preserve">retain the </w:t>
      </w:r>
      <w:r w:rsidR="00F3565B" w:rsidRPr="00790A54">
        <w:rPr>
          <w:rFonts w:ascii="Bookman Old Style" w:hAnsi="Bookman Old Style"/>
          <w:color w:val="auto"/>
          <w:sz w:val="20"/>
          <w:szCs w:val="20"/>
        </w:rPr>
        <w:t xml:space="preserve">sole </w:t>
      </w:r>
      <w:r w:rsidR="00966B41" w:rsidRPr="00790A54">
        <w:rPr>
          <w:rFonts w:ascii="Bookman Old Style" w:hAnsi="Bookman Old Style"/>
          <w:color w:val="auto"/>
          <w:sz w:val="20"/>
          <w:szCs w:val="20"/>
        </w:rPr>
        <w:t>authority to determine appropriate</w:t>
      </w:r>
      <w:r w:rsidR="00E362E5" w:rsidRPr="00790A54">
        <w:rPr>
          <w:rFonts w:ascii="Bookman Old Style" w:hAnsi="Bookman Old Style"/>
          <w:color w:val="auto"/>
          <w:sz w:val="20"/>
          <w:szCs w:val="20"/>
        </w:rPr>
        <w:t xml:space="preserve"> Academic Sanctions </w:t>
      </w:r>
      <w:r w:rsidR="00264D57" w:rsidRPr="00790A54">
        <w:rPr>
          <w:rFonts w:ascii="Bookman Old Style" w:hAnsi="Bookman Old Style"/>
          <w:color w:val="auto"/>
          <w:sz w:val="20"/>
          <w:szCs w:val="20"/>
        </w:rPr>
        <w:t>(</w:t>
      </w:r>
      <w:r w:rsidR="00E362E5" w:rsidRPr="00790A54">
        <w:rPr>
          <w:rFonts w:ascii="Bookman Old Style" w:hAnsi="Bookman Old Style"/>
          <w:color w:val="auto"/>
          <w:sz w:val="20"/>
          <w:szCs w:val="20"/>
        </w:rPr>
        <w:t>i.e. grades</w:t>
      </w:r>
      <w:r w:rsidR="00264D57" w:rsidRPr="00790A54">
        <w:rPr>
          <w:rFonts w:ascii="Bookman Old Style" w:hAnsi="Bookman Old Style"/>
          <w:color w:val="auto"/>
          <w:sz w:val="20"/>
          <w:szCs w:val="20"/>
        </w:rPr>
        <w:t>)</w:t>
      </w:r>
      <w:r w:rsidR="00E362E5" w:rsidRPr="00790A54">
        <w:rPr>
          <w:rFonts w:ascii="Bookman Old Style" w:hAnsi="Bookman Old Style"/>
          <w:color w:val="auto"/>
          <w:sz w:val="20"/>
          <w:szCs w:val="20"/>
        </w:rPr>
        <w:t>.</w:t>
      </w:r>
    </w:p>
    <w:p w14:paraId="3D3D99EB" w14:textId="6F619B14"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 xml:space="preserve">The assigned </w:t>
      </w:r>
      <w:r w:rsidR="00066685" w:rsidRPr="00790A54">
        <w:rPr>
          <w:rFonts w:ascii="Bookman Old Style" w:hAnsi="Bookman Old Style"/>
          <w:color w:val="auto"/>
          <w:sz w:val="20"/>
          <w:szCs w:val="20"/>
        </w:rPr>
        <w:t>hearing officer</w:t>
      </w:r>
      <w:r w:rsidR="00264D57" w:rsidRPr="00790A54">
        <w:rPr>
          <w:rFonts w:ascii="Bookman Old Style" w:hAnsi="Bookman Old Style"/>
          <w:color w:val="auto"/>
          <w:sz w:val="20"/>
          <w:szCs w:val="20"/>
        </w:rPr>
        <w:t xml:space="preserve">, in consultation with the </w:t>
      </w:r>
      <w:r w:rsidR="00F3565B" w:rsidRPr="00790A54">
        <w:rPr>
          <w:rFonts w:ascii="Bookman Old Style" w:hAnsi="Bookman Old Style"/>
          <w:color w:val="auto"/>
          <w:sz w:val="20"/>
          <w:szCs w:val="20"/>
        </w:rPr>
        <w:t>A</w:t>
      </w:r>
      <w:r w:rsidR="00264D57" w:rsidRPr="00790A54">
        <w:rPr>
          <w:rFonts w:ascii="Bookman Old Style" w:hAnsi="Bookman Old Style"/>
          <w:color w:val="auto"/>
          <w:sz w:val="20"/>
          <w:szCs w:val="20"/>
        </w:rPr>
        <w:t xml:space="preserve">dvisory </w:t>
      </w:r>
      <w:r w:rsidR="00F3565B" w:rsidRPr="00790A54">
        <w:rPr>
          <w:rFonts w:ascii="Bookman Old Style" w:hAnsi="Bookman Old Style"/>
          <w:color w:val="auto"/>
          <w:sz w:val="20"/>
          <w:szCs w:val="20"/>
        </w:rPr>
        <w:t>B</w:t>
      </w:r>
      <w:r w:rsidR="00264D57" w:rsidRPr="00790A54">
        <w:rPr>
          <w:rFonts w:ascii="Bookman Old Style" w:hAnsi="Bookman Old Style"/>
          <w:color w:val="auto"/>
          <w:sz w:val="20"/>
          <w:szCs w:val="20"/>
        </w:rPr>
        <w:t>oard,</w:t>
      </w:r>
      <w:r w:rsidRPr="00790A54">
        <w:rPr>
          <w:rFonts w:ascii="Bookman Old Style" w:hAnsi="Bookman Old Style"/>
          <w:color w:val="auto"/>
          <w:sz w:val="20"/>
          <w:szCs w:val="20"/>
        </w:rPr>
        <w:t xml:space="preserve"> shall assign appropriate Non-Academic Sanctions</w:t>
      </w:r>
      <w:r w:rsidR="00F3565B" w:rsidRPr="00790A54">
        <w:rPr>
          <w:rFonts w:ascii="Bookman Old Style" w:hAnsi="Bookman Old Style"/>
          <w:color w:val="auto"/>
          <w:sz w:val="20"/>
          <w:szCs w:val="20"/>
        </w:rPr>
        <w:t xml:space="preserve"> if</w:t>
      </w:r>
      <w:r w:rsidRPr="00790A54">
        <w:rPr>
          <w:rFonts w:ascii="Bookman Old Style" w:hAnsi="Bookman Old Style"/>
          <w:color w:val="auto"/>
          <w:sz w:val="20"/>
          <w:szCs w:val="20"/>
        </w:rPr>
        <w:t xml:space="preserve"> the accused student was found responsible for having committed a violation of the Honor Code. </w:t>
      </w:r>
    </w:p>
    <w:p w14:paraId="1B124AD4" w14:textId="77777777" w:rsidR="00E362E5" w:rsidRPr="00790A54" w:rsidRDefault="00966B41" w:rsidP="002B4C07">
      <w:pPr>
        <w:numPr>
          <w:ilvl w:val="2"/>
          <w:numId w:val="1"/>
        </w:numPr>
        <w:tabs>
          <w:tab w:val="left" w:pos="2121"/>
        </w:tabs>
        <w:spacing w:before="120" w:after="100" w:afterAutospacing="1"/>
        <w:ind w:right="952"/>
        <w:jc w:val="both"/>
        <w:rPr>
          <w:rFonts w:ascii="Bookman Old Style" w:hAnsi="Bookman Old Style"/>
          <w:color w:val="auto"/>
          <w:sz w:val="20"/>
          <w:szCs w:val="20"/>
        </w:rPr>
      </w:pPr>
      <w:r w:rsidRPr="00790A54">
        <w:rPr>
          <w:rFonts w:ascii="Bookman Old Style" w:hAnsi="Bookman Old Style"/>
          <w:color w:val="auto"/>
          <w:sz w:val="20"/>
          <w:szCs w:val="20"/>
        </w:rPr>
        <w:t>Students found responsible for violating the Honor Code will be assessed an adjudication fee of $50.00 per case.</w:t>
      </w:r>
    </w:p>
    <w:p w14:paraId="3B542EF7" w14:textId="77777777" w:rsidR="00E362E5" w:rsidRPr="00790A54" w:rsidRDefault="00966B41" w:rsidP="002B4C07">
      <w:pPr>
        <w:numPr>
          <w:ilvl w:val="1"/>
          <w:numId w:val="1"/>
        </w:numPr>
        <w:tabs>
          <w:tab w:val="left" w:pos="2121"/>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Notifi</w:t>
      </w:r>
      <w:r w:rsidR="00E362E5" w:rsidRPr="00790A54">
        <w:rPr>
          <w:rFonts w:ascii="Bookman Old Style" w:hAnsi="Bookman Old Style"/>
          <w:color w:val="auto"/>
          <w:sz w:val="20"/>
          <w:szCs w:val="20"/>
        </w:rPr>
        <w:t>cation of Decision</w:t>
      </w:r>
    </w:p>
    <w:p w14:paraId="7CEECD73" w14:textId="0E874BEC" w:rsidR="00E362E5" w:rsidRPr="00790A54" w:rsidRDefault="00966B41" w:rsidP="002B4C07">
      <w:pPr>
        <w:numPr>
          <w:ilvl w:val="2"/>
          <w:numId w:val="1"/>
        </w:numPr>
        <w:tabs>
          <w:tab w:val="left" w:pos="2121"/>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 xml:space="preserve">Upon the conclusion of Honor Code case resolution process, the assigned </w:t>
      </w:r>
      <w:r w:rsidR="00EA7CE4" w:rsidRPr="00790A54">
        <w:rPr>
          <w:rFonts w:ascii="Bookman Old Style" w:hAnsi="Bookman Old Style"/>
          <w:color w:val="auto"/>
          <w:sz w:val="20"/>
          <w:szCs w:val="20"/>
        </w:rPr>
        <w:t>hearing officer</w:t>
      </w:r>
      <w:r w:rsidRPr="00790A54">
        <w:rPr>
          <w:rFonts w:ascii="Bookman Old Style" w:hAnsi="Bookman Old Style"/>
          <w:color w:val="auto"/>
          <w:sz w:val="20"/>
          <w:szCs w:val="20"/>
        </w:rPr>
        <w:t xml:space="preserve"> shall send written notice of the decision to the accused student that shall detail the findings and any Non-Academic Sanctions assigned.</w:t>
      </w:r>
    </w:p>
    <w:p w14:paraId="41697813" w14:textId="47C83D6C" w:rsidR="00E362E5" w:rsidRPr="00790A54" w:rsidRDefault="00966B41" w:rsidP="00A50C29">
      <w:pPr>
        <w:numPr>
          <w:ilvl w:val="2"/>
          <w:numId w:val="1"/>
        </w:numPr>
        <w:tabs>
          <w:tab w:val="left" w:pos="2121"/>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Notice of the decision, and of any Non-Academic Sanctions assigne</w:t>
      </w:r>
      <w:r w:rsidR="00066685" w:rsidRPr="00790A54">
        <w:rPr>
          <w:rFonts w:ascii="Bookman Old Style" w:hAnsi="Bookman Old Style"/>
          <w:color w:val="auto"/>
          <w:sz w:val="20"/>
          <w:szCs w:val="20"/>
        </w:rPr>
        <w:t>d, shall be distributed by the h</w:t>
      </w:r>
      <w:r w:rsidRPr="00790A54">
        <w:rPr>
          <w:rFonts w:ascii="Bookman Old Style" w:hAnsi="Bookman Old Style"/>
          <w:color w:val="auto"/>
          <w:sz w:val="20"/>
          <w:szCs w:val="20"/>
        </w:rPr>
        <w:t>earing</w:t>
      </w:r>
      <w:r w:rsidR="00066685" w:rsidRPr="00790A54">
        <w:rPr>
          <w:rFonts w:ascii="Bookman Old Style" w:hAnsi="Bookman Old Style"/>
          <w:color w:val="auto"/>
          <w:sz w:val="20"/>
          <w:szCs w:val="20"/>
        </w:rPr>
        <w:t xml:space="preserve"> </w:t>
      </w:r>
      <w:r w:rsidR="00F84AEC" w:rsidRPr="00790A54">
        <w:rPr>
          <w:rFonts w:ascii="Bookman Old Style" w:hAnsi="Bookman Old Style"/>
          <w:color w:val="auto"/>
          <w:sz w:val="20"/>
          <w:szCs w:val="20"/>
        </w:rPr>
        <w:t>officer to</w:t>
      </w:r>
      <w:r w:rsidRPr="00790A54">
        <w:rPr>
          <w:rFonts w:ascii="Bookman Old Style" w:hAnsi="Bookman Old Style"/>
          <w:color w:val="auto"/>
          <w:sz w:val="20"/>
          <w:szCs w:val="20"/>
        </w:rPr>
        <w:t xml:space="preserve"> parties with a legitimate educational interest including, but not limited </w:t>
      </w:r>
      <w:r w:rsidR="00F84AEC" w:rsidRPr="00790A54">
        <w:rPr>
          <w:rFonts w:ascii="Bookman Old Style" w:hAnsi="Bookman Old Style"/>
          <w:color w:val="auto"/>
          <w:sz w:val="20"/>
          <w:szCs w:val="20"/>
        </w:rPr>
        <w:t>to the</w:t>
      </w:r>
      <w:r w:rsidRPr="00790A54">
        <w:rPr>
          <w:rFonts w:ascii="Bookman Old Style" w:hAnsi="Bookman Old Style"/>
          <w:color w:val="auto"/>
          <w:sz w:val="20"/>
          <w:szCs w:val="20"/>
        </w:rPr>
        <w:t xml:space="preserve"> faculty member(s) for any course implicated in the case</w:t>
      </w:r>
      <w:r w:rsidR="00A50C29" w:rsidRPr="00790A54">
        <w:rPr>
          <w:rFonts w:ascii="Bookman Old Style" w:hAnsi="Bookman Old Style"/>
          <w:color w:val="auto"/>
          <w:sz w:val="20"/>
          <w:szCs w:val="20"/>
        </w:rPr>
        <w:t>.</w:t>
      </w:r>
    </w:p>
    <w:p w14:paraId="13FC5C9F" w14:textId="77777777" w:rsidR="00E362E5" w:rsidRPr="00790A54" w:rsidRDefault="00966B41" w:rsidP="002B4C07">
      <w:pPr>
        <w:numPr>
          <w:ilvl w:val="1"/>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Appeals</w:t>
      </w:r>
    </w:p>
    <w:p w14:paraId="17C6003C" w14:textId="31F19A22" w:rsidR="00E362E5" w:rsidRPr="00790A54" w:rsidRDefault="00264D57"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The</w:t>
      </w:r>
      <w:r w:rsidR="00966B41" w:rsidRPr="00790A54">
        <w:rPr>
          <w:rFonts w:ascii="Bookman Old Style" w:hAnsi="Bookman Old Style"/>
          <w:color w:val="auto"/>
          <w:sz w:val="20"/>
          <w:szCs w:val="20"/>
        </w:rPr>
        <w:t xml:space="preserve"> accused student may appeal the</w:t>
      </w:r>
      <w:r w:rsidR="009928EA" w:rsidRPr="00790A54">
        <w:rPr>
          <w:rFonts w:ascii="Bookman Old Style" w:hAnsi="Bookman Old Style"/>
          <w:color w:val="auto"/>
          <w:sz w:val="20"/>
          <w:szCs w:val="20"/>
        </w:rPr>
        <w:t xml:space="preserve"> hearing officer’s</w:t>
      </w:r>
      <w:r w:rsidR="00966B41" w:rsidRPr="00790A54">
        <w:rPr>
          <w:rFonts w:ascii="Bookman Old Style" w:hAnsi="Bookman Old Style"/>
          <w:color w:val="auto"/>
          <w:sz w:val="20"/>
          <w:szCs w:val="20"/>
        </w:rPr>
        <w:t xml:space="preserve"> decision regarding responsibility. Appeals must be submitted </w:t>
      </w:r>
      <w:r w:rsidR="0095561E" w:rsidRPr="00790A54">
        <w:rPr>
          <w:rFonts w:ascii="Bookman Old Style" w:hAnsi="Bookman Old Style"/>
          <w:color w:val="auto"/>
          <w:sz w:val="20"/>
          <w:szCs w:val="20"/>
        </w:rPr>
        <w:t xml:space="preserve">to the hearing officer in writing </w:t>
      </w:r>
      <w:r w:rsidR="009928EA" w:rsidRPr="00790A54">
        <w:rPr>
          <w:rFonts w:ascii="Bookman Old Style" w:hAnsi="Bookman Old Style"/>
          <w:color w:val="auto"/>
          <w:sz w:val="20"/>
          <w:szCs w:val="20"/>
        </w:rPr>
        <w:t xml:space="preserve">within 10 business days </w:t>
      </w:r>
      <w:r w:rsidR="00966B41" w:rsidRPr="00790A54">
        <w:rPr>
          <w:rFonts w:ascii="Bookman Old Style" w:hAnsi="Bookman Old Style"/>
          <w:color w:val="auto"/>
          <w:sz w:val="20"/>
          <w:szCs w:val="20"/>
        </w:rPr>
        <w:t>of the date of the decision letter.</w:t>
      </w:r>
    </w:p>
    <w:p w14:paraId="4F09C8D6" w14:textId="77777777" w:rsidR="00E362E5" w:rsidRPr="00790A54" w:rsidRDefault="00966B41"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An appe</w:t>
      </w:r>
      <w:r w:rsidR="000D0C2C" w:rsidRPr="00790A54">
        <w:rPr>
          <w:rFonts w:ascii="Bookman Old Style" w:hAnsi="Bookman Old Style"/>
          <w:color w:val="auto"/>
          <w:sz w:val="20"/>
          <w:szCs w:val="20"/>
        </w:rPr>
        <w:t>al must be based on:</w:t>
      </w:r>
    </w:p>
    <w:p w14:paraId="128BB821" w14:textId="77777777" w:rsidR="00E362E5" w:rsidRPr="00790A54" w:rsidRDefault="00966B41" w:rsidP="002B4C07">
      <w:pPr>
        <w:numPr>
          <w:ilvl w:val="3"/>
          <w:numId w:val="1"/>
        </w:numPr>
        <w:tabs>
          <w:tab w:val="left" w:pos="2070"/>
        </w:tabs>
        <w:spacing w:before="120" w:after="100" w:afterAutospacing="1"/>
        <w:ind w:left="2520" w:right="112" w:hanging="450"/>
        <w:jc w:val="both"/>
        <w:rPr>
          <w:rFonts w:ascii="Bookman Old Style" w:hAnsi="Bookman Old Style"/>
          <w:color w:val="auto"/>
          <w:sz w:val="20"/>
          <w:szCs w:val="20"/>
        </w:rPr>
      </w:pPr>
      <w:r w:rsidRPr="00790A54">
        <w:rPr>
          <w:rFonts w:ascii="Bookman Old Style" w:hAnsi="Bookman Old Style"/>
          <w:color w:val="auto"/>
          <w:sz w:val="20"/>
          <w:szCs w:val="20"/>
        </w:rPr>
        <w:t xml:space="preserve">procedural deficiencies in the established hearing process; and/or </w:t>
      </w:r>
    </w:p>
    <w:p w14:paraId="7B00E345" w14:textId="77777777" w:rsidR="00E362E5" w:rsidRPr="00790A54" w:rsidRDefault="00966B41" w:rsidP="002B4C07">
      <w:pPr>
        <w:numPr>
          <w:ilvl w:val="3"/>
          <w:numId w:val="1"/>
        </w:numPr>
        <w:tabs>
          <w:tab w:val="left" w:pos="2070"/>
        </w:tabs>
        <w:spacing w:before="120" w:after="100" w:afterAutospacing="1"/>
        <w:ind w:left="2520" w:right="112" w:hanging="450"/>
        <w:jc w:val="both"/>
        <w:rPr>
          <w:rFonts w:ascii="Bookman Old Style" w:hAnsi="Bookman Old Style"/>
          <w:color w:val="auto"/>
          <w:sz w:val="20"/>
          <w:szCs w:val="20"/>
        </w:rPr>
      </w:pPr>
      <w:r w:rsidRPr="00790A54">
        <w:rPr>
          <w:rFonts w:ascii="Bookman Old Style" w:hAnsi="Bookman Old Style"/>
          <w:color w:val="auto"/>
          <w:sz w:val="20"/>
          <w:szCs w:val="20"/>
        </w:rPr>
        <w:t>the emergence of substantive new information which was not available at the time of the hearing.</w:t>
      </w:r>
    </w:p>
    <w:p w14:paraId="1F69B6D0" w14:textId="062F832D" w:rsidR="00E362E5" w:rsidRPr="00790A54" w:rsidRDefault="00966B41"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 xml:space="preserve">Appeal forms may be obtained </w:t>
      </w:r>
      <w:r w:rsidR="000D0C2C" w:rsidRPr="00790A54">
        <w:rPr>
          <w:rFonts w:ascii="Bookman Old Style" w:hAnsi="Bookman Old Style"/>
          <w:color w:val="auto"/>
          <w:sz w:val="20"/>
          <w:szCs w:val="20"/>
        </w:rPr>
        <w:t xml:space="preserve">from the </w:t>
      </w:r>
      <w:r w:rsidR="00B41595" w:rsidRPr="00790A54">
        <w:rPr>
          <w:rFonts w:ascii="Bookman Old Style" w:hAnsi="Bookman Old Style"/>
          <w:color w:val="auto"/>
          <w:sz w:val="20"/>
          <w:szCs w:val="20"/>
        </w:rPr>
        <w:t>OSCCR</w:t>
      </w:r>
    </w:p>
    <w:p w14:paraId="3C098F92" w14:textId="5A4D5C52" w:rsidR="00E362E5" w:rsidRPr="00790A54" w:rsidRDefault="00966B41"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If a student or reporting party submits an appeal form in accordance with time limits herein, the</w:t>
      </w:r>
      <w:r w:rsidR="0095561E" w:rsidRPr="00790A54">
        <w:rPr>
          <w:rFonts w:ascii="Bookman Old Style" w:hAnsi="Bookman Old Style"/>
          <w:color w:val="auto"/>
          <w:sz w:val="20"/>
          <w:szCs w:val="20"/>
        </w:rPr>
        <w:t xml:space="preserve"> Dean of Students, or their designee, in consultation with the </w:t>
      </w:r>
      <w:r w:rsidR="00A50C29" w:rsidRPr="00790A54">
        <w:rPr>
          <w:rFonts w:ascii="Bookman Old Style" w:hAnsi="Bookman Old Style"/>
          <w:color w:val="auto"/>
          <w:sz w:val="20"/>
          <w:szCs w:val="20"/>
        </w:rPr>
        <w:t>A</w:t>
      </w:r>
      <w:r w:rsidR="0095561E" w:rsidRPr="00790A54">
        <w:rPr>
          <w:rFonts w:ascii="Bookman Old Style" w:hAnsi="Bookman Old Style"/>
          <w:color w:val="auto"/>
          <w:sz w:val="20"/>
          <w:szCs w:val="20"/>
        </w:rPr>
        <w:t xml:space="preserve">dvisory </w:t>
      </w:r>
      <w:r w:rsidR="00A50C29" w:rsidRPr="00790A54">
        <w:rPr>
          <w:rFonts w:ascii="Bookman Old Style" w:hAnsi="Bookman Old Style"/>
          <w:color w:val="auto"/>
          <w:sz w:val="20"/>
          <w:szCs w:val="20"/>
        </w:rPr>
        <w:t>B</w:t>
      </w:r>
      <w:r w:rsidR="0095561E" w:rsidRPr="00790A54">
        <w:rPr>
          <w:rFonts w:ascii="Bookman Old Style" w:hAnsi="Bookman Old Style"/>
          <w:color w:val="auto"/>
          <w:sz w:val="20"/>
          <w:szCs w:val="20"/>
        </w:rPr>
        <w:t>oard,</w:t>
      </w:r>
      <w:r w:rsidRPr="00790A54">
        <w:rPr>
          <w:rFonts w:ascii="Bookman Old Style" w:hAnsi="Bookman Old Style"/>
          <w:color w:val="auto"/>
          <w:sz w:val="20"/>
          <w:szCs w:val="20"/>
        </w:rPr>
        <w:t xml:space="preserve"> shall determine whether one or both of the grounds for an appeal</w:t>
      </w:r>
      <w:r w:rsidR="00B41595" w:rsidRPr="00790A54">
        <w:rPr>
          <w:rFonts w:ascii="Bookman Old Style" w:hAnsi="Bookman Old Style"/>
          <w:color w:val="auto"/>
          <w:sz w:val="20"/>
          <w:szCs w:val="20"/>
        </w:rPr>
        <w:t>.</w:t>
      </w:r>
      <w:r w:rsidRPr="00790A54">
        <w:rPr>
          <w:rFonts w:ascii="Bookman Old Style" w:hAnsi="Bookman Old Style"/>
          <w:color w:val="auto"/>
          <w:sz w:val="20"/>
          <w:szCs w:val="20"/>
        </w:rPr>
        <w:t xml:space="preserve"> If either ground applies, </w:t>
      </w:r>
      <w:r w:rsidR="000D0C2C" w:rsidRPr="00790A54">
        <w:rPr>
          <w:rFonts w:ascii="Bookman Old Style" w:hAnsi="Bookman Old Style"/>
          <w:color w:val="auto"/>
          <w:sz w:val="20"/>
          <w:szCs w:val="20"/>
        </w:rPr>
        <w:t xml:space="preserve">the </w:t>
      </w:r>
      <w:r w:rsidR="0095561E" w:rsidRPr="00790A54">
        <w:rPr>
          <w:rFonts w:ascii="Bookman Old Style" w:hAnsi="Bookman Old Style"/>
          <w:color w:val="auto"/>
          <w:sz w:val="20"/>
          <w:szCs w:val="20"/>
        </w:rPr>
        <w:t>Appeal Board</w:t>
      </w:r>
      <w:r w:rsidR="000D0C2C" w:rsidRPr="00790A54">
        <w:rPr>
          <w:rFonts w:ascii="Bookman Old Style" w:hAnsi="Bookman Old Style"/>
          <w:color w:val="auto"/>
          <w:sz w:val="20"/>
          <w:szCs w:val="20"/>
        </w:rPr>
        <w:t xml:space="preserve"> will</w:t>
      </w:r>
      <w:r w:rsidRPr="00790A54">
        <w:rPr>
          <w:rFonts w:ascii="Bookman Old Style" w:hAnsi="Bookman Old Style"/>
          <w:color w:val="auto"/>
          <w:sz w:val="20"/>
          <w:szCs w:val="20"/>
        </w:rPr>
        <w:t xml:space="preserve"> review the case. The </w:t>
      </w:r>
      <w:r w:rsidR="0095561E" w:rsidRPr="00790A54">
        <w:rPr>
          <w:rFonts w:ascii="Bookman Old Style" w:hAnsi="Bookman Old Style"/>
          <w:color w:val="auto"/>
          <w:sz w:val="20"/>
          <w:szCs w:val="20"/>
        </w:rPr>
        <w:t>Appeal Board</w:t>
      </w:r>
      <w:r w:rsidRPr="00790A54">
        <w:rPr>
          <w:rFonts w:ascii="Bookman Old Style" w:hAnsi="Bookman Old Style"/>
          <w:color w:val="auto"/>
          <w:sz w:val="20"/>
          <w:szCs w:val="20"/>
        </w:rPr>
        <w:t xml:space="preserve"> shall not hear testimony from the accused student, the reporting party, or any witnesses. Review of the case shall be on the record of the case alone unless the basis of the appeal is new information not available at the time of the hearing. All new information to be considered within the case record must be submitted with the appeal form.</w:t>
      </w:r>
    </w:p>
    <w:p w14:paraId="7C67E81E" w14:textId="77777777" w:rsidR="00B41595" w:rsidRPr="00790A54" w:rsidRDefault="00B41595"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Actions Available to the Appeal Board:</w:t>
      </w:r>
    </w:p>
    <w:p w14:paraId="2CD358F4" w14:textId="24578DCA" w:rsidR="00B41595" w:rsidRPr="00790A54" w:rsidRDefault="00B41595" w:rsidP="00B41595">
      <w:pPr>
        <w:numPr>
          <w:ilvl w:val="3"/>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Affirm the initial decision.</w:t>
      </w:r>
    </w:p>
    <w:p w14:paraId="39E0AE0A" w14:textId="4A252F38" w:rsidR="00E362E5" w:rsidRPr="00790A54" w:rsidRDefault="00B41595" w:rsidP="00B41595">
      <w:pPr>
        <w:numPr>
          <w:ilvl w:val="3"/>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 xml:space="preserve">Find that improper procedures were used. In this case, the Appeal Board can refer the case back to the conduct officer with a recommendation on how to correct the procedures. </w:t>
      </w:r>
    </w:p>
    <w:p w14:paraId="74E72DDD" w14:textId="463AF606" w:rsidR="00B41595" w:rsidRPr="00790A54" w:rsidRDefault="00B41595" w:rsidP="00B41595">
      <w:pPr>
        <w:numPr>
          <w:ilvl w:val="3"/>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Find that (a) the student has presented information that would have been material to the outcome of the case had the information been presented at the conduct meeting, and (b) the information was not known to the person appealing at the time of the original student conduct meeting. I</w:t>
      </w:r>
      <w:r w:rsidR="00A50C29" w:rsidRPr="00790A54">
        <w:rPr>
          <w:rFonts w:ascii="Bookman Old Style" w:hAnsi="Bookman Old Style"/>
          <w:color w:val="auto"/>
          <w:sz w:val="20"/>
          <w:szCs w:val="20"/>
        </w:rPr>
        <w:t>n</w:t>
      </w:r>
      <w:r w:rsidRPr="00790A54">
        <w:rPr>
          <w:rFonts w:ascii="Bookman Old Style" w:hAnsi="Bookman Old Style"/>
          <w:color w:val="auto"/>
          <w:sz w:val="20"/>
          <w:szCs w:val="20"/>
        </w:rPr>
        <w:t xml:space="preserve"> this even</w:t>
      </w:r>
      <w:r w:rsidR="00F84AEC" w:rsidRPr="00790A54">
        <w:rPr>
          <w:rFonts w:ascii="Bookman Old Style" w:hAnsi="Bookman Old Style"/>
          <w:color w:val="auto"/>
          <w:sz w:val="20"/>
          <w:szCs w:val="20"/>
        </w:rPr>
        <w:t>t</w:t>
      </w:r>
      <w:r w:rsidRPr="00790A54">
        <w:rPr>
          <w:rFonts w:ascii="Bookman Old Style" w:hAnsi="Bookman Old Style"/>
          <w:color w:val="auto"/>
          <w:sz w:val="20"/>
          <w:szCs w:val="20"/>
        </w:rPr>
        <w:t xml:space="preserve"> the Appeal Board will refer the case back to the </w:t>
      </w:r>
      <w:r w:rsidR="00A50C29" w:rsidRPr="00790A54">
        <w:rPr>
          <w:rFonts w:ascii="Bookman Old Style" w:hAnsi="Bookman Old Style"/>
          <w:color w:val="auto"/>
          <w:sz w:val="20"/>
          <w:szCs w:val="20"/>
        </w:rPr>
        <w:t>hearing</w:t>
      </w:r>
      <w:r w:rsidRPr="00790A54">
        <w:rPr>
          <w:rFonts w:ascii="Bookman Old Style" w:hAnsi="Bookman Old Style"/>
          <w:color w:val="auto"/>
          <w:sz w:val="20"/>
          <w:szCs w:val="20"/>
        </w:rPr>
        <w:t xml:space="preserve"> officer for reconsideration in light of the new information.</w:t>
      </w:r>
      <w:r w:rsidRPr="00790A54">
        <w:rPr>
          <w:rFonts w:ascii="Bookman Old Style" w:hAnsi="Bookman Old Style"/>
          <w:color w:val="auto"/>
          <w:sz w:val="20"/>
          <w:szCs w:val="20"/>
        </w:rPr>
        <w:br/>
      </w:r>
    </w:p>
    <w:p w14:paraId="5A5AF632" w14:textId="77777777" w:rsidR="00E362E5" w:rsidRPr="00790A54" w:rsidRDefault="00966B41" w:rsidP="002B4C07">
      <w:pPr>
        <w:numPr>
          <w:ilvl w:val="1"/>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Dismissal or Withdrawal of Honor Code Cases.</w:t>
      </w:r>
    </w:p>
    <w:p w14:paraId="26D2E494" w14:textId="631AA2E7" w:rsidR="00E362E5" w:rsidRPr="00790A54" w:rsidRDefault="00966B41"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 xml:space="preserve">A pending Honor Code case may be dismissed if the Office of Institutional Equity and Compliance (OIEC) finds discrimination or harassment was a motivating factor for the accusing party to refer the alleged violation to </w:t>
      </w:r>
      <w:r w:rsidR="00066685" w:rsidRPr="00790A54">
        <w:rPr>
          <w:rFonts w:ascii="Bookman Old Style" w:hAnsi="Bookman Old Style"/>
          <w:color w:val="auto"/>
          <w:sz w:val="20"/>
          <w:szCs w:val="20"/>
        </w:rPr>
        <w:t>the O</w:t>
      </w:r>
      <w:r w:rsidR="00A50C29" w:rsidRPr="00790A54">
        <w:rPr>
          <w:rFonts w:ascii="Bookman Old Style" w:hAnsi="Bookman Old Style"/>
          <w:color w:val="auto"/>
          <w:sz w:val="20"/>
          <w:szCs w:val="20"/>
        </w:rPr>
        <w:t>SCCR</w:t>
      </w:r>
      <w:r w:rsidRPr="00790A54">
        <w:rPr>
          <w:rFonts w:ascii="Bookman Old Style" w:hAnsi="Bookman Old Style"/>
          <w:color w:val="auto"/>
          <w:sz w:val="20"/>
          <w:szCs w:val="20"/>
        </w:rPr>
        <w:t xml:space="preserve">. </w:t>
      </w:r>
      <w:r w:rsidR="0095561E" w:rsidRPr="00790A54">
        <w:rPr>
          <w:rFonts w:ascii="Bookman Old Style" w:hAnsi="Bookman Old Style"/>
          <w:color w:val="auto"/>
          <w:sz w:val="20"/>
          <w:szCs w:val="20"/>
        </w:rPr>
        <w:t>T</w:t>
      </w:r>
      <w:r w:rsidR="00066685" w:rsidRPr="00790A54">
        <w:rPr>
          <w:rFonts w:ascii="Bookman Old Style" w:hAnsi="Bookman Old Style"/>
          <w:color w:val="auto"/>
          <w:sz w:val="20"/>
          <w:szCs w:val="20"/>
        </w:rPr>
        <w:t>he O</w:t>
      </w:r>
      <w:r w:rsidR="00A50C29" w:rsidRPr="00790A54">
        <w:rPr>
          <w:rFonts w:ascii="Bookman Old Style" w:hAnsi="Bookman Old Style"/>
          <w:color w:val="auto"/>
          <w:sz w:val="20"/>
          <w:szCs w:val="20"/>
        </w:rPr>
        <w:t>SCCR</w:t>
      </w:r>
      <w:r w:rsidR="0095561E" w:rsidRPr="00790A54">
        <w:rPr>
          <w:rFonts w:ascii="Bookman Old Style" w:hAnsi="Bookman Old Style"/>
          <w:color w:val="auto"/>
          <w:sz w:val="20"/>
          <w:szCs w:val="20"/>
        </w:rPr>
        <w:t xml:space="preserve"> and the Advisory Board</w:t>
      </w:r>
      <w:r w:rsidRPr="00790A54">
        <w:rPr>
          <w:rFonts w:ascii="Bookman Old Style" w:hAnsi="Bookman Old Style"/>
          <w:color w:val="auto"/>
          <w:sz w:val="20"/>
          <w:szCs w:val="20"/>
        </w:rPr>
        <w:t xml:space="preserve"> will rely on the outcome of the OIEC’s investigation to determine wheth</w:t>
      </w:r>
      <w:r w:rsidR="000D0C2C" w:rsidRPr="00790A54">
        <w:rPr>
          <w:rFonts w:ascii="Bookman Old Style" w:hAnsi="Bookman Old Style"/>
          <w:color w:val="auto"/>
          <w:sz w:val="20"/>
          <w:szCs w:val="20"/>
        </w:rPr>
        <w:t>er the case should be dismiss</w:t>
      </w:r>
      <w:r w:rsidR="0095561E" w:rsidRPr="00790A54">
        <w:rPr>
          <w:rFonts w:ascii="Bookman Old Style" w:hAnsi="Bookman Old Style"/>
          <w:color w:val="auto"/>
          <w:sz w:val="20"/>
          <w:szCs w:val="20"/>
        </w:rPr>
        <w:t>ed.</w:t>
      </w:r>
    </w:p>
    <w:p w14:paraId="4EC49B24" w14:textId="587BFC33" w:rsidR="00E362E5" w:rsidRPr="00790A54" w:rsidRDefault="00966B41"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 xml:space="preserve">A pending Honor Code case may be withdrawn at the request of the accusing party or the </w:t>
      </w:r>
      <w:r w:rsidR="009928EA" w:rsidRPr="00790A54">
        <w:rPr>
          <w:rFonts w:ascii="Bookman Old Style" w:hAnsi="Bookman Old Style"/>
          <w:color w:val="auto"/>
          <w:sz w:val="20"/>
          <w:szCs w:val="20"/>
        </w:rPr>
        <w:t>hearing officer determines</w:t>
      </w:r>
      <w:r w:rsidRPr="00790A54">
        <w:rPr>
          <w:rFonts w:ascii="Bookman Old Style" w:hAnsi="Bookman Old Style"/>
          <w:color w:val="auto"/>
          <w:sz w:val="20"/>
          <w:szCs w:val="20"/>
        </w:rPr>
        <w:t xml:space="preserve"> that the accusation was unf</w:t>
      </w:r>
      <w:r w:rsidR="0095561E" w:rsidRPr="00790A54">
        <w:rPr>
          <w:rFonts w:ascii="Bookman Old Style" w:hAnsi="Bookman Old Style"/>
          <w:color w:val="auto"/>
          <w:sz w:val="20"/>
          <w:szCs w:val="20"/>
        </w:rPr>
        <w:t>ounded</w:t>
      </w:r>
      <w:r w:rsidRPr="00790A54">
        <w:rPr>
          <w:rFonts w:ascii="Bookman Old Style" w:hAnsi="Bookman Old Style"/>
          <w:color w:val="auto"/>
          <w:sz w:val="20"/>
          <w:szCs w:val="20"/>
        </w:rPr>
        <w:t>.</w:t>
      </w:r>
    </w:p>
    <w:p w14:paraId="7B16A320" w14:textId="77777777" w:rsidR="00164965" w:rsidRPr="00790A54" w:rsidRDefault="00066685" w:rsidP="002B4C07">
      <w:pPr>
        <w:numPr>
          <w:ilvl w:val="2"/>
          <w:numId w:val="1"/>
        </w:numPr>
        <w:tabs>
          <w:tab w:val="left" w:pos="2070"/>
        </w:tabs>
        <w:spacing w:before="120" w:after="100" w:afterAutospacing="1"/>
        <w:ind w:right="112"/>
        <w:jc w:val="both"/>
        <w:rPr>
          <w:rFonts w:ascii="Bookman Old Style" w:hAnsi="Bookman Old Style"/>
          <w:color w:val="auto"/>
          <w:sz w:val="20"/>
          <w:szCs w:val="20"/>
        </w:rPr>
      </w:pPr>
      <w:r w:rsidRPr="00790A54">
        <w:rPr>
          <w:rFonts w:ascii="Bookman Old Style" w:hAnsi="Bookman Old Style"/>
          <w:color w:val="auto"/>
          <w:sz w:val="20"/>
          <w:szCs w:val="20"/>
        </w:rPr>
        <w:t>The hearing o</w:t>
      </w:r>
      <w:r w:rsidR="00966B41" w:rsidRPr="00790A54">
        <w:rPr>
          <w:rFonts w:ascii="Bookman Old Style" w:hAnsi="Bookman Old Style"/>
          <w:color w:val="auto"/>
          <w:sz w:val="20"/>
          <w:szCs w:val="20"/>
        </w:rPr>
        <w:t>fficer</w:t>
      </w:r>
      <w:r w:rsidR="00E362E5" w:rsidRPr="00790A54">
        <w:rPr>
          <w:rFonts w:ascii="Bookman Old Style" w:hAnsi="Bookman Old Style"/>
          <w:color w:val="auto"/>
          <w:sz w:val="20"/>
          <w:szCs w:val="20"/>
        </w:rPr>
        <w:t xml:space="preserve"> </w:t>
      </w:r>
      <w:r w:rsidR="00966B41" w:rsidRPr="00790A54">
        <w:rPr>
          <w:rFonts w:ascii="Bookman Old Style" w:hAnsi="Bookman Old Style"/>
          <w:color w:val="auto"/>
          <w:sz w:val="20"/>
          <w:szCs w:val="20"/>
        </w:rPr>
        <w:t>may defer consideration of a pending Honor Code case if the hearing officer determines that another campus disciplinary or investigative process is more appropriately</w:t>
      </w:r>
      <w:r w:rsidRPr="00790A54">
        <w:rPr>
          <w:rFonts w:ascii="Bookman Old Style" w:hAnsi="Bookman Old Style"/>
          <w:color w:val="auto"/>
          <w:sz w:val="20"/>
          <w:szCs w:val="20"/>
        </w:rPr>
        <w:t xml:space="preserve"> suited to the charges. If the h</w:t>
      </w:r>
      <w:r w:rsidR="00966B41" w:rsidRPr="00790A54">
        <w:rPr>
          <w:rFonts w:ascii="Bookman Old Style" w:hAnsi="Bookman Old Style"/>
          <w:color w:val="auto"/>
          <w:sz w:val="20"/>
          <w:szCs w:val="20"/>
        </w:rPr>
        <w:t>earing officer defers consideration of a case while another campus disciplinary or investigative process proceeds, then at the conclusion of such other process, the hearing officer</w:t>
      </w:r>
      <w:r w:rsidR="00E362E5" w:rsidRPr="00790A54">
        <w:rPr>
          <w:rFonts w:ascii="Bookman Old Style" w:hAnsi="Bookman Old Style"/>
          <w:color w:val="auto"/>
          <w:sz w:val="20"/>
          <w:szCs w:val="20"/>
        </w:rPr>
        <w:t xml:space="preserve"> </w:t>
      </w:r>
      <w:r w:rsidR="00966B41" w:rsidRPr="00790A54">
        <w:rPr>
          <w:rFonts w:ascii="Bookman Old Style" w:hAnsi="Bookman Old Style"/>
          <w:color w:val="auto"/>
          <w:sz w:val="20"/>
          <w:szCs w:val="20"/>
        </w:rPr>
        <w:t>shall determine whether to re-open its investigation or close the case based on the outcome of such other process.</w:t>
      </w:r>
      <w:r w:rsidR="0095561E" w:rsidRPr="00790A54">
        <w:rPr>
          <w:rFonts w:ascii="Bookman Old Style" w:hAnsi="Bookman Old Style"/>
          <w:color w:val="auto"/>
          <w:sz w:val="20"/>
          <w:szCs w:val="20"/>
        </w:rPr>
        <w:t xml:space="preserve"> These decisions will be made in consultation with the Advisory Board.</w:t>
      </w:r>
    </w:p>
    <w:p w14:paraId="51086025" w14:textId="7785ABFA" w:rsidR="0064570F" w:rsidRPr="00790A54" w:rsidRDefault="0064570F" w:rsidP="002012C5">
      <w:pPr>
        <w:tabs>
          <w:tab w:val="left" w:pos="2070"/>
        </w:tabs>
        <w:spacing w:before="120" w:after="100" w:afterAutospacing="1"/>
        <w:ind w:left="2120" w:right="112"/>
        <w:jc w:val="both"/>
        <w:rPr>
          <w:rFonts w:ascii="Bookman Old Style" w:hAnsi="Bookman Old Style"/>
          <w:color w:val="auto"/>
          <w:sz w:val="20"/>
          <w:szCs w:val="20"/>
        </w:rPr>
      </w:pPr>
    </w:p>
    <w:p w14:paraId="16C59CB6" w14:textId="187E2E9F" w:rsidR="00F96865" w:rsidRPr="00790A54" w:rsidRDefault="00F96865" w:rsidP="0064570F">
      <w:pPr>
        <w:tabs>
          <w:tab w:val="left" w:pos="2070"/>
        </w:tabs>
        <w:spacing w:before="120" w:after="100" w:afterAutospacing="1"/>
        <w:ind w:left="2120" w:right="112"/>
        <w:jc w:val="both"/>
        <w:rPr>
          <w:rFonts w:ascii="Bookman Old Style" w:hAnsi="Bookman Old Style"/>
          <w:color w:val="auto"/>
          <w:sz w:val="20"/>
          <w:szCs w:val="20"/>
        </w:rPr>
      </w:pPr>
    </w:p>
    <w:p w14:paraId="13C1C217" w14:textId="77777777" w:rsidR="000E46FD" w:rsidRPr="00790A54" w:rsidRDefault="000E46FD" w:rsidP="002B4C07">
      <w:pPr>
        <w:spacing w:after="100" w:afterAutospacing="1"/>
        <w:rPr>
          <w:rFonts w:ascii="Bookman Old Style" w:hAnsi="Bookman Old Style"/>
          <w:color w:val="auto"/>
          <w:sz w:val="20"/>
          <w:szCs w:val="20"/>
        </w:rPr>
      </w:pPr>
    </w:p>
    <w:p w14:paraId="0B3FB3B1" w14:textId="77777777" w:rsidR="000E46FD" w:rsidRPr="00790A54" w:rsidRDefault="00966B41" w:rsidP="002B4C07">
      <w:pPr>
        <w:spacing w:after="100" w:afterAutospacing="1"/>
        <w:rPr>
          <w:rFonts w:ascii="Bookman Old Style" w:hAnsi="Bookman Old Style"/>
          <w:color w:val="auto"/>
          <w:sz w:val="20"/>
          <w:szCs w:val="20"/>
        </w:rPr>
      </w:pPr>
      <w:r w:rsidRPr="00790A54">
        <w:rPr>
          <w:rFonts w:ascii="Bookman Old Style" w:hAnsi="Bookman Old Style"/>
          <w:noProof/>
          <w:color w:val="auto"/>
          <w:sz w:val="20"/>
          <w:szCs w:val="20"/>
        </w:rPr>
        <mc:AlternateContent>
          <mc:Choice Requires="wpg">
            <w:drawing>
              <wp:anchor distT="0" distB="0" distL="114300" distR="114300" simplePos="0" relativeHeight="251660288" behindDoc="1" locked="0" layoutInCell="1" hidden="0" allowOverlap="1" wp14:anchorId="23350581" wp14:editId="4420E1CE">
                <wp:simplePos x="0" y="0"/>
                <wp:positionH relativeFrom="margin">
                  <wp:posOffset>63500</wp:posOffset>
                </wp:positionH>
                <wp:positionV relativeFrom="paragraph">
                  <wp:posOffset>114300</wp:posOffset>
                </wp:positionV>
                <wp:extent cx="5905500" cy="127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5905500" cy="12700"/>
                          <a:chOff x="3230180" y="3777460"/>
                          <a:chExt cx="5908025" cy="5075"/>
                        </a:xfrm>
                      </wpg:grpSpPr>
                      <wpg:grpSp>
                        <wpg:cNvPr id="4" name="Group 4"/>
                        <wpg:cNvGrpSpPr/>
                        <wpg:grpSpPr>
                          <a:xfrm>
                            <a:off x="3230180" y="3777460"/>
                            <a:ext cx="5908025" cy="5075"/>
                            <a:chOff x="0" y="0"/>
                            <a:chExt cx="5908025" cy="5075"/>
                          </a:xfrm>
                        </wpg:grpSpPr>
                        <wps:wsp>
                          <wps:cNvPr id="5" name="Rectangle 5"/>
                          <wps:cNvSpPr/>
                          <wps:spPr>
                            <a:xfrm>
                              <a:off x="0" y="0"/>
                              <a:ext cx="5908025" cy="5075"/>
                            </a:xfrm>
                            <a:prstGeom prst="rect">
                              <a:avLst/>
                            </a:prstGeom>
                            <a:noFill/>
                            <a:ln>
                              <a:noFill/>
                            </a:ln>
                          </wps:spPr>
                          <wps:txbx>
                            <w:txbxContent>
                              <w:p w14:paraId="3CC37248" w14:textId="77777777" w:rsidR="000E46FD" w:rsidRDefault="000E46FD">
                                <w:pPr>
                                  <w:textDirection w:val="btLr"/>
                                </w:pPr>
                              </w:p>
                            </w:txbxContent>
                          </wps:txbx>
                          <wps:bodyPr wrap="square" lIns="91425" tIns="91425" rIns="91425" bIns="91425" anchor="ctr" anchorCtr="0"/>
                        </wps:wsp>
                        <wps:wsp>
                          <wps:cNvPr id="6" name="Straight Arrow Connector 6"/>
                          <wps:cNvCnPr/>
                          <wps:spPr>
                            <a:xfrm>
                              <a:off x="2540" y="2540"/>
                              <a:ext cx="2854960"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wps:wsp>
                          <wps:cNvPr id="7" name="Straight Arrow Connector 7"/>
                          <wps:cNvCnPr/>
                          <wps:spPr>
                            <a:xfrm>
                              <a:off x="2861945" y="2540"/>
                              <a:ext cx="3043554"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3350581" id="Group 2" o:spid="_x0000_s1026" style="position:absolute;margin-left:5pt;margin-top:9pt;width:465pt;height:1pt;z-index:-251656192;mso-position-horizontal-relative:margin" coordorigin="32301,37774" coordsize="59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8oCwMAABUKAAAOAAAAZHJzL2Uyb0RvYy54bWzsVttu2zAMfR+wfxD0vvoSOxejTjGkFwwY&#10;tmLdPkCx5QsgS5qkxsnfj5IvSZp261pse1keHFKiKfLwkPL5xbZhaEOVrgVPcXDmY0R5JvKalyn+&#10;9vX63RwjbQjPCROcpnhHNb5Yvn1z3sqEhqISLKcKgROuk1amuDJGJp6ns4o2RJ8JSTlsFkI1xICq&#10;Si9XpAXvDfNC3596rVC5VCKjWsPqZbeJl85/UdDMfC4KTQ1iKYbYjHsq91zbp7c8J0mpiKzqrA+D&#10;vCCKhtQcDh1dXRJD0L2qT1w1daaEFoU5y0TjiaKoM+pygGwC/0E2N0rcS5dLmbSlHGECaB/g9GK3&#10;2afNrUJ1nuIQI04aKJE7FYUWmlaWCVjcKHknb1W/UHaazXZbqMb+Qx5o60DdjaDSrUEZLMYLP459&#10;wD6DvSCcgehAzyqojH1rEk78YA4GsD+ZzWbRdLS42vuY+2Hc+Yj9WWxdeMP5ng1zjGpUxvD7BKPj&#10;BKMXJPhkqAfJngZKkjHXLstX5gedovdk0K8jw11FJHUc07bUPVYAdUeGL9BBhJeMIod5K53VyAad&#10;aCDGb1DhFJ2xjCSRSpsbKhpkhRQrONs1Fdl81Kar+GBij+TiumbMkYnxowXwaVeAGEOAVjLb9Ras&#10;rbgW+Q5SbaHxU6y/3xNFMWIfOIC5CCLLNHOoqENlfagQnlUC5klmFEadsjJuvth47VFQq+7MP160&#10;6VC0O6NIXVYGvVdKtGglOAcohULTjvOuhived/QA0dBOYzuHcdTx1QkO54Hn4TyOFtCnrqkdnZ8u&#10;o+6jGcMIflZULVid27ragmpVrldMoQ2B8X3tfn3nH5kxjlooXOwmhK1owYiB2BoJc03z0p139MaR&#10;Y9/9HnNs2XZJdNUF4DxYM5LAYOa5kypK8iueI7OTMDs5XHLYBtPQHAhF4U60krM0pGbPsXycvB1j&#10;wdFfJtXsl6Sa2fQs02F8PINU82mwiKDBYNqf8mriR5M4hkltL4v/vPo3vNrfp45t7tsDpKOPm0Pd&#10;We2/5pY/AAAA//8DAFBLAwQUAAYACAAAACEA/FJBnNoAAAAIAQAADwAAAGRycy9kb3ducmV2Lnht&#10;bExPTUvDQBC9C/6HZQRvdhO/qDGbUop6KkJbQbxNs9MkNDsbstsk/fdOT3p6vHnD+8gXk2vVQH1o&#10;PBtIZwko4tLbhisDX7v3uzmoEJEttp7JwJkCLIrrqxwz60fe0LCNlRITDhkaqGPsMq1DWZPDMPMd&#10;sWgH3zuMQvtK2x5HMXetvk+SZ+2wYUmosaNVTeVxe3IGPkYclw/p27A+Hlbnn93T5/c6JWNub6bl&#10;K6hIU/x7hkt9qQ6FdNr7E9ugWuGJTImCc0HRXx4vh70BiQVd5Pr/gOIXAAD//wMAUEsBAi0AFAAG&#10;AAgAAAAhALaDOJL+AAAA4QEAABMAAAAAAAAAAAAAAAAAAAAAAFtDb250ZW50X1R5cGVzXS54bWxQ&#10;SwECLQAUAAYACAAAACEAOP0h/9YAAACUAQAACwAAAAAAAAAAAAAAAAAvAQAAX3JlbHMvLnJlbHNQ&#10;SwECLQAUAAYACAAAACEAUoQfKAsDAAAVCgAADgAAAAAAAAAAAAAAAAAuAgAAZHJzL2Uyb0RvYy54&#10;bWxQSwECLQAUAAYACAAAACEA/FJBnNoAAAAIAQAADwAAAAAAAAAAAAAAAABlBQAAZHJzL2Rvd25y&#10;ZXYueG1sUEsFBgAAAAAEAAQA8wAAAGwGAAAAAA==&#10;">
                <v:group id="Group 4" o:spid="_x0000_s1027" style="position:absolute;left:32301;top:37774;width:59081;height:51" coordsize="5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5908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CC37248" w14:textId="77777777" w:rsidR="000E46FD" w:rsidRDefault="000E46FD">
                          <w:pPr>
                            <w:textDirection w:val="btLr"/>
                          </w:pP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left:25;top:25;width:28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filled="t"/>
                  <v:shape id="Straight Arrow Connector 7" o:spid="_x0000_s1030" type="#_x0000_t32" style="position:absolute;left:28619;top:25;width:30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filled="t"/>
                </v:group>
                <w10:wrap type="topAndBottom" anchorx="margin"/>
              </v:group>
            </w:pict>
          </mc:Fallback>
        </mc:AlternateContent>
      </w:r>
    </w:p>
    <w:p w14:paraId="25DD3DC8" w14:textId="77777777" w:rsidR="000E46FD" w:rsidRPr="00790A54" w:rsidRDefault="000E46FD" w:rsidP="002B4C07">
      <w:pPr>
        <w:spacing w:after="100" w:afterAutospacing="1"/>
        <w:rPr>
          <w:rFonts w:ascii="Bookman Old Style" w:hAnsi="Bookman Old Style"/>
          <w:color w:val="auto"/>
          <w:sz w:val="20"/>
          <w:szCs w:val="20"/>
        </w:rPr>
      </w:pPr>
    </w:p>
    <w:p w14:paraId="3397E924" w14:textId="77777777" w:rsidR="000E46FD" w:rsidRPr="00790A54" w:rsidRDefault="000E46FD" w:rsidP="002B4C07">
      <w:pPr>
        <w:spacing w:after="100" w:afterAutospacing="1"/>
        <w:ind w:left="120"/>
        <w:rPr>
          <w:rFonts w:ascii="Bookman Old Style" w:hAnsi="Bookman Old Style"/>
          <w:color w:val="auto"/>
          <w:sz w:val="20"/>
          <w:szCs w:val="20"/>
        </w:rPr>
      </w:pPr>
    </w:p>
    <w:sectPr w:rsidR="000E46FD" w:rsidRPr="00790A54">
      <w:type w:val="continuous"/>
      <w:pgSz w:w="12240" w:h="15840"/>
      <w:pgMar w:top="1140" w:right="1240" w:bottom="1220" w:left="13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6BA8" w14:textId="77777777" w:rsidR="005F4C3E" w:rsidRDefault="005F4C3E">
      <w:r>
        <w:separator/>
      </w:r>
    </w:p>
  </w:endnote>
  <w:endnote w:type="continuationSeparator" w:id="0">
    <w:p w14:paraId="0DACE823" w14:textId="77777777" w:rsidR="005F4C3E" w:rsidRDefault="005F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2202"/>
      <w:docPartObj>
        <w:docPartGallery w:val="Page Numbers (Bottom of Page)"/>
        <w:docPartUnique/>
      </w:docPartObj>
    </w:sdtPr>
    <w:sdtEndPr>
      <w:rPr>
        <w:noProof/>
      </w:rPr>
    </w:sdtEndPr>
    <w:sdtContent>
      <w:p w14:paraId="5FBAC318" w14:textId="22E19441" w:rsidR="00BD72FA" w:rsidRDefault="00BD72FA">
        <w:pPr>
          <w:pStyle w:val="Footer"/>
          <w:jc w:val="center"/>
        </w:pPr>
        <w:r>
          <w:fldChar w:fldCharType="begin"/>
        </w:r>
        <w:r>
          <w:instrText xml:space="preserve"> PAGE   \* MERGEFORMAT </w:instrText>
        </w:r>
        <w:r>
          <w:fldChar w:fldCharType="separate"/>
        </w:r>
        <w:r w:rsidR="00350673">
          <w:rPr>
            <w:noProof/>
          </w:rPr>
          <w:t>2</w:t>
        </w:r>
        <w:r>
          <w:rPr>
            <w:noProof/>
          </w:rPr>
          <w:fldChar w:fldCharType="end"/>
        </w:r>
      </w:p>
    </w:sdtContent>
  </w:sdt>
  <w:p w14:paraId="54FE964E" w14:textId="77777777" w:rsidR="000E46FD" w:rsidRDefault="000E46FD">
    <w:pPr>
      <w:spacing w:after="1029"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7590" w14:textId="77777777" w:rsidR="005F4C3E" w:rsidRDefault="005F4C3E">
      <w:r>
        <w:separator/>
      </w:r>
    </w:p>
  </w:footnote>
  <w:footnote w:type="continuationSeparator" w:id="0">
    <w:p w14:paraId="7A17DF4B" w14:textId="77777777" w:rsidR="005F4C3E" w:rsidRDefault="005F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16556"/>
    <w:multiLevelType w:val="multilevel"/>
    <w:tmpl w:val="DE121BB2"/>
    <w:lvl w:ilvl="0">
      <w:start w:val="1"/>
      <w:numFmt w:val="upperLetter"/>
      <w:lvlText w:val="%1)"/>
      <w:lvlJc w:val="left"/>
      <w:pPr>
        <w:ind w:left="1400" w:hanging="360"/>
      </w:pPr>
      <w:rPr>
        <w:rFonts w:ascii="Times New Roman" w:eastAsia="Times New Roman" w:hAnsi="Times New Roman" w:cs="Times New Roman"/>
        <w:sz w:val="20"/>
        <w:szCs w:val="20"/>
      </w:rPr>
    </w:lvl>
    <w:lvl w:ilvl="1">
      <w:start w:val="1"/>
      <w:numFmt w:val="decimal"/>
      <w:lvlText w:val="%2)"/>
      <w:lvlJc w:val="left"/>
      <w:pPr>
        <w:ind w:left="1710" w:hanging="360"/>
      </w:pPr>
      <w:rPr>
        <w:rFonts w:ascii="Times New Roman" w:eastAsia="Times New Roman" w:hAnsi="Times New Roman" w:cs="Times New Roman"/>
        <w:sz w:val="20"/>
        <w:szCs w:val="20"/>
      </w:rPr>
    </w:lvl>
    <w:lvl w:ilvl="2">
      <w:start w:val="1"/>
      <w:numFmt w:val="lowerLetter"/>
      <w:lvlText w:val="%3)"/>
      <w:lvlJc w:val="left"/>
      <w:pPr>
        <w:ind w:left="2120" w:hanging="360"/>
      </w:pPr>
      <w:rPr>
        <w:rFonts w:ascii="Times New Roman" w:eastAsia="Times New Roman" w:hAnsi="Times New Roman" w:cs="Times New Roman"/>
        <w:sz w:val="20"/>
        <w:szCs w:val="20"/>
      </w:rPr>
    </w:lvl>
    <w:lvl w:ilvl="3">
      <w:start w:val="1"/>
      <w:numFmt w:val="lowerRoman"/>
      <w:lvlText w:val="(%4)"/>
      <w:lvlJc w:val="left"/>
      <w:pPr>
        <w:ind w:left="2610" w:hanging="360"/>
      </w:pPr>
      <w:rPr>
        <w:rFonts w:ascii="Times New Roman" w:eastAsia="Times New Roman" w:hAnsi="Times New Roman" w:cs="Times New Roman"/>
        <w:sz w:val="20"/>
        <w:szCs w:val="20"/>
      </w:rPr>
    </w:lvl>
    <w:lvl w:ilvl="4">
      <w:start w:val="1"/>
      <w:numFmt w:val="lowerLetter"/>
      <w:lvlText w:val="(%5)"/>
      <w:lvlJc w:val="left"/>
      <w:pPr>
        <w:ind w:left="1540" w:hanging="360"/>
      </w:pPr>
      <w:rPr>
        <w:rFonts w:ascii="Times New Roman" w:eastAsia="Times New Roman" w:hAnsi="Times New Roman" w:cs="Times New Roman"/>
        <w:sz w:val="20"/>
        <w:szCs w:val="20"/>
      </w:rPr>
    </w:lvl>
    <w:lvl w:ilvl="5">
      <w:start w:val="1"/>
      <w:numFmt w:val="bullet"/>
      <w:lvlText w:val="•"/>
      <w:lvlJc w:val="left"/>
      <w:pPr>
        <w:ind w:left="1400" w:hanging="360"/>
      </w:pPr>
    </w:lvl>
    <w:lvl w:ilvl="6">
      <w:start w:val="1"/>
      <w:numFmt w:val="bullet"/>
      <w:lvlText w:val="•"/>
      <w:lvlJc w:val="left"/>
      <w:pPr>
        <w:ind w:left="1540" w:hanging="360"/>
      </w:pPr>
    </w:lvl>
    <w:lvl w:ilvl="7">
      <w:start w:val="1"/>
      <w:numFmt w:val="bullet"/>
      <w:lvlText w:val="•"/>
      <w:lvlJc w:val="left"/>
      <w:pPr>
        <w:ind w:left="1760" w:hanging="360"/>
      </w:pPr>
    </w:lvl>
    <w:lvl w:ilvl="8">
      <w:start w:val="1"/>
      <w:numFmt w:val="bullet"/>
      <w:lvlText w:val="•"/>
      <w:lvlJc w:val="left"/>
      <w:pPr>
        <w:ind w:left="2120" w:hanging="360"/>
      </w:pPr>
    </w:lvl>
  </w:abstractNum>
  <w:abstractNum w:abstractNumId="1" w15:restartNumberingAfterBreak="0">
    <w:nsid w:val="635C039B"/>
    <w:multiLevelType w:val="multilevel"/>
    <w:tmpl w:val="20A84F5C"/>
    <w:lvl w:ilvl="0">
      <w:start w:val="1"/>
      <w:numFmt w:val="upperLetter"/>
      <w:lvlText w:val="%1."/>
      <w:lvlJc w:val="left"/>
      <w:pPr>
        <w:ind w:left="395" w:hanging="295"/>
      </w:pPr>
      <w:rPr>
        <w:rFonts w:ascii="Times New Roman" w:eastAsia="Times New Roman" w:hAnsi="Times New Roman" w:cs="Times New Roman"/>
        <w:b/>
        <w:sz w:val="20"/>
        <w:szCs w:val="20"/>
      </w:rPr>
    </w:lvl>
    <w:lvl w:ilvl="1">
      <w:start w:val="1"/>
      <w:numFmt w:val="decimal"/>
      <w:lvlText w:val="%2."/>
      <w:lvlJc w:val="left"/>
      <w:pPr>
        <w:ind w:left="1252" w:hanging="252"/>
      </w:pPr>
      <w:rPr>
        <w:rFonts w:ascii="Times New Roman" w:eastAsia="Times New Roman" w:hAnsi="Times New Roman" w:cs="Times New Roman"/>
        <w:sz w:val="20"/>
        <w:szCs w:val="20"/>
      </w:rPr>
    </w:lvl>
    <w:lvl w:ilvl="2">
      <w:start w:val="1"/>
      <w:numFmt w:val="lowerLetter"/>
      <w:lvlText w:val="%3."/>
      <w:lvlJc w:val="left"/>
      <w:pPr>
        <w:ind w:left="1959" w:hanging="240"/>
      </w:pPr>
      <w:rPr>
        <w:rFonts w:ascii="Times New Roman" w:eastAsia="Times New Roman" w:hAnsi="Times New Roman" w:cs="Times New Roman"/>
        <w:sz w:val="20"/>
        <w:szCs w:val="20"/>
      </w:rPr>
    </w:lvl>
    <w:lvl w:ilvl="3">
      <w:start w:val="1"/>
      <w:numFmt w:val="bullet"/>
      <w:lvlText w:val="•"/>
      <w:lvlJc w:val="left"/>
      <w:pPr>
        <w:ind w:left="1960" w:hanging="240"/>
      </w:pPr>
    </w:lvl>
    <w:lvl w:ilvl="4">
      <w:start w:val="1"/>
      <w:numFmt w:val="bullet"/>
      <w:lvlText w:val="•"/>
      <w:lvlJc w:val="left"/>
      <w:pPr>
        <w:ind w:left="3002" w:hanging="240"/>
      </w:pPr>
    </w:lvl>
    <w:lvl w:ilvl="5">
      <w:start w:val="1"/>
      <w:numFmt w:val="bullet"/>
      <w:lvlText w:val="•"/>
      <w:lvlJc w:val="left"/>
      <w:pPr>
        <w:ind w:left="4045" w:hanging="240"/>
      </w:pPr>
    </w:lvl>
    <w:lvl w:ilvl="6">
      <w:start w:val="1"/>
      <w:numFmt w:val="bullet"/>
      <w:lvlText w:val="•"/>
      <w:lvlJc w:val="left"/>
      <w:pPr>
        <w:ind w:left="5088" w:hanging="240"/>
      </w:pPr>
    </w:lvl>
    <w:lvl w:ilvl="7">
      <w:start w:val="1"/>
      <w:numFmt w:val="bullet"/>
      <w:lvlText w:val="•"/>
      <w:lvlJc w:val="left"/>
      <w:pPr>
        <w:ind w:left="6131" w:hanging="240"/>
      </w:pPr>
    </w:lvl>
    <w:lvl w:ilvl="8">
      <w:start w:val="1"/>
      <w:numFmt w:val="bullet"/>
      <w:lvlText w:val="•"/>
      <w:lvlJc w:val="left"/>
      <w:pPr>
        <w:ind w:left="7174" w:hanging="2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FD"/>
    <w:rsid w:val="00030159"/>
    <w:rsid w:val="00042E98"/>
    <w:rsid w:val="00066685"/>
    <w:rsid w:val="000D03FF"/>
    <w:rsid w:val="000D0C2C"/>
    <w:rsid w:val="000E46FD"/>
    <w:rsid w:val="0010228A"/>
    <w:rsid w:val="00126152"/>
    <w:rsid w:val="001505B5"/>
    <w:rsid w:val="00164965"/>
    <w:rsid w:val="001A0419"/>
    <w:rsid w:val="001A272B"/>
    <w:rsid w:val="001F21F2"/>
    <w:rsid w:val="002012C5"/>
    <w:rsid w:val="00244DE7"/>
    <w:rsid w:val="00264D57"/>
    <w:rsid w:val="002A225D"/>
    <w:rsid w:val="002A69E5"/>
    <w:rsid w:val="002B4C07"/>
    <w:rsid w:val="00316DC3"/>
    <w:rsid w:val="00350673"/>
    <w:rsid w:val="003947B4"/>
    <w:rsid w:val="003C518E"/>
    <w:rsid w:val="003D6FEA"/>
    <w:rsid w:val="003F71A8"/>
    <w:rsid w:val="0042224C"/>
    <w:rsid w:val="00437707"/>
    <w:rsid w:val="00471300"/>
    <w:rsid w:val="004944AA"/>
    <w:rsid w:val="004C029C"/>
    <w:rsid w:val="004C58E6"/>
    <w:rsid w:val="00503651"/>
    <w:rsid w:val="00554446"/>
    <w:rsid w:val="005B505D"/>
    <w:rsid w:val="005C3BFD"/>
    <w:rsid w:val="005F4C3E"/>
    <w:rsid w:val="006010E0"/>
    <w:rsid w:val="0064570F"/>
    <w:rsid w:val="006563BA"/>
    <w:rsid w:val="006568BA"/>
    <w:rsid w:val="0070308A"/>
    <w:rsid w:val="00723F73"/>
    <w:rsid w:val="00790A54"/>
    <w:rsid w:val="007D2906"/>
    <w:rsid w:val="00813559"/>
    <w:rsid w:val="008570E7"/>
    <w:rsid w:val="00895190"/>
    <w:rsid w:val="008D55CC"/>
    <w:rsid w:val="00911F16"/>
    <w:rsid w:val="00914C38"/>
    <w:rsid w:val="009151FA"/>
    <w:rsid w:val="00915501"/>
    <w:rsid w:val="009465C9"/>
    <w:rsid w:val="009465CF"/>
    <w:rsid w:val="0095561E"/>
    <w:rsid w:val="0095673D"/>
    <w:rsid w:val="00960175"/>
    <w:rsid w:val="00960D44"/>
    <w:rsid w:val="00966B41"/>
    <w:rsid w:val="00971E36"/>
    <w:rsid w:val="009928EA"/>
    <w:rsid w:val="009A7FCA"/>
    <w:rsid w:val="009B13A8"/>
    <w:rsid w:val="009C39A3"/>
    <w:rsid w:val="009F0AE6"/>
    <w:rsid w:val="00A50C29"/>
    <w:rsid w:val="00A67B0E"/>
    <w:rsid w:val="00AB238B"/>
    <w:rsid w:val="00B13287"/>
    <w:rsid w:val="00B15D5A"/>
    <w:rsid w:val="00B41595"/>
    <w:rsid w:val="00B85D96"/>
    <w:rsid w:val="00BB0D4C"/>
    <w:rsid w:val="00BB3C99"/>
    <w:rsid w:val="00BD72FA"/>
    <w:rsid w:val="00C86E00"/>
    <w:rsid w:val="00CD15D1"/>
    <w:rsid w:val="00CE349C"/>
    <w:rsid w:val="00CF063E"/>
    <w:rsid w:val="00CF3F6C"/>
    <w:rsid w:val="00D20CCE"/>
    <w:rsid w:val="00D5197C"/>
    <w:rsid w:val="00D92352"/>
    <w:rsid w:val="00D95E3D"/>
    <w:rsid w:val="00DF08AC"/>
    <w:rsid w:val="00E2541D"/>
    <w:rsid w:val="00E27D23"/>
    <w:rsid w:val="00E362E5"/>
    <w:rsid w:val="00E704F9"/>
    <w:rsid w:val="00E86CBE"/>
    <w:rsid w:val="00E94DA0"/>
    <w:rsid w:val="00EA7CE4"/>
    <w:rsid w:val="00EC7E67"/>
    <w:rsid w:val="00F12536"/>
    <w:rsid w:val="00F158C2"/>
    <w:rsid w:val="00F3565B"/>
    <w:rsid w:val="00F84AEC"/>
    <w:rsid w:val="00F9051A"/>
    <w:rsid w:val="00F96865"/>
    <w:rsid w:val="00FB7AD2"/>
    <w:rsid w:val="00FD0830"/>
    <w:rsid w:val="00FD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A87F"/>
  <w15:docId w15:val="{C8093F66-86DA-4F2F-AF0C-C7F92300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395" w:hanging="360"/>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97C"/>
    <w:rPr>
      <w:b/>
      <w:bCs/>
    </w:rPr>
  </w:style>
  <w:style w:type="character" w:customStyle="1" w:styleId="CommentSubjectChar">
    <w:name w:val="Comment Subject Char"/>
    <w:basedOn w:val="CommentTextChar"/>
    <w:link w:val="CommentSubject"/>
    <w:uiPriority w:val="99"/>
    <w:semiHidden/>
    <w:rsid w:val="00D5197C"/>
    <w:rPr>
      <w:b/>
      <w:bCs/>
      <w:sz w:val="20"/>
      <w:szCs w:val="20"/>
    </w:rPr>
  </w:style>
  <w:style w:type="paragraph" w:styleId="ListParagraph">
    <w:name w:val="List Paragraph"/>
    <w:basedOn w:val="Normal"/>
    <w:uiPriority w:val="34"/>
    <w:qFormat/>
    <w:rsid w:val="00FD0830"/>
    <w:pPr>
      <w:ind w:left="720"/>
      <w:contextualSpacing/>
    </w:pPr>
  </w:style>
  <w:style w:type="paragraph" w:styleId="Header">
    <w:name w:val="header"/>
    <w:basedOn w:val="Normal"/>
    <w:link w:val="HeaderChar"/>
    <w:uiPriority w:val="99"/>
    <w:unhideWhenUsed/>
    <w:rsid w:val="00BD72FA"/>
    <w:pPr>
      <w:tabs>
        <w:tab w:val="center" w:pos="4680"/>
        <w:tab w:val="right" w:pos="9360"/>
      </w:tabs>
    </w:pPr>
  </w:style>
  <w:style w:type="character" w:customStyle="1" w:styleId="HeaderChar">
    <w:name w:val="Header Char"/>
    <w:basedOn w:val="DefaultParagraphFont"/>
    <w:link w:val="Header"/>
    <w:uiPriority w:val="99"/>
    <w:rsid w:val="00BD72FA"/>
  </w:style>
  <w:style w:type="paragraph" w:styleId="Footer">
    <w:name w:val="footer"/>
    <w:basedOn w:val="Normal"/>
    <w:link w:val="FooterChar"/>
    <w:uiPriority w:val="99"/>
    <w:unhideWhenUsed/>
    <w:rsid w:val="00BD72FA"/>
    <w:pPr>
      <w:tabs>
        <w:tab w:val="center" w:pos="4680"/>
        <w:tab w:val="right" w:pos="9360"/>
      </w:tabs>
    </w:pPr>
  </w:style>
  <w:style w:type="character" w:customStyle="1" w:styleId="FooterChar">
    <w:name w:val="Footer Char"/>
    <w:basedOn w:val="DefaultParagraphFont"/>
    <w:link w:val="Footer"/>
    <w:uiPriority w:val="99"/>
    <w:rsid w:val="00BD72FA"/>
  </w:style>
  <w:style w:type="character" w:styleId="Hyperlink">
    <w:name w:val="Hyperlink"/>
    <w:basedOn w:val="DefaultParagraphFont"/>
    <w:uiPriority w:val="99"/>
    <w:unhideWhenUsed/>
    <w:rsid w:val="00C86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138407">
      <w:bodyDiv w:val="1"/>
      <w:marLeft w:val="0"/>
      <w:marRight w:val="0"/>
      <w:marTop w:val="0"/>
      <w:marBottom w:val="0"/>
      <w:divBdr>
        <w:top w:val="none" w:sz="0" w:space="0" w:color="auto"/>
        <w:left w:val="none" w:sz="0" w:space="0" w:color="auto"/>
        <w:bottom w:val="none" w:sz="0" w:space="0" w:color="auto"/>
        <w:right w:val="none" w:sz="0" w:space="0" w:color="auto"/>
      </w:divBdr>
    </w:div>
    <w:div w:id="211559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F7AE-0FFA-4D9D-AC52-23FB06E0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Miller</dc:creator>
  <cp:lastModifiedBy>Mark Sanford Kavanaugh</cp:lastModifiedBy>
  <cp:revision>2</cp:revision>
  <cp:lastPrinted>2017-11-21T17:01:00Z</cp:lastPrinted>
  <dcterms:created xsi:type="dcterms:W3CDTF">2017-12-08T17:05:00Z</dcterms:created>
  <dcterms:modified xsi:type="dcterms:W3CDTF">2017-12-08T17:05:00Z</dcterms:modified>
</cp:coreProperties>
</file>