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160C" w14:textId="77777777" w:rsidR="005B233E" w:rsidRPr="008E30DB" w:rsidRDefault="005B233E">
      <w:pPr>
        <w:rPr>
          <w:b/>
          <w:sz w:val="22"/>
          <w:szCs w:val="22"/>
          <w:lang w:val="lt-LT"/>
        </w:rPr>
      </w:pPr>
      <w:r w:rsidRPr="008E30DB">
        <w:rPr>
          <w:b/>
          <w:sz w:val="22"/>
          <w:szCs w:val="22"/>
        </w:rPr>
        <w:t>Art</w:t>
      </w:r>
      <w:r w:rsidRPr="008E30DB">
        <w:rPr>
          <w:b/>
          <w:sz w:val="22"/>
          <w:szCs w:val="22"/>
          <w:lang w:val="lt-LT"/>
        </w:rPr>
        <w:t>ūras Ratkus</w:t>
      </w:r>
    </w:p>
    <w:p w14:paraId="1BE182B5" w14:textId="77777777" w:rsidR="005B233E" w:rsidRPr="008E30DB" w:rsidRDefault="005B233E">
      <w:pPr>
        <w:rPr>
          <w:b/>
          <w:sz w:val="22"/>
          <w:szCs w:val="22"/>
        </w:rPr>
      </w:pPr>
    </w:p>
    <w:p w14:paraId="35602402" w14:textId="77777777" w:rsidR="005037DD" w:rsidRPr="008E30DB" w:rsidRDefault="004C5520">
      <w:pPr>
        <w:rPr>
          <w:sz w:val="22"/>
          <w:szCs w:val="22"/>
        </w:rPr>
      </w:pPr>
      <w:r w:rsidRPr="008E30DB">
        <w:rPr>
          <w:b/>
          <w:sz w:val="22"/>
          <w:szCs w:val="22"/>
        </w:rPr>
        <w:t xml:space="preserve">Gothic modifiers in </w:t>
      </w:r>
      <w:r w:rsidRPr="008E30DB">
        <w:rPr>
          <w:b/>
          <w:i/>
          <w:sz w:val="22"/>
          <w:szCs w:val="22"/>
        </w:rPr>
        <w:t>-</w:t>
      </w:r>
      <w:proofErr w:type="spellStart"/>
      <w:r w:rsidRPr="008E30DB">
        <w:rPr>
          <w:b/>
          <w:i/>
          <w:sz w:val="22"/>
          <w:szCs w:val="22"/>
        </w:rPr>
        <w:t>ata</w:t>
      </w:r>
      <w:proofErr w:type="spellEnd"/>
      <w:r w:rsidRPr="008E30DB">
        <w:rPr>
          <w:b/>
          <w:sz w:val="22"/>
          <w:szCs w:val="22"/>
        </w:rPr>
        <w:t xml:space="preserve"> and inflectional variation in the </w:t>
      </w:r>
      <w:r w:rsidR="009C29B4" w:rsidRPr="008E30DB">
        <w:rPr>
          <w:b/>
          <w:sz w:val="22"/>
          <w:szCs w:val="22"/>
        </w:rPr>
        <w:t>“</w:t>
      </w:r>
      <w:r w:rsidRPr="008E30DB">
        <w:rPr>
          <w:b/>
          <w:sz w:val="22"/>
          <w:szCs w:val="22"/>
        </w:rPr>
        <w:t>strong</w:t>
      </w:r>
      <w:r w:rsidR="009C29B4" w:rsidRPr="008E30DB">
        <w:rPr>
          <w:b/>
          <w:sz w:val="22"/>
          <w:szCs w:val="22"/>
        </w:rPr>
        <w:t>”</w:t>
      </w:r>
      <w:r w:rsidRPr="008E30DB">
        <w:rPr>
          <w:b/>
          <w:sz w:val="22"/>
          <w:szCs w:val="22"/>
        </w:rPr>
        <w:t xml:space="preserve"> paradigm</w:t>
      </w:r>
    </w:p>
    <w:p w14:paraId="44523ACA" w14:textId="77777777" w:rsidR="004C5520" w:rsidRPr="008E30DB" w:rsidRDefault="004C5520">
      <w:pPr>
        <w:rPr>
          <w:sz w:val="22"/>
          <w:szCs w:val="22"/>
        </w:rPr>
      </w:pPr>
    </w:p>
    <w:p w14:paraId="21A63DF6" w14:textId="18CAD3BF" w:rsidR="00F56557" w:rsidRPr="008E30DB" w:rsidRDefault="00E37581" w:rsidP="005B233E">
      <w:pPr>
        <w:rPr>
          <w:sz w:val="22"/>
          <w:szCs w:val="22"/>
        </w:rPr>
      </w:pPr>
      <w:r w:rsidRPr="008E30DB">
        <w:rPr>
          <w:sz w:val="22"/>
          <w:szCs w:val="22"/>
        </w:rPr>
        <w:t xml:space="preserve">A peculiarity of the “strong” (indefinite) adjective paradigm in Gothic is </w:t>
      </w:r>
      <w:r w:rsidR="005B233E" w:rsidRPr="008E30DB">
        <w:rPr>
          <w:sz w:val="22"/>
          <w:szCs w:val="22"/>
        </w:rPr>
        <w:t>morphological variation in the infl</w:t>
      </w:r>
      <w:r w:rsidR="006316D7" w:rsidRPr="008E30DB">
        <w:rPr>
          <w:sz w:val="22"/>
          <w:szCs w:val="22"/>
        </w:rPr>
        <w:t xml:space="preserve">ection of neuter nominative and </w:t>
      </w:r>
      <w:r w:rsidR="005B233E" w:rsidRPr="008E30DB">
        <w:rPr>
          <w:sz w:val="22"/>
          <w:szCs w:val="22"/>
        </w:rPr>
        <w:t>accusative singular</w:t>
      </w:r>
      <w:r w:rsidR="004350A2" w:rsidRPr="008E30DB">
        <w:rPr>
          <w:sz w:val="22"/>
          <w:szCs w:val="22"/>
        </w:rPr>
        <w:t>. In these paradigm slots adjectives</w:t>
      </w:r>
      <w:r w:rsidR="00EA37AF">
        <w:rPr>
          <w:sz w:val="22"/>
          <w:szCs w:val="22"/>
        </w:rPr>
        <w:t xml:space="preserve"> and</w:t>
      </w:r>
      <w:r w:rsidR="001A3D9F" w:rsidRPr="008E30DB">
        <w:rPr>
          <w:sz w:val="22"/>
          <w:szCs w:val="22"/>
        </w:rPr>
        <w:t xml:space="preserve"> some other modifiers appear either as bare stems or </w:t>
      </w:r>
      <w:r w:rsidR="000D7CFE" w:rsidRPr="008E30DB">
        <w:rPr>
          <w:sz w:val="22"/>
          <w:szCs w:val="22"/>
        </w:rPr>
        <w:t xml:space="preserve">as </w:t>
      </w:r>
      <w:r w:rsidR="005B233E" w:rsidRPr="008E30DB">
        <w:rPr>
          <w:sz w:val="22"/>
          <w:szCs w:val="22"/>
        </w:rPr>
        <w:t>longer</w:t>
      </w:r>
      <w:r w:rsidR="000D7CFE" w:rsidRPr="008E30DB">
        <w:rPr>
          <w:sz w:val="22"/>
          <w:szCs w:val="22"/>
        </w:rPr>
        <w:t>,</w:t>
      </w:r>
      <w:r w:rsidR="005B233E" w:rsidRPr="008E30DB">
        <w:rPr>
          <w:sz w:val="22"/>
          <w:szCs w:val="22"/>
        </w:rPr>
        <w:t xml:space="preserve"> pronominal</w:t>
      </w:r>
      <w:r w:rsidR="00660F74" w:rsidRPr="008E30DB">
        <w:rPr>
          <w:sz w:val="22"/>
          <w:szCs w:val="22"/>
        </w:rPr>
        <w:t>ly inflected</w:t>
      </w:r>
      <w:r w:rsidR="00E641D6">
        <w:rPr>
          <w:sz w:val="22"/>
          <w:szCs w:val="22"/>
        </w:rPr>
        <w:t>,</w:t>
      </w:r>
      <w:r w:rsidR="005B233E" w:rsidRPr="008E30DB">
        <w:rPr>
          <w:sz w:val="22"/>
          <w:szCs w:val="22"/>
        </w:rPr>
        <w:t xml:space="preserve"> forms in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proofErr w:type="spellEnd"/>
      <w:r w:rsidR="000D7CFE" w:rsidRPr="008E30DB">
        <w:rPr>
          <w:sz w:val="22"/>
          <w:szCs w:val="22"/>
        </w:rPr>
        <w:t>:</w:t>
      </w:r>
      <w:r w:rsidR="006316D7" w:rsidRPr="008E30DB">
        <w:rPr>
          <w:sz w:val="22"/>
          <w:szCs w:val="22"/>
        </w:rPr>
        <w:t xml:space="preserve"> </w:t>
      </w:r>
      <w:proofErr w:type="spellStart"/>
      <w:r w:rsidR="00B4238E" w:rsidRPr="008E30DB">
        <w:rPr>
          <w:i/>
          <w:sz w:val="22"/>
          <w:szCs w:val="22"/>
        </w:rPr>
        <w:t>jugg</w:t>
      </w:r>
      <w:proofErr w:type="spellEnd"/>
      <w:r w:rsidR="00B4238E" w:rsidRPr="008E30DB">
        <w:rPr>
          <w:sz w:val="22"/>
          <w:szCs w:val="22"/>
        </w:rPr>
        <w:t xml:space="preserve"> ‘young</w:t>
      </w:r>
      <w:r w:rsidR="00F56557" w:rsidRPr="008E30DB">
        <w:rPr>
          <w:sz w:val="22"/>
          <w:szCs w:val="22"/>
        </w:rPr>
        <w:t xml:space="preserve">’ vs. </w:t>
      </w:r>
      <w:proofErr w:type="spellStart"/>
      <w:r w:rsidR="00B4238E" w:rsidRPr="008E30DB">
        <w:rPr>
          <w:i/>
          <w:sz w:val="22"/>
          <w:szCs w:val="22"/>
        </w:rPr>
        <w:t>juggata</w:t>
      </w:r>
      <w:proofErr w:type="spellEnd"/>
      <w:r w:rsidR="000D7CFE" w:rsidRPr="008E30DB">
        <w:rPr>
          <w:i/>
          <w:sz w:val="22"/>
          <w:szCs w:val="22"/>
        </w:rPr>
        <w:t xml:space="preserve"> </w:t>
      </w:r>
      <w:r w:rsidR="000D7CFE" w:rsidRPr="008E30DB">
        <w:rPr>
          <w:sz w:val="22"/>
          <w:szCs w:val="22"/>
        </w:rPr>
        <w:t xml:space="preserve">(cf. </w:t>
      </w:r>
      <w:proofErr w:type="spellStart"/>
      <w:r w:rsidR="004B7583" w:rsidRPr="008E30DB">
        <w:rPr>
          <w:i/>
          <w:sz w:val="22"/>
          <w:szCs w:val="22"/>
        </w:rPr>
        <w:t>þata</w:t>
      </w:r>
      <w:proofErr w:type="spellEnd"/>
      <w:r w:rsidR="004B7583" w:rsidRPr="008E30DB">
        <w:rPr>
          <w:sz w:val="22"/>
          <w:szCs w:val="22"/>
        </w:rPr>
        <w:t xml:space="preserve"> ‘that’</w:t>
      </w:r>
      <w:r w:rsidR="000D7CFE" w:rsidRPr="008E30DB">
        <w:rPr>
          <w:sz w:val="22"/>
          <w:szCs w:val="22"/>
        </w:rPr>
        <w:t>)</w:t>
      </w:r>
      <w:r w:rsidR="00F56557" w:rsidRPr="008E30DB">
        <w:rPr>
          <w:sz w:val="22"/>
          <w:szCs w:val="22"/>
        </w:rPr>
        <w:t>.</w:t>
      </w:r>
      <w:r w:rsidR="00DD6CDD" w:rsidRPr="008E30DB">
        <w:rPr>
          <w:sz w:val="22"/>
          <w:szCs w:val="22"/>
        </w:rPr>
        <w:t xml:space="preserve"> Traditionally, </w:t>
      </w:r>
      <w:r w:rsidR="00D26FDB">
        <w:rPr>
          <w:sz w:val="22"/>
          <w:szCs w:val="22"/>
        </w:rPr>
        <w:t xml:space="preserve">the pronominally inflected </w:t>
      </w:r>
      <w:r w:rsidR="00DD6CDD" w:rsidRPr="008E30DB">
        <w:rPr>
          <w:sz w:val="22"/>
          <w:szCs w:val="22"/>
        </w:rPr>
        <w:t xml:space="preserve">forms in </w:t>
      </w:r>
      <w:r w:rsidR="00DD6CDD" w:rsidRPr="008E30DB">
        <w:rPr>
          <w:i/>
          <w:sz w:val="22"/>
          <w:szCs w:val="22"/>
        </w:rPr>
        <w:t>-</w:t>
      </w:r>
      <w:proofErr w:type="spellStart"/>
      <w:r w:rsidR="00DD6CDD" w:rsidRPr="008E30DB">
        <w:rPr>
          <w:i/>
          <w:sz w:val="22"/>
          <w:szCs w:val="22"/>
        </w:rPr>
        <w:t>ata</w:t>
      </w:r>
      <w:proofErr w:type="spellEnd"/>
      <w:r w:rsidR="00DD6CDD" w:rsidRPr="008E30DB">
        <w:rPr>
          <w:sz w:val="22"/>
          <w:szCs w:val="22"/>
        </w:rPr>
        <w:t xml:space="preserve"> have been assumed to be </w:t>
      </w:r>
      <w:r w:rsidR="00A2417E" w:rsidRPr="008E30DB">
        <w:rPr>
          <w:sz w:val="22"/>
          <w:szCs w:val="22"/>
        </w:rPr>
        <w:t xml:space="preserve">chiefly </w:t>
      </w:r>
      <w:r w:rsidR="00DD6CDD" w:rsidRPr="008E30DB">
        <w:rPr>
          <w:sz w:val="22"/>
          <w:szCs w:val="22"/>
        </w:rPr>
        <w:t>confined to attributive contexts</w:t>
      </w:r>
      <w:r w:rsidR="00F162AC">
        <w:rPr>
          <w:sz w:val="22"/>
          <w:szCs w:val="22"/>
        </w:rPr>
        <w:t xml:space="preserve">, with the bare-stem forms </w:t>
      </w:r>
      <w:r w:rsidR="00B77370">
        <w:rPr>
          <w:sz w:val="22"/>
          <w:szCs w:val="22"/>
        </w:rPr>
        <w:t>being</w:t>
      </w:r>
      <w:r w:rsidR="00B71247">
        <w:rPr>
          <w:sz w:val="22"/>
          <w:szCs w:val="22"/>
        </w:rPr>
        <w:t xml:space="preserve"> typical</w:t>
      </w:r>
      <w:r w:rsidR="00B77370">
        <w:rPr>
          <w:sz w:val="22"/>
          <w:szCs w:val="22"/>
        </w:rPr>
        <w:t xml:space="preserve"> </w:t>
      </w:r>
      <w:r w:rsidR="00E641D6">
        <w:rPr>
          <w:sz w:val="22"/>
          <w:szCs w:val="22"/>
        </w:rPr>
        <w:t>of</w:t>
      </w:r>
      <w:r w:rsidR="00B71247">
        <w:rPr>
          <w:sz w:val="22"/>
          <w:szCs w:val="22"/>
        </w:rPr>
        <w:t xml:space="preserve"> predicative environments</w:t>
      </w:r>
      <w:r w:rsidR="00A2417E" w:rsidRPr="008E30DB">
        <w:rPr>
          <w:sz w:val="22"/>
          <w:szCs w:val="22"/>
        </w:rPr>
        <w:t xml:space="preserve">—cf. </w:t>
      </w:r>
      <w:r w:rsidR="00DD5538" w:rsidRPr="008E30DB">
        <w:rPr>
          <w:sz w:val="22"/>
          <w:szCs w:val="22"/>
        </w:rPr>
        <w:t xml:space="preserve">Wright </w:t>
      </w:r>
      <w:r w:rsidR="00DD5538" w:rsidRPr="008E30DB">
        <w:rPr>
          <w:noProof/>
          <w:sz w:val="22"/>
          <w:szCs w:val="22"/>
        </w:rPr>
        <w:t>(1954: 187)</w:t>
      </w:r>
      <w:r w:rsidR="00A2417E" w:rsidRPr="008E30DB">
        <w:rPr>
          <w:sz w:val="22"/>
          <w:szCs w:val="22"/>
        </w:rPr>
        <w:t xml:space="preserve">, Krause </w:t>
      </w:r>
      <w:r w:rsidR="00A2417E" w:rsidRPr="008E30DB">
        <w:rPr>
          <w:noProof/>
          <w:sz w:val="22"/>
          <w:szCs w:val="22"/>
        </w:rPr>
        <w:t xml:space="preserve">(1968: 178), </w:t>
      </w:r>
      <w:r w:rsidR="00A2417E" w:rsidRPr="008E30DB">
        <w:rPr>
          <w:sz w:val="22"/>
          <w:szCs w:val="22"/>
        </w:rPr>
        <w:t xml:space="preserve">Rauch </w:t>
      </w:r>
      <w:r w:rsidR="00A2417E" w:rsidRPr="008E30DB">
        <w:rPr>
          <w:noProof/>
          <w:sz w:val="22"/>
          <w:szCs w:val="22"/>
        </w:rPr>
        <w:t>(2011: 74), etc.</w:t>
      </w:r>
      <w:r w:rsidR="00274652">
        <w:rPr>
          <w:noProof/>
          <w:sz w:val="22"/>
          <w:szCs w:val="22"/>
        </w:rPr>
        <w:t xml:space="preserve"> Thus</w:t>
      </w:r>
      <w:r w:rsidR="000650CD">
        <w:rPr>
          <w:noProof/>
          <w:sz w:val="22"/>
          <w:szCs w:val="22"/>
        </w:rPr>
        <w:t>,</w:t>
      </w:r>
      <w:r w:rsidR="00274652">
        <w:rPr>
          <w:noProof/>
          <w:sz w:val="22"/>
          <w:szCs w:val="22"/>
        </w:rPr>
        <w:t xml:space="preserve"> on the surface, the traditional account of the variation implies some form of syntactically-conditioned allomorphy, where the choice of one form over the other </w:t>
      </w:r>
      <w:r w:rsidR="006D633C">
        <w:rPr>
          <w:noProof/>
          <w:sz w:val="22"/>
          <w:szCs w:val="22"/>
        </w:rPr>
        <w:t>is governed by the syntactic context—attributive or predicative—in which the modifier occurs.</w:t>
      </w:r>
    </w:p>
    <w:p w14:paraId="01A3D366" w14:textId="77777777" w:rsidR="00F56557" w:rsidRPr="008E30DB" w:rsidRDefault="00F56557" w:rsidP="005B233E">
      <w:pPr>
        <w:rPr>
          <w:sz w:val="22"/>
          <w:szCs w:val="22"/>
        </w:rPr>
      </w:pPr>
    </w:p>
    <w:p w14:paraId="04F1990B" w14:textId="382A12AA" w:rsidR="00DF2799" w:rsidRPr="008E30DB" w:rsidRDefault="00FD69E7" w:rsidP="005B233E">
      <w:pPr>
        <w:rPr>
          <w:sz w:val="22"/>
          <w:szCs w:val="22"/>
        </w:rPr>
      </w:pPr>
      <w:r w:rsidRPr="008E30DB">
        <w:rPr>
          <w:sz w:val="22"/>
          <w:szCs w:val="22"/>
        </w:rPr>
        <w:t>I</w:t>
      </w:r>
      <w:r w:rsidR="005B233E" w:rsidRPr="008E30DB">
        <w:rPr>
          <w:sz w:val="22"/>
          <w:szCs w:val="22"/>
        </w:rPr>
        <w:t xml:space="preserve">n an effort to test the traditional hypothesis on the principles that underlie the variation and examine the diachronic implications of the use of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bookmarkStart w:id="0" w:name="_GoBack"/>
      <w:bookmarkEnd w:id="0"/>
      <w:proofErr w:type="spellEnd"/>
      <w:r w:rsidR="00564605" w:rsidRPr="008E30DB">
        <w:rPr>
          <w:sz w:val="22"/>
          <w:szCs w:val="22"/>
        </w:rPr>
        <w:t>,</w:t>
      </w:r>
      <w:r w:rsidR="008D5009" w:rsidRPr="008E30DB">
        <w:rPr>
          <w:sz w:val="22"/>
          <w:szCs w:val="22"/>
        </w:rPr>
        <w:t xml:space="preserve"> I examine the complete attestation of neuter </w:t>
      </w:r>
      <w:r w:rsidR="00564605" w:rsidRPr="008E30DB">
        <w:rPr>
          <w:sz w:val="22"/>
          <w:szCs w:val="22"/>
        </w:rPr>
        <w:t>nominative and accusative modifiers</w:t>
      </w:r>
      <w:r w:rsidR="0043396C" w:rsidRPr="008E30DB">
        <w:rPr>
          <w:sz w:val="22"/>
          <w:szCs w:val="22"/>
        </w:rPr>
        <w:t xml:space="preserve"> in Gothic.  I show</w:t>
      </w:r>
      <w:r w:rsidR="000B7D53" w:rsidRPr="008E30DB">
        <w:rPr>
          <w:sz w:val="22"/>
          <w:szCs w:val="22"/>
        </w:rPr>
        <w:t xml:space="preserve"> that</w:t>
      </w:r>
      <w:r w:rsidR="0043396C" w:rsidRPr="008E30DB">
        <w:rPr>
          <w:sz w:val="22"/>
          <w:szCs w:val="22"/>
        </w:rPr>
        <w:t xml:space="preserve"> </w:t>
      </w:r>
      <w:r w:rsidR="00B4238E" w:rsidRPr="008E30DB">
        <w:rPr>
          <w:sz w:val="22"/>
          <w:szCs w:val="22"/>
        </w:rPr>
        <w:t xml:space="preserve">the </w:t>
      </w:r>
      <w:r w:rsidR="005B233E" w:rsidRPr="008E30DB">
        <w:rPr>
          <w:sz w:val="22"/>
          <w:szCs w:val="22"/>
        </w:rPr>
        <w:t xml:space="preserve">pronominal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proofErr w:type="spellEnd"/>
      <w:r w:rsidR="005B233E" w:rsidRPr="008E30DB">
        <w:rPr>
          <w:sz w:val="22"/>
          <w:szCs w:val="22"/>
        </w:rPr>
        <w:t xml:space="preserve"> forms are found in attributive, </w:t>
      </w:r>
      <w:proofErr w:type="spellStart"/>
      <w:r w:rsidR="005B233E" w:rsidRPr="008E30DB">
        <w:rPr>
          <w:sz w:val="22"/>
          <w:szCs w:val="22"/>
        </w:rPr>
        <w:t>substantivised</w:t>
      </w:r>
      <w:proofErr w:type="spellEnd"/>
      <w:r w:rsidR="005B233E" w:rsidRPr="008E30DB">
        <w:rPr>
          <w:sz w:val="22"/>
          <w:szCs w:val="22"/>
        </w:rPr>
        <w:t xml:space="preserve"> and predicative contexts across the modifier lexicon (including adjectives, the quantifier </w:t>
      </w:r>
      <w:proofErr w:type="spellStart"/>
      <w:r w:rsidR="005B233E" w:rsidRPr="008E30DB">
        <w:rPr>
          <w:i/>
          <w:sz w:val="22"/>
          <w:szCs w:val="22"/>
        </w:rPr>
        <w:t>alls</w:t>
      </w:r>
      <w:proofErr w:type="spellEnd"/>
      <w:r w:rsidR="005B233E" w:rsidRPr="008E30DB">
        <w:rPr>
          <w:i/>
          <w:sz w:val="22"/>
          <w:szCs w:val="22"/>
        </w:rPr>
        <w:t>,</w:t>
      </w:r>
      <w:r w:rsidR="005B233E" w:rsidRPr="008E30DB">
        <w:rPr>
          <w:sz w:val="22"/>
          <w:szCs w:val="22"/>
        </w:rPr>
        <w:t xml:space="preserve"> possessive and demonstrative pronouns, </w:t>
      </w:r>
      <w:r w:rsidR="000650CD">
        <w:rPr>
          <w:sz w:val="22"/>
          <w:szCs w:val="22"/>
        </w:rPr>
        <w:t xml:space="preserve">past </w:t>
      </w:r>
      <w:r w:rsidR="005B233E" w:rsidRPr="008E30DB">
        <w:rPr>
          <w:sz w:val="22"/>
          <w:szCs w:val="22"/>
        </w:rPr>
        <w:t>participles, etc.) and tend to prevail in attributiv</w:t>
      </w:r>
      <w:r w:rsidR="0082359F" w:rsidRPr="008E30DB">
        <w:rPr>
          <w:sz w:val="22"/>
          <w:szCs w:val="22"/>
        </w:rPr>
        <w:t xml:space="preserve">e as well as </w:t>
      </w:r>
      <w:proofErr w:type="spellStart"/>
      <w:r w:rsidR="0082359F" w:rsidRPr="008E30DB">
        <w:rPr>
          <w:sz w:val="22"/>
          <w:szCs w:val="22"/>
        </w:rPr>
        <w:t>substantivised</w:t>
      </w:r>
      <w:proofErr w:type="spellEnd"/>
      <w:r w:rsidR="0082359F" w:rsidRPr="008E30DB">
        <w:rPr>
          <w:sz w:val="22"/>
          <w:szCs w:val="22"/>
        </w:rPr>
        <w:t xml:space="preserve"> use, with a few predicative</w:t>
      </w:r>
      <w:r w:rsidR="009B6C85">
        <w:rPr>
          <w:sz w:val="22"/>
          <w:szCs w:val="22"/>
        </w:rPr>
        <w:t xml:space="preserve"> attestations</w:t>
      </w:r>
      <w:r w:rsidR="001E0EA1" w:rsidRPr="008E30DB">
        <w:rPr>
          <w:sz w:val="22"/>
          <w:szCs w:val="22"/>
        </w:rPr>
        <w:t>.</w:t>
      </w:r>
      <w:r w:rsidR="001A6105">
        <w:rPr>
          <w:sz w:val="22"/>
          <w:szCs w:val="22"/>
        </w:rPr>
        <w:t xml:space="preserve"> As a result</w:t>
      </w:r>
      <w:r w:rsidR="005B233E" w:rsidRPr="008E30DB">
        <w:rPr>
          <w:sz w:val="22"/>
          <w:szCs w:val="22"/>
        </w:rPr>
        <w:t xml:space="preserve">,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proofErr w:type="spellEnd"/>
      <w:r w:rsidR="005B233E" w:rsidRPr="008E30DB">
        <w:rPr>
          <w:sz w:val="22"/>
          <w:szCs w:val="22"/>
        </w:rPr>
        <w:t xml:space="preserve"> forms are not merely the morphological property of adjectives; n</w:t>
      </w:r>
      <w:r w:rsidR="00DF2799" w:rsidRPr="008E30DB">
        <w:rPr>
          <w:sz w:val="22"/>
          <w:szCs w:val="22"/>
        </w:rPr>
        <w:t>or are they merely attributive.</w:t>
      </w:r>
    </w:p>
    <w:p w14:paraId="4388FC2F" w14:textId="77777777" w:rsidR="00DF2799" w:rsidRPr="008E30DB" w:rsidRDefault="00DF2799" w:rsidP="005B233E">
      <w:pPr>
        <w:rPr>
          <w:sz w:val="22"/>
          <w:szCs w:val="22"/>
        </w:rPr>
      </w:pPr>
    </w:p>
    <w:p w14:paraId="793F7D75" w14:textId="77777777" w:rsidR="009D10B6" w:rsidRPr="00C71D99" w:rsidRDefault="004B6D07" w:rsidP="005B233E">
      <w:pPr>
        <w:rPr>
          <w:sz w:val="22"/>
          <w:szCs w:val="22"/>
        </w:rPr>
      </w:pPr>
      <w:r>
        <w:rPr>
          <w:sz w:val="22"/>
          <w:szCs w:val="22"/>
        </w:rPr>
        <w:t xml:space="preserve">I show that </w:t>
      </w:r>
      <w:r w:rsidR="005B233E" w:rsidRPr="008E30DB">
        <w:rPr>
          <w:sz w:val="22"/>
          <w:szCs w:val="22"/>
        </w:rPr>
        <w:t xml:space="preserve">the use of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proofErr w:type="spellEnd"/>
      <w:r w:rsidR="005B233E" w:rsidRPr="008E30DB">
        <w:rPr>
          <w:sz w:val="22"/>
          <w:szCs w:val="22"/>
        </w:rPr>
        <w:t xml:space="preserve"> forms is difficult to explain semantically. Instead, </w:t>
      </w:r>
      <w:r w:rsidR="00BA3B11">
        <w:rPr>
          <w:sz w:val="22"/>
          <w:szCs w:val="22"/>
        </w:rPr>
        <w:t xml:space="preserve">based on </w:t>
      </w:r>
      <w:r w:rsidR="005B233E" w:rsidRPr="008E30DB">
        <w:rPr>
          <w:sz w:val="22"/>
          <w:szCs w:val="22"/>
        </w:rPr>
        <w:t xml:space="preserve">the evidence of inflectional variation in identical contexts </w:t>
      </w:r>
      <w:r w:rsidR="00BA3B11">
        <w:rPr>
          <w:sz w:val="22"/>
          <w:szCs w:val="22"/>
        </w:rPr>
        <w:t>I argue</w:t>
      </w:r>
      <w:r w:rsidR="005B233E" w:rsidRPr="008E30DB">
        <w:rPr>
          <w:sz w:val="22"/>
          <w:szCs w:val="22"/>
        </w:rPr>
        <w:t xml:space="preserve"> that the pronominal </w:t>
      </w:r>
      <w:r w:rsidR="00BA3B11">
        <w:rPr>
          <w:i/>
          <w:sz w:val="22"/>
          <w:szCs w:val="22"/>
        </w:rPr>
        <w:t>-</w:t>
      </w:r>
      <w:proofErr w:type="spellStart"/>
      <w:r w:rsidR="00BA3B11">
        <w:rPr>
          <w:i/>
          <w:sz w:val="22"/>
          <w:szCs w:val="22"/>
        </w:rPr>
        <w:t>ata</w:t>
      </w:r>
      <w:proofErr w:type="spellEnd"/>
      <w:r w:rsidR="00BA3B11">
        <w:rPr>
          <w:i/>
          <w:sz w:val="22"/>
          <w:szCs w:val="22"/>
        </w:rPr>
        <w:t xml:space="preserve"> </w:t>
      </w:r>
      <w:r w:rsidR="005B233E" w:rsidRPr="008E30DB">
        <w:rPr>
          <w:sz w:val="22"/>
          <w:szCs w:val="22"/>
        </w:rPr>
        <w:t>form</w:t>
      </w:r>
      <w:r w:rsidR="001A6105">
        <w:rPr>
          <w:sz w:val="22"/>
          <w:szCs w:val="22"/>
        </w:rPr>
        <w:t>s are</w:t>
      </w:r>
      <w:r w:rsidR="009D10B6">
        <w:rPr>
          <w:sz w:val="22"/>
          <w:szCs w:val="22"/>
        </w:rPr>
        <w:t xml:space="preserve"> stylistically and co</w:t>
      </w:r>
      <w:r w:rsidR="00666525">
        <w:rPr>
          <w:sz w:val="22"/>
          <w:szCs w:val="22"/>
        </w:rPr>
        <w:t>n</w:t>
      </w:r>
      <w:r w:rsidR="009D10B6">
        <w:rPr>
          <w:sz w:val="22"/>
          <w:szCs w:val="22"/>
        </w:rPr>
        <w:t>textually</w:t>
      </w:r>
      <w:r w:rsidR="005B233E" w:rsidRPr="008E30DB">
        <w:rPr>
          <w:sz w:val="22"/>
          <w:szCs w:val="22"/>
        </w:rPr>
        <w:t xml:space="preserve"> marked relic</w:t>
      </w:r>
      <w:r w:rsidR="001A6105">
        <w:rPr>
          <w:sz w:val="22"/>
          <w:szCs w:val="22"/>
        </w:rPr>
        <w:t>s</w:t>
      </w:r>
      <w:r w:rsidR="005B233E" w:rsidRPr="008E30DB">
        <w:rPr>
          <w:sz w:val="22"/>
          <w:szCs w:val="22"/>
        </w:rPr>
        <w:t xml:space="preserve"> of older usage.</w:t>
      </w:r>
      <w:r w:rsidR="00C71D99">
        <w:rPr>
          <w:sz w:val="22"/>
          <w:szCs w:val="22"/>
        </w:rPr>
        <w:t xml:space="preserve"> In addition, I show that the more iconic </w:t>
      </w:r>
      <w:r w:rsidR="00C71D99">
        <w:rPr>
          <w:i/>
          <w:sz w:val="22"/>
          <w:szCs w:val="22"/>
        </w:rPr>
        <w:t>-</w:t>
      </w:r>
      <w:proofErr w:type="spellStart"/>
      <w:r w:rsidR="00C71D99">
        <w:rPr>
          <w:i/>
          <w:sz w:val="22"/>
          <w:szCs w:val="22"/>
        </w:rPr>
        <w:t>ata</w:t>
      </w:r>
      <w:proofErr w:type="spellEnd"/>
      <w:r w:rsidR="00C71D99">
        <w:rPr>
          <w:sz w:val="22"/>
          <w:szCs w:val="22"/>
        </w:rPr>
        <w:t xml:space="preserve"> </w:t>
      </w:r>
      <w:r w:rsidR="00FE163D">
        <w:rPr>
          <w:sz w:val="22"/>
          <w:szCs w:val="22"/>
        </w:rPr>
        <w:t>forms were</w:t>
      </w:r>
      <w:r w:rsidR="00C71D99">
        <w:rPr>
          <w:sz w:val="22"/>
          <w:szCs w:val="22"/>
        </w:rPr>
        <w:t xml:space="preserve"> used as a point of clarification in grammatically awkward environments.</w:t>
      </w:r>
      <w:r w:rsidR="00B84886" w:rsidRPr="00B84886">
        <w:rPr>
          <w:sz w:val="22"/>
          <w:szCs w:val="22"/>
        </w:rPr>
        <w:t xml:space="preserve"> </w:t>
      </w:r>
      <w:r w:rsidR="00B84886" w:rsidRPr="008E30DB">
        <w:rPr>
          <w:sz w:val="22"/>
          <w:szCs w:val="22"/>
        </w:rPr>
        <w:t xml:space="preserve">From a diachronic point view, the fact that the bulk of </w:t>
      </w:r>
      <w:r w:rsidR="00B84886" w:rsidRPr="008E30DB">
        <w:rPr>
          <w:sz w:val="22"/>
          <w:szCs w:val="22"/>
        </w:rPr>
        <w:softHyphen/>
      </w:r>
      <w:r w:rsidR="00B84886" w:rsidRPr="008E30DB">
        <w:rPr>
          <w:sz w:val="22"/>
          <w:szCs w:val="22"/>
        </w:rPr>
        <w:softHyphen/>
      </w:r>
      <w:r w:rsidR="00B84886" w:rsidRPr="008E30DB">
        <w:rPr>
          <w:i/>
          <w:sz w:val="22"/>
          <w:szCs w:val="22"/>
        </w:rPr>
        <w:t>-</w:t>
      </w:r>
      <w:proofErr w:type="spellStart"/>
      <w:r w:rsidR="00B84886" w:rsidRPr="008E30DB">
        <w:rPr>
          <w:i/>
          <w:sz w:val="22"/>
          <w:szCs w:val="22"/>
        </w:rPr>
        <w:t>ata</w:t>
      </w:r>
      <w:proofErr w:type="spellEnd"/>
      <w:r w:rsidR="00B84886" w:rsidRPr="008E30DB">
        <w:rPr>
          <w:sz w:val="22"/>
          <w:szCs w:val="22"/>
        </w:rPr>
        <w:t xml:space="preserve"> forms are more systematically attested in the quantifier </w:t>
      </w:r>
      <w:proofErr w:type="spellStart"/>
      <w:r w:rsidR="00B84886" w:rsidRPr="008E30DB">
        <w:rPr>
          <w:i/>
          <w:sz w:val="22"/>
          <w:szCs w:val="22"/>
        </w:rPr>
        <w:t>alls</w:t>
      </w:r>
      <w:proofErr w:type="spellEnd"/>
      <w:r w:rsidR="00B84886" w:rsidRPr="008E30DB">
        <w:rPr>
          <w:sz w:val="22"/>
          <w:szCs w:val="22"/>
        </w:rPr>
        <w:t xml:space="preserve"> ‘all’ (a word that has strong pronominal properties) and possessive pronouns is indicative of the strong inflection being more primary to pronouns. It is then possible to propose a scenario of reconstruction where the strong </w:t>
      </w:r>
      <w:r w:rsidR="00A60E53">
        <w:rPr>
          <w:sz w:val="22"/>
          <w:szCs w:val="22"/>
        </w:rPr>
        <w:t xml:space="preserve">adjective </w:t>
      </w:r>
      <w:r w:rsidR="00B84886" w:rsidRPr="008E30DB">
        <w:rPr>
          <w:sz w:val="22"/>
          <w:szCs w:val="22"/>
        </w:rPr>
        <w:t>inflection</w:t>
      </w:r>
      <w:r w:rsidR="00B84886">
        <w:rPr>
          <w:sz w:val="22"/>
          <w:szCs w:val="22"/>
        </w:rPr>
        <w:t xml:space="preserve"> is an analogical development, having</w:t>
      </w:r>
      <w:r w:rsidR="00B84886" w:rsidRPr="008E30DB">
        <w:rPr>
          <w:sz w:val="22"/>
          <w:szCs w:val="22"/>
        </w:rPr>
        <w:t xml:space="preserve"> been passed on from demonstrative pronouns to prototypical adjectives through pronominal adjectives (such as possessiv</w:t>
      </w:r>
      <w:r w:rsidR="00B84886">
        <w:rPr>
          <w:sz w:val="22"/>
          <w:szCs w:val="22"/>
        </w:rPr>
        <w:t>e pronouns and the like).</w:t>
      </w:r>
    </w:p>
    <w:p w14:paraId="13BCDF0D" w14:textId="77777777" w:rsidR="009D10B6" w:rsidRDefault="009D10B6" w:rsidP="005B233E">
      <w:pPr>
        <w:rPr>
          <w:sz w:val="22"/>
          <w:szCs w:val="22"/>
        </w:rPr>
      </w:pPr>
    </w:p>
    <w:p w14:paraId="4FC5BEC7" w14:textId="77777777" w:rsidR="005B233E" w:rsidRPr="008E30DB" w:rsidRDefault="00DE3273" w:rsidP="005B233E">
      <w:pPr>
        <w:rPr>
          <w:sz w:val="22"/>
          <w:szCs w:val="22"/>
        </w:rPr>
      </w:pPr>
      <w:r>
        <w:rPr>
          <w:sz w:val="22"/>
          <w:szCs w:val="22"/>
        </w:rPr>
        <w:t>I argue that t</w:t>
      </w:r>
      <w:r w:rsidR="005B233E" w:rsidRPr="008E30DB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few attested </w:t>
      </w:r>
      <w:r w:rsidR="005B233E" w:rsidRPr="008E30DB">
        <w:rPr>
          <w:sz w:val="22"/>
          <w:szCs w:val="22"/>
        </w:rPr>
        <w:t xml:space="preserve">predicative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proofErr w:type="spellEnd"/>
      <w:r w:rsidR="005B233E" w:rsidRPr="008E30DB">
        <w:rPr>
          <w:sz w:val="22"/>
          <w:szCs w:val="22"/>
        </w:rPr>
        <w:t xml:space="preserve"> forms</w:t>
      </w:r>
      <w:r>
        <w:rPr>
          <w:sz w:val="22"/>
          <w:szCs w:val="22"/>
        </w:rPr>
        <w:t xml:space="preserve"> are</w:t>
      </w:r>
      <w:r w:rsidR="005B233E" w:rsidRPr="008E30DB">
        <w:rPr>
          <w:sz w:val="22"/>
          <w:szCs w:val="22"/>
        </w:rPr>
        <w:t xml:space="preserve"> </w:t>
      </w:r>
      <w:r>
        <w:rPr>
          <w:sz w:val="22"/>
          <w:szCs w:val="22"/>
        </w:rPr>
        <w:t>not an exception because</w:t>
      </w:r>
      <w:r w:rsidR="00B55909">
        <w:rPr>
          <w:sz w:val="22"/>
          <w:szCs w:val="22"/>
        </w:rPr>
        <w:t xml:space="preserve"> they</w:t>
      </w:r>
      <w:r w:rsidR="005B233E" w:rsidRPr="008E30DB">
        <w:rPr>
          <w:sz w:val="22"/>
          <w:szCs w:val="22"/>
        </w:rPr>
        <w:t xml:space="preserve"> can be explained in terms </w:t>
      </w:r>
      <w:r w:rsidR="00B55909">
        <w:rPr>
          <w:sz w:val="22"/>
          <w:szCs w:val="22"/>
        </w:rPr>
        <w:t xml:space="preserve">of the statistics of case usage, and in particular the fact that </w:t>
      </w:r>
      <w:r w:rsidR="00B55909">
        <w:rPr>
          <w:i/>
          <w:sz w:val="22"/>
          <w:szCs w:val="22"/>
        </w:rPr>
        <w:t>-</w:t>
      </w:r>
      <w:proofErr w:type="spellStart"/>
      <w:r w:rsidR="00B55909">
        <w:rPr>
          <w:i/>
          <w:sz w:val="22"/>
          <w:szCs w:val="22"/>
        </w:rPr>
        <w:t>ata</w:t>
      </w:r>
      <w:proofErr w:type="spellEnd"/>
      <w:r w:rsidR="00B55909">
        <w:rPr>
          <w:sz w:val="22"/>
          <w:szCs w:val="22"/>
        </w:rPr>
        <w:t xml:space="preserve"> tends to dominate in the accusative</w:t>
      </w:r>
      <w:r w:rsidR="009B6C85">
        <w:rPr>
          <w:sz w:val="22"/>
          <w:szCs w:val="22"/>
        </w:rPr>
        <w:t>.</w:t>
      </w:r>
      <w:r w:rsidR="00DE2A99">
        <w:rPr>
          <w:sz w:val="22"/>
          <w:szCs w:val="22"/>
        </w:rPr>
        <w:t xml:space="preserve"> This</w:t>
      </w:r>
      <w:r w:rsidR="005B233E" w:rsidRPr="008E30DB">
        <w:rPr>
          <w:sz w:val="22"/>
          <w:szCs w:val="22"/>
        </w:rPr>
        <w:t xml:space="preserve"> eliminates the need to explain predicative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proofErr w:type="spellEnd"/>
      <w:r w:rsidR="005B233E" w:rsidRPr="008E30DB">
        <w:rPr>
          <w:sz w:val="22"/>
          <w:szCs w:val="22"/>
        </w:rPr>
        <w:t xml:space="preserve"> forms away, and the recognition of the fact that their use in Gothic extended to all syntactic contexts typical of adjectives (and other relevant m</w:t>
      </w:r>
      <w:r w:rsidR="00F50004">
        <w:rPr>
          <w:sz w:val="22"/>
          <w:szCs w:val="22"/>
        </w:rPr>
        <w:t xml:space="preserve">odifiers) indicates that there </w:t>
      </w:r>
      <w:r w:rsidR="005B233E" w:rsidRPr="008E30DB">
        <w:rPr>
          <w:sz w:val="22"/>
          <w:szCs w:val="22"/>
        </w:rPr>
        <w:t xml:space="preserve">is no syntactically-conditioned </w:t>
      </w:r>
      <w:proofErr w:type="spellStart"/>
      <w:r w:rsidR="005B233E" w:rsidRPr="008E30DB">
        <w:rPr>
          <w:sz w:val="22"/>
          <w:szCs w:val="22"/>
        </w:rPr>
        <w:t>allomorphy</w:t>
      </w:r>
      <w:proofErr w:type="spellEnd"/>
      <w:r w:rsidR="005B233E" w:rsidRPr="008E30DB">
        <w:rPr>
          <w:sz w:val="22"/>
          <w:szCs w:val="22"/>
        </w:rPr>
        <w:t xml:space="preserve"> in the neuter nominative and accusative singular and that the pronominal inflection in these slots is nothing more than a marked older form competing with the bare stem. Finally, </w:t>
      </w:r>
      <w:r w:rsidR="00DE2A99">
        <w:rPr>
          <w:sz w:val="22"/>
          <w:szCs w:val="22"/>
        </w:rPr>
        <w:t>I suggest</w:t>
      </w:r>
      <w:r w:rsidR="005B233E" w:rsidRPr="008E30DB">
        <w:rPr>
          <w:sz w:val="22"/>
          <w:szCs w:val="22"/>
        </w:rPr>
        <w:t xml:space="preserve"> that the patterning of </w:t>
      </w:r>
      <w:r w:rsidR="005B233E" w:rsidRPr="008E30DB">
        <w:rPr>
          <w:i/>
          <w:sz w:val="22"/>
          <w:szCs w:val="22"/>
        </w:rPr>
        <w:t>-</w:t>
      </w:r>
      <w:proofErr w:type="spellStart"/>
      <w:r w:rsidR="005B233E" w:rsidRPr="008E30DB">
        <w:rPr>
          <w:i/>
          <w:sz w:val="22"/>
          <w:szCs w:val="22"/>
        </w:rPr>
        <w:t>ata</w:t>
      </w:r>
      <w:proofErr w:type="spellEnd"/>
      <w:r w:rsidR="005B233E" w:rsidRPr="008E30DB">
        <w:rPr>
          <w:sz w:val="22"/>
          <w:szCs w:val="22"/>
        </w:rPr>
        <w:t xml:space="preserve"> forms in relation to the noun, and in particular the tendency for these forms to be used in post-position to the head, is indicative of the adjective inflection having been </w:t>
      </w:r>
      <w:proofErr w:type="spellStart"/>
      <w:r w:rsidR="005B233E" w:rsidRPr="008E30DB">
        <w:rPr>
          <w:sz w:val="22"/>
          <w:szCs w:val="22"/>
        </w:rPr>
        <w:t>pronominalised</w:t>
      </w:r>
      <w:proofErr w:type="spellEnd"/>
      <w:r w:rsidR="005B233E" w:rsidRPr="008E30DB">
        <w:rPr>
          <w:sz w:val="22"/>
          <w:szCs w:val="22"/>
        </w:rPr>
        <w:t xml:space="preserve"> in the Germanic proto-language, when the typical pattern of word order was with modifiers being used in post-position to nouns.</w:t>
      </w:r>
    </w:p>
    <w:p w14:paraId="7034B5F3" w14:textId="77777777" w:rsidR="004C5520" w:rsidRDefault="004C5520">
      <w:pPr>
        <w:rPr>
          <w:sz w:val="22"/>
          <w:szCs w:val="22"/>
        </w:rPr>
      </w:pPr>
    </w:p>
    <w:p w14:paraId="31352D6E" w14:textId="77777777" w:rsidR="009B6C85" w:rsidRPr="00452B80" w:rsidRDefault="009B6C85">
      <w:pPr>
        <w:rPr>
          <w:sz w:val="22"/>
          <w:szCs w:val="22"/>
        </w:rPr>
      </w:pPr>
      <w:r w:rsidRPr="00452B80">
        <w:rPr>
          <w:sz w:val="22"/>
          <w:szCs w:val="22"/>
        </w:rPr>
        <w:t>References:</w:t>
      </w:r>
    </w:p>
    <w:p w14:paraId="601C9C11" w14:textId="77777777" w:rsidR="009B6C85" w:rsidRPr="00452B80" w:rsidRDefault="009B6C85">
      <w:pPr>
        <w:rPr>
          <w:sz w:val="22"/>
          <w:szCs w:val="22"/>
        </w:rPr>
      </w:pPr>
    </w:p>
    <w:p w14:paraId="449C207A" w14:textId="77777777" w:rsidR="009B6C85" w:rsidRPr="00452B80" w:rsidRDefault="00452B80" w:rsidP="00452B80">
      <w:pPr>
        <w:ind w:left="709" w:hanging="709"/>
        <w:rPr>
          <w:noProof/>
          <w:sz w:val="22"/>
          <w:szCs w:val="22"/>
        </w:rPr>
      </w:pPr>
      <w:bookmarkStart w:id="1" w:name="_ENREF_8"/>
      <w:r w:rsidRPr="00452B80">
        <w:rPr>
          <w:noProof/>
          <w:sz w:val="22"/>
          <w:szCs w:val="22"/>
        </w:rPr>
        <w:t xml:space="preserve">Krause, Wolfgang. 1968. </w:t>
      </w:r>
      <w:r w:rsidRPr="00452B80">
        <w:rPr>
          <w:i/>
          <w:noProof/>
          <w:sz w:val="22"/>
          <w:szCs w:val="22"/>
        </w:rPr>
        <w:t>Handbuch des Gotischen.</w:t>
      </w:r>
      <w:r w:rsidRPr="00452B80">
        <w:rPr>
          <w:noProof/>
          <w:sz w:val="22"/>
          <w:szCs w:val="22"/>
        </w:rPr>
        <w:t xml:space="preserve"> 3</w:t>
      </w:r>
      <w:r w:rsidRPr="00452B80">
        <w:rPr>
          <w:noProof/>
          <w:sz w:val="22"/>
          <w:szCs w:val="22"/>
          <w:vertAlign w:val="superscript"/>
        </w:rPr>
        <w:t>rd</w:t>
      </w:r>
      <w:r w:rsidRPr="00452B80">
        <w:rPr>
          <w:noProof/>
          <w:sz w:val="22"/>
          <w:szCs w:val="22"/>
        </w:rPr>
        <w:t xml:space="preserve"> edn. München: C. H. Beck'sche Verlagsbuchhandlung.</w:t>
      </w:r>
      <w:bookmarkEnd w:id="1"/>
    </w:p>
    <w:p w14:paraId="3496BC2B" w14:textId="77777777" w:rsidR="00452B80" w:rsidRPr="00452B80" w:rsidRDefault="00452B80" w:rsidP="00452B80">
      <w:pPr>
        <w:ind w:left="720" w:hanging="720"/>
        <w:rPr>
          <w:noProof/>
          <w:sz w:val="22"/>
          <w:szCs w:val="22"/>
        </w:rPr>
      </w:pPr>
      <w:bookmarkStart w:id="2" w:name="_ENREF_14"/>
      <w:r w:rsidRPr="00452B80">
        <w:rPr>
          <w:noProof/>
          <w:sz w:val="22"/>
          <w:szCs w:val="22"/>
        </w:rPr>
        <w:t xml:space="preserve">Rauch, Irmengard. 2011. </w:t>
      </w:r>
      <w:r w:rsidRPr="00452B80">
        <w:rPr>
          <w:i/>
          <w:noProof/>
          <w:sz w:val="22"/>
          <w:szCs w:val="22"/>
        </w:rPr>
        <w:t>The Gothic Language: Grammar, Genetic Provenance and Typology, Readings.</w:t>
      </w:r>
      <w:r w:rsidRPr="00452B80">
        <w:rPr>
          <w:noProof/>
          <w:sz w:val="22"/>
          <w:szCs w:val="22"/>
        </w:rPr>
        <w:t xml:space="preserve"> 2</w:t>
      </w:r>
      <w:r w:rsidRPr="00452B80">
        <w:rPr>
          <w:noProof/>
          <w:sz w:val="22"/>
          <w:szCs w:val="22"/>
          <w:vertAlign w:val="superscript"/>
        </w:rPr>
        <w:t>nd</w:t>
      </w:r>
      <w:r w:rsidRPr="00452B80">
        <w:rPr>
          <w:noProof/>
          <w:sz w:val="22"/>
          <w:szCs w:val="22"/>
        </w:rPr>
        <w:t xml:space="preserve"> edn. New York: Peter Lang Publishing, Inc.</w:t>
      </w:r>
      <w:bookmarkEnd w:id="2"/>
    </w:p>
    <w:p w14:paraId="15BD7AEA" w14:textId="77777777" w:rsidR="00452B80" w:rsidRPr="00452B80" w:rsidRDefault="00452B80">
      <w:pPr>
        <w:rPr>
          <w:sz w:val="22"/>
          <w:szCs w:val="22"/>
        </w:rPr>
      </w:pPr>
      <w:bookmarkStart w:id="3" w:name="_ENREF_19"/>
      <w:r w:rsidRPr="00452B80">
        <w:rPr>
          <w:noProof/>
          <w:sz w:val="22"/>
          <w:szCs w:val="22"/>
        </w:rPr>
        <w:t xml:space="preserve">Wright, Joseph. 1954. </w:t>
      </w:r>
      <w:r w:rsidRPr="00452B80">
        <w:rPr>
          <w:i/>
          <w:noProof/>
          <w:sz w:val="22"/>
          <w:szCs w:val="22"/>
        </w:rPr>
        <w:t>Grammar of the Gothic Language.</w:t>
      </w:r>
      <w:r w:rsidRPr="00452B80">
        <w:rPr>
          <w:noProof/>
          <w:sz w:val="22"/>
          <w:szCs w:val="22"/>
        </w:rPr>
        <w:t xml:space="preserve"> 2</w:t>
      </w:r>
      <w:r w:rsidRPr="00452B80">
        <w:rPr>
          <w:noProof/>
          <w:sz w:val="22"/>
          <w:szCs w:val="22"/>
          <w:vertAlign w:val="superscript"/>
        </w:rPr>
        <w:t>nd</w:t>
      </w:r>
      <w:r w:rsidRPr="00452B80">
        <w:rPr>
          <w:noProof/>
          <w:sz w:val="22"/>
          <w:szCs w:val="22"/>
        </w:rPr>
        <w:t xml:space="preserve"> edn. Oxford: Clarendon Press.</w:t>
      </w:r>
      <w:bookmarkEnd w:id="3"/>
    </w:p>
    <w:sectPr w:rsidR="00452B80" w:rsidRPr="00452B80" w:rsidSect="008E30DB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65"/>
    <w:rsid w:val="000650CD"/>
    <w:rsid w:val="000B7D53"/>
    <w:rsid w:val="000D0CC6"/>
    <w:rsid w:val="000D7CFE"/>
    <w:rsid w:val="000E4F70"/>
    <w:rsid w:val="001A3D9F"/>
    <w:rsid w:val="001A6105"/>
    <w:rsid w:val="001E0EA1"/>
    <w:rsid w:val="00274652"/>
    <w:rsid w:val="00347F75"/>
    <w:rsid w:val="0043396C"/>
    <w:rsid w:val="004350A2"/>
    <w:rsid w:val="00452B80"/>
    <w:rsid w:val="00495DEA"/>
    <w:rsid w:val="004B6D07"/>
    <w:rsid w:val="004B7583"/>
    <w:rsid w:val="004C5520"/>
    <w:rsid w:val="005037DD"/>
    <w:rsid w:val="00564605"/>
    <w:rsid w:val="005731FB"/>
    <w:rsid w:val="005B233E"/>
    <w:rsid w:val="005D6603"/>
    <w:rsid w:val="006316D7"/>
    <w:rsid w:val="00656700"/>
    <w:rsid w:val="00660F74"/>
    <w:rsid w:val="00666525"/>
    <w:rsid w:val="0068073F"/>
    <w:rsid w:val="006D633C"/>
    <w:rsid w:val="007A5B0A"/>
    <w:rsid w:val="0082359F"/>
    <w:rsid w:val="008D5009"/>
    <w:rsid w:val="008E30DB"/>
    <w:rsid w:val="00930E65"/>
    <w:rsid w:val="009B6C85"/>
    <w:rsid w:val="009C29B4"/>
    <w:rsid w:val="009D10B6"/>
    <w:rsid w:val="00A2417E"/>
    <w:rsid w:val="00A60E53"/>
    <w:rsid w:val="00B23B2A"/>
    <w:rsid w:val="00B4238E"/>
    <w:rsid w:val="00B55909"/>
    <w:rsid w:val="00B56636"/>
    <w:rsid w:val="00B71247"/>
    <w:rsid w:val="00B77370"/>
    <w:rsid w:val="00B84886"/>
    <w:rsid w:val="00BA3B11"/>
    <w:rsid w:val="00C71D99"/>
    <w:rsid w:val="00D26FDB"/>
    <w:rsid w:val="00D7185B"/>
    <w:rsid w:val="00DD5538"/>
    <w:rsid w:val="00DD6CDD"/>
    <w:rsid w:val="00DE2A99"/>
    <w:rsid w:val="00DE3273"/>
    <w:rsid w:val="00DE6199"/>
    <w:rsid w:val="00DF2799"/>
    <w:rsid w:val="00E37581"/>
    <w:rsid w:val="00E641D6"/>
    <w:rsid w:val="00EA37AF"/>
    <w:rsid w:val="00F162AC"/>
    <w:rsid w:val="00F50004"/>
    <w:rsid w:val="00F56557"/>
    <w:rsid w:val="00FD69E7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0F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593</Words>
  <Characters>3383</Characters>
  <Application>Microsoft Macintosh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</dc:creator>
  <cp:keywords/>
  <dc:description/>
  <cp:lastModifiedBy>Peter Pan</cp:lastModifiedBy>
  <cp:revision>3</cp:revision>
  <dcterms:created xsi:type="dcterms:W3CDTF">2014-02-12T22:59:00Z</dcterms:created>
  <dcterms:modified xsi:type="dcterms:W3CDTF">2014-02-13T00:58:00Z</dcterms:modified>
</cp:coreProperties>
</file>