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51226" w14:textId="65E3FA88" w:rsidR="00BA3BD5" w:rsidRPr="00BA3BD5" w:rsidRDefault="00BA3BD5" w:rsidP="00195169">
      <w:pPr>
        <w:spacing w:after="100" w:afterAutospacing="1"/>
        <w:ind w:firstLine="0"/>
        <w:jc w:val="center"/>
        <w:rPr>
          <w:b/>
          <w:smallCaps/>
          <w:sz w:val="18"/>
          <w:szCs w:val="18"/>
        </w:rPr>
      </w:pPr>
      <w:bookmarkStart w:id="0" w:name="_GoBack"/>
      <w:bookmarkEnd w:id="0"/>
      <w:r w:rsidRPr="00BA3BD5">
        <w:rPr>
          <w:b/>
          <w:i/>
          <w:smallCaps/>
          <w:sz w:val="18"/>
          <w:szCs w:val="18"/>
        </w:rPr>
        <w:t>Draft.  Please do not circulate</w:t>
      </w:r>
      <w:r w:rsidR="00207C3F">
        <w:rPr>
          <w:b/>
          <w:i/>
          <w:smallCaps/>
          <w:sz w:val="18"/>
          <w:szCs w:val="18"/>
        </w:rPr>
        <w:t xml:space="preserve"> or cite without permission</w:t>
      </w:r>
      <w:r w:rsidRPr="00BA3BD5">
        <w:rPr>
          <w:b/>
          <w:i/>
          <w:smallCaps/>
          <w:sz w:val="18"/>
          <w:szCs w:val="18"/>
        </w:rPr>
        <w:t xml:space="preserve">. </w:t>
      </w:r>
      <w:r w:rsidR="00207C3F">
        <w:rPr>
          <w:b/>
          <w:i/>
          <w:smallCaps/>
          <w:sz w:val="18"/>
          <w:szCs w:val="18"/>
        </w:rPr>
        <w:br/>
      </w:r>
      <w:r w:rsidRPr="00BA3BD5">
        <w:rPr>
          <w:b/>
          <w:i/>
          <w:smallCaps/>
          <w:sz w:val="18"/>
          <w:szCs w:val="18"/>
        </w:rPr>
        <w:t xml:space="preserve"> Forthcoming, </w:t>
      </w:r>
      <w:r w:rsidR="00207C3F" w:rsidRPr="00207C3F">
        <w:rPr>
          <w:b/>
          <w:smallCaps/>
          <w:sz w:val="18"/>
          <w:szCs w:val="18"/>
        </w:rPr>
        <w:t xml:space="preserve">67 </w:t>
      </w:r>
      <w:r w:rsidRPr="00BA3BD5">
        <w:rPr>
          <w:b/>
          <w:smallCaps/>
          <w:sz w:val="18"/>
          <w:szCs w:val="18"/>
        </w:rPr>
        <w:t>Duke Law Journal (201</w:t>
      </w:r>
      <w:r w:rsidR="00787C0D">
        <w:rPr>
          <w:b/>
          <w:smallCaps/>
          <w:sz w:val="18"/>
          <w:szCs w:val="18"/>
        </w:rPr>
        <w:t>8</w:t>
      </w:r>
      <w:r w:rsidRPr="00BA3BD5">
        <w:rPr>
          <w:b/>
          <w:smallCaps/>
          <w:sz w:val="18"/>
          <w:szCs w:val="18"/>
        </w:rPr>
        <w:t>)</w:t>
      </w:r>
      <w:r w:rsidR="00F959D7">
        <w:rPr>
          <w:b/>
          <w:smallCaps/>
          <w:sz w:val="18"/>
          <w:szCs w:val="18"/>
        </w:rPr>
        <w:t xml:space="preserve"> </w:t>
      </w:r>
      <w:hyperlink r:id="rId8" w:history="1">
        <w:r w:rsidR="00332A07" w:rsidRPr="00627CF8">
          <w:rPr>
            <w:rStyle w:val="Hyperlink"/>
            <w:b/>
            <w:smallCaps/>
            <w:sz w:val="18"/>
            <w:szCs w:val="18"/>
          </w:rPr>
          <w:t>https://papers.ssrn.com/sol3/papers.cfm?abstract_id=2948030</w:t>
        </w:r>
      </w:hyperlink>
      <w:r w:rsidR="00F959D7" w:rsidRPr="00F959D7">
        <w:rPr>
          <w:sz w:val="18"/>
          <w:szCs w:val="18"/>
        </w:rPr>
        <w:t xml:space="preserve"> </w:t>
      </w:r>
      <w:r w:rsidR="00F959D7" w:rsidRPr="00AD652D">
        <w:rPr>
          <w:sz w:val="18"/>
          <w:szCs w:val="18"/>
        </w:rPr>
        <w:fldChar w:fldCharType="begin"/>
      </w:r>
      <w:r w:rsidR="00F959D7" w:rsidRPr="00AD652D">
        <w:rPr>
          <w:sz w:val="18"/>
          <w:szCs w:val="18"/>
        </w:rPr>
        <w:instrText xml:space="preserve"> DATE \@ "M/d/yyyy h:mm:ss am/pm" </w:instrText>
      </w:r>
      <w:r w:rsidR="00F959D7" w:rsidRPr="00AD652D">
        <w:rPr>
          <w:sz w:val="18"/>
          <w:szCs w:val="18"/>
        </w:rPr>
        <w:fldChar w:fldCharType="separate"/>
      </w:r>
      <w:r w:rsidR="00BF08F8">
        <w:rPr>
          <w:noProof/>
          <w:sz w:val="18"/>
          <w:szCs w:val="18"/>
        </w:rPr>
        <w:t>7/26/2017 10:50:59 AM</w:t>
      </w:r>
      <w:r w:rsidR="00F959D7" w:rsidRPr="00AD652D">
        <w:rPr>
          <w:sz w:val="18"/>
          <w:szCs w:val="18"/>
        </w:rPr>
        <w:fldChar w:fldCharType="end"/>
      </w:r>
    </w:p>
    <w:p w14:paraId="00281BDC" w14:textId="41CD52AB" w:rsidR="000552DA" w:rsidRPr="00AD652D" w:rsidRDefault="00CE0384" w:rsidP="00195169">
      <w:pPr>
        <w:spacing w:after="100" w:afterAutospacing="1"/>
        <w:ind w:firstLine="0"/>
        <w:jc w:val="center"/>
        <w:rPr>
          <w:b/>
          <w:smallCaps/>
          <w:sz w:val="32"/>
          <w:szCs w:val="32"/>
        </w:rPr>
      </w:pPr>
      <w:r w:rsidRPr="00AD652D">
        <w:rPr>
          <w:b/>
          <w:smallCaps/>
          <w:sz w:val="32"/>
          <w:szCs w:val="32"/>
        </w:rPr>
        <w:t xml:space="preserve">The </w:t>
      </w:r>
      <w:r w:rsidR="00501A2C" w:rsidRPr="00AD652D">
        <w:rPr>
          <w:b/>
          <w:smallCaps/>
          <w:sz w:val="32"/>
          <w:szCs w:val="32"/>
        </w:rPr>
        <w:t>War Against</w:t>
      </w:r>
      <w:r w:rsidR="00F245E9" w:rsidRPr="00AD652D">
        <w:rPr>
          <w:b/>
          <w:smallCaps/>
          <w:sz w:val="32"/>
          <w:szCs w:val="32"/>
        </w:rPr>
        <w:t xml:space="preserve"> Chinese Restaurants</w:t>
      </w:r>
    </w:p>
    <w:p w14:paraId="51623DE9" w14:textId="028C76F4" w:rsidR="002C675D" w:rsidRPr="00AD652D" w:rsidRDefault="00F245E9" w:rsidP="00195169">
      <w:pPr>
        <w:spacing w:after="100" w:afterAutospacing="1"/>
        <w:ind w:firstLine="0"/>
        <w:jc w:val="center"/>
      </w:pPr>
      <w:r w:rsidRPr="00AD652D">
        <w:t>Gabriel J. Chin</w:t>
      </w:r>
      <w:r w:rsidR="005051A2" w:rsidRPr="00AD652D">
        <w:rPr>
          <w:rStyle w:val="FootnoteReference"/>
        </w:rPr>
        <w:footnoteReference w:customMarkFollows="1" w:id="2"/>
        <w:t>*</w:t>
      </w:r>
      <w:r w:rsidRPr="00AD652D">
        <w:t xml:space="preserve"> &amp; John Ormonde</w:t>
      </w:r>
      <w:r w:rsidR="005051A2" w:rsidRPr="00AD652D">
        <w:rPr>
          <w:rStyle w:val="FootnoteReference"/>
        </w:rPr>
        <w:footnoteReference w:customMarkFollows="1" w:id="3"/>
        <w:t>**</w:t>
      </w:r>
    </w:p>
    <w:p w14:paraId="4FFDB97D" w14:textId="2BDC4CF8" w:rsidR="004C16E9" w:rsidRPr="004C16E9" w:rsidRDefault="004C16E9" w:rsidP="008B191E">
      <w:pPr>
        <w:spacing w:after="100" w:afterAutospacing="1"/>
        <w:ind w:firstLine="0"/>
        <w:jc w:val="center"/>
        <w:rPr>
          <w:i/>
        </w:rPr>
      </w:pPr>
      <w:r w:rsidRPr="004C16E9">
        <w:rPr>
          <w:i/>
        </w:rPr>
        <w:t>Abstract</w:t>
      </w:r>
    </w:p>
    <w:p w14:paraId="63BABFCF" w14:textId="7282E262" w:rsidR="00B27DD9" w:rsidRDefault="004C16E9" w:rsidP="00C3254F">
      <w:pPr>
        <w:ind w:firstLine="0"/>
        <w:rPr>
          <w:i/>
        </w:rPr>
      </w:pPr>
      <w:r w:rsidRPr="00427BD2">
        <w:rPr>
          <w:i/>
        </w:rPr>
        <w:t xml:space="preserve">Chinese restaurants are now a </w:t>
      </w:r>
      <w:r w:rsidR="00E35341" w:rsidRPr="00427BD2">
        <w:rPr>
          <w:i/>
        </w:rPr>
        <w:t xml:space="preserve">cultural </w:t>
      </w:r>
      <w:r w:rsidR="007F6179" w:rsidRPr="00427BD2">
        <w:rPr>
          <w:i/>
        </w:rPr>
        <w:t>fixture</w:t>
      </w:r>
      <w:r w:rsidRPr="00427BD2">
        <w:rPr>
          <w:i/>
        </w:rPr>
        <w:t xml:space="preserve">, as American as cherry pie. </w:t>
      </w:r>
      <w:r w:rsidR="00C96116" w:rsidRPr="00427BD2">
        <w:rPr>
          <w:i/>
        </w:rPr>
        <w:t xml:space="preserve">Startlingly, however, </w:t>
      </w:r>
      <w:r w:rsidR="00C3254F" w:rsidRPr="00427BD2">
        <w:rPr>
          <w:i/>
        </w:rPr>
        <w:t xml:space="preserve">there was once a national movement to eliminate </w:t>
      </w:r>
      <w:r w:rsidR="00C96116" w:rsidRPr="00427BD2">
        <w:rPr>
          <w:i/>
        </w:rPr>
        <w:t>Chinese restaurants</w:t>
      </w:r>
      <w:r w:rsidR="00C3254F" w:rsidRPr="00427BD2">
        <w:rPr>
          <w:i/>
        </w:rPr>
        <w:t>, us</w:t>
      </w:r>
      <w:r w:rsidR="00961FA1" w:rsidRPr="00427BD2">
        <w:rPr>
          <w:i/>
        </w:rPr>
        <w:t xml:space="preserve">ing </w:t>
      </w:r>
      <w:r w:rsidR="000240AD">
        <w:rPr>
          <w:i/>
        </w:rPr>
        <w:t xml:space="preserve">innovative </w:t>
      </w:r>
      <w:r w:rsidR="00961FA1" w:rsidRPr="00427BD2">
        <w:rPr>
          <w:i/>
        </w:rPr>
        <w:t xml:space="preserve">legal </w:t>
      </w:r>
      <w:r w:rsidR="00C3254F" w:rsidRPr="00427BD2">
        <w:rPr>
          <w:i/>
        </w:rPr>
        <w:t xml:space="preserve">methods to drive them out. Chinese restaurants </w:t>
      </w:r>
      <w:r w:rsidR="00961FA1" w:rsidRPr="00427BD2">
        <w:rPr>
          <w:i/>
        </w:rPr>
        <w:t>were objectionable for two reasons</w:t>
      </w:r>
      <w:r w:rsidR="00C3254F" w:rsidRPr="00427BD2">
        <w:rPr>
          <w:i/>
        </w:rPr>
        <w:t xml:space="preserve">.  First, </w:t>
      </w:r>
      <w:r w:rsidR="008B191E" w:rsidRPr="00427BD2">
        <w:rPr>
          <w:i/>
        </w:rPr>
        <w:t>they</w:t>
      </w:r>
      <w:r w:rsidR="00C3254F" w:rsidRPr="00427BD2">
        <w:rPr>
          <w:i/>
        </w:rPr>
        <w:t xml:space="preserve"> </w:t>
      </w:r>
      <w:r w:rsidR="00B27DD9">
        <w:rPr>
          <w:i/>
        </w:rPr>
        <w:t xml:space="preserve">threatened </w:t>
      </w:r>
      <w:r w:rsidR="00C3254F" w:rsidRPr="00427BD2">
        <w:rPr>
          <w:i/>
        </w:rPr>
        <w:t>white women</w:t>
      </w:r>
      <w:r w:rsidR="00C96116" w:rsidRPr="00427BD2">
        <w:rPr>
          <w:i/>
        </w:rPr>
        <w:t>, who were subject to seduction by Chinese men, through intrinsic</w:t>
      </w:r>
      <w:r w:rsidR="00E35341" w:rsidRPr="00427BD2">
        <w:rPr>
          <w:i/>
        </w:rPr>
        <w:t xml:space="preserve"> female</w:t>
      </w:r>
      <w:r w:rsidR="00C96116" w:rsidRPr="00427BD2">
        <w:rPr>
          <w:i/>
        </w:rPr>
        <w:t xml:space="preserve"> weakness, or </w:t>
      </w:r>
      <w:r w:rsidR="00E35341" w:rsidRPr="00427BD2">
        <w:rPr>
          <w:i/>
        </w:rPr>
        <w:t xml:space="preserve">employment of nefarious techniques such as </w:t>
      </w:r>
      <w:r w:rsidR="008908C1" w:rsidRPr="00427BD2">
        <w:rPr>
          <w:i/>
        </w:rPr>
        <w:t>opium addiction</w:t>
      </w:r>
      <w:r w:rsidR="00C3254F" w:rsidRPr="00427BD2">
        <w:rPr>
          <w:i/>
        </w:rPr>
        <w:t xml:space="preserve">.  In addition, Chinese restaurants competed with </w:t>
      </w:r>
      <w:r w:rsidR="00B27DD9">
        <w:rPr>
          <w:i/>
        </w:rPr>
        <w:t xml:space="preserve">“American” </w:t>
      </w:r>
      <w:r w:rsidR="008908C1" w:rsidRPr="00427BD2">
        <w:rPr>
          <w:i/>
        </w:rPr>
        <w:t>restaurants</w:t>
      </w:r>
      <w:r w:rsidR="00C3254F" w:rsidRPr="00427BD2">
        <w:rPr>
          <w:i/>
        </w:rPr>
        <w:t>, thus threaten</w:t>
      </w:r>
      <w:r w:rsidR="00961FA1" w:rsidRPr="00427BD2">
        <w:rPr>
          <w:i/>
        </w:rPr>
        <w:t>ing the</w:t>
      </w:r>
      <w:r w:rsidR="00C3254F" w:rsidRPr="00427BD2">
        <w:rPr>
          <w:i/>
        </w:rPr>
        <w:t xml:space="preserve"> </w:t>
      </w:r>
      <w:r w:rsidR="00755F6C">
        <w:rPr>
          <w:i/>
        </w:rPr>
        <w:t>livelihoods</w:t>
      </w:r>
      <w:r w:rsidR="00E35341" w:rsidRPr="00427BD2">
        <w:rPr>
          <w:i/>
        </w:rPr>
        <w:t xml:space="preserve"> of </w:t>
      </w:r>
      <w:r w:rsidR="008B191E" w:rsidRPr="00427BD2">
        <w:rPr>
          <w:i/>
        </w:rPr>
        <w:t xml:space="preserve">white </w:t>
      </w:r>
      <w:r w:rsidR="00755F6C">
        <w:rPr>
          <w:i/>
        </w:rPr>
        <w:t xml:space="preserve">owners, </w:t>
      </w:r>
      <w:r w:rsidR="00C3254F" w:rsidRPr="00427BD2">
        <w:rPr>
          <w:i/>
        </w:rPr>
        <w:t xml:space="preserve">cooks and servers; unions were the driving force behind the movement.  </w:t>
      </w:r>
    </w:p>
    <w:p w14:paraId="14B3FFBA" w14:textId="03DDB55B" w:rsidR="00127AFB" w:rsidRPr="00427BD2" w:rsidRDefault="00C3254F" w:rsidP="00C3254F">
      <w:pPr>
        <w:ind w:firstLine="0"/>
        <w:rPr>
          <w:i/>
        </w:rPr>
      </w:pPr>
      <w:r w:rsidRPr="00427BD2">
        <w:rPr>
          <w:i/>
        </w:rPr>
        <w:t xml:space="preserve">The effort was creative; Chicago used anti-Chinese zoning, </w:t>
      </w:r>
      <w:r w:rsidR="007F6179" w:rsidRPr="00427BD2">
        <w:rPr>
          <w:i/>
        </w:rPr>
        <w:t xml:space="preserve">Los Angeles restricted restaurant jobs to citizens, </w:t>
      </w:r>
      <w:r w:rsidR="00337849">
        <w:rPr>
          <w:i/>
        </w:rPr>
        <w:t xml:space="preserve">Boston authorities decreed Chinese restaurants would be denied licenses, the </w:t>
      </w:r>
      <w:r w:rsidR="007F6179" w:rsidRPr="00427BD2">
        <w:rPr>
          <w:i/>
        </w:rPr>
        <w:t>New York</w:t>
      </w:r>
      <w:r w:rsidR="00337849">
        <w:rPr>
          <w:i/>
        </w:rPr>
        <w:t xml:space="preserve"> P</w:t>
      </w:r>
      <w:r w:rsidR="007F6179" w:rsidRPr="00427BD2">
        <w:rPr>
          <w:i/>
        </w:rPr>
        <w:t xml:space="preserve">olice </w:t>
      </w:r>
      <w:r w:rsidR="00337849">
        <w:rPr>
          <w:i/>
        </w:rPr>
        <w:t xml:space="preserve">Department </w:t>
      </w:r>
      <w:r w:rsidR="007F6179" w:rsidRPr="00427BD2">
        <w:rPr>
          <w:i/>
        </w:rPr>
        <w:t xml:space="preserve">simply ordered whites out of Chinatown.  Perhaps the most interesting </w:t>
      </w:r>
      <w:r w:rsidR="00755F6C">
        <w:rPr>
          <w:i/>
        </w:rPr>
        <w:t>technique</w:t>
      </w:r>
      <w:r w:rsidR="007F6179" w:rsidRPr="00427BD2">
        <w:rPr>
          <w:i/>
        </w:rPr>
        <w:t xml:space="preserve"> was a law, endorsed by the American Federation of Labor for adoption in all jurisdictions, prohibiting white women from working in Asian restaurants.  Most measures </w:t>
      </w:r>
      <w:r w:rsidR="008908C1" w:rsidRPr="00427BD2">
        <w:rPr>
          <w:i/>
        </w:rPr>
        <w:t xml:space="preserve">failed or </w:t>
      </w:r>
      <w:r w:rsidR="007F6179" w:rsidRPr="00427BD2">
        <w:rPr>
          <w:i/>
        </w:rPr>
        <w:t xml:space="preserve">were struck down.  </w:t>
      </w:r>
      <w:r w:rsidR="00C96116" w:rsidRPr="00427BD2">
        <w:rPr>
          <w:i/>
        </w:rPr>
        <w:t xml:space="preserve">However, Asians still lost; the unions </w:t>
      </w:r>
      <w:r w:rsidR="008E0DDF" w:rsidRPr="00427BD2">
        <w:rPr>
          <w:i/>
        </w:rPr>
        <w:t>did</w:t>
      </w:r>
      <w:r w:rsidR="008908C1" w:rsidRPr="00427BD2">
        <w:rPr>
          <w:i/>
        </w:rPr>
        <w:t xml:space="preserve"> not</w:t>
      </w:r>
      <w:r w:rsidR="00C96116" w:rsidRPr="00427BD2">
        <w:rPr>
          <w:i/>
        </w:rPr>
        <w:t xml:space="preserve"> eliminate Chinese restaurants, </w:t>
      </w:r>
      <w:r w:rsidR="00C96116" w:rsidRPr="00427BD2">
        <w:rPr>
          <w:i/>
        </w:rPr>
        <w:lastRenderedPageBreak/>
        <w:t xml:space="preserve">but they </w:t>
      </w:r>
      <w:r w:rsidR="00BF224F" w:rsidRPr="00427BD2">
        <w:rPr>
          <w:i/>
        </w:rPr>
        <w:t>achieved</w:t>
      </w:r>
      <w:r w:rsidR="00C96116" w:rsidRPr="00427BD2">
        <w:rPr>
          <w:i/>
        </w:rPr>
        <w:t xml:space="preserve"> their more important goal, extending the </w:t>
      </w:r>
      <w:r w:rsidR="00755F6C">
        <w:rPr>
          <w:i/>
        </w:rPr>
        <w:t xml:space="preserve">federal </w:t>
      </w:r>
      <w:r w:rsidR="00C96116" w:rsidRPr="00427BD2">
        <w:rPr>
          <w:i/>
        </w:rPr>
        <w:t xml:space="preserve">policy </w:t>
      </w:r>
      <w:r w:rsidR="008E0DDF" w:rsidRPr="00427BD2">
        <w:rPr>
          <w:i/>
        </w:rPr>
        <w:t xml:space="preserve">of racial exclusion </w:t>
      </w:r>
      <w:r w:rsidR="00755F6C">
        <w:rPr>
          <w:i/>
        </w:rPr>
        <w:t xml:space="preserve">in immigration </w:t>
      </w:r>
      <w:r w:rsidR="008E0DDF" w:rsidRPr="00427BD2">
        <w:rPr>
          <w:i/>
        </w:rPr>
        <w:t xml:space="preserve">from Chinese </w:t>
      </w:r>
      <w:r w:rsidR="00C96116" w:rsidRPr="00427BD2">
        <w:rPr>
          <w:i/>
        </w:rPr>
        <w:t xml:space="preserve">to all Asians.  </w:t>
      </w:r>
      <w:r w:rsidR="008908C1" w:rsidRPr="00427BD2">
        <w:rPr>
          <w:i/>
        </w:rPr>
        <w:t>The campaign is of more than historical interest. A</w:t>
      </w:r>
      <w:r w:rsidR="00C96116" w:rsidRPr="00427BD2">
        <w:rPr>
          <w:i/>
        </w:rPr>
        <w:t xml:space="preserve">s </w:t>
      </w:r>
      <w:r w:rsidR="00427BD2">
        <w:rPr>
          <w:i/>
        </w:rPr>
        <w:t>current</w:t>
      </w:r>
      <w:r w:rsidR="00C96116" w:rsidRPr="00427BD2">
        <w:rPr>
          <w:i/>
        </w:rPr>
        <w:t xml:space="preserve"> anti-immigration </w:t>
      </w:r>
      <w:r w:rsidR="00C46C1B" w:rsidRPr="00427BD2">
        <w:rPr>
          <w:i/>
        </w:rPr>
        <w:t>sentiments and efforts</w:t>
      </w:r>
      <w:r w:rsidR="00C96116" w:rsidRPr="00427BD2">
        <w:rPr>
          <w:i/>
        </w:rPr>
        <w:t xml:space="preserve"> show, </w:t>
      </w:r>
      <w:r w:rsidR="00BF0903">
        <w:rPr>
          <w:i/>
        </w:rPr>
        <w:t xml:space="preserve">even today </w:t>
      </w:r>
      <w:r w:rsidR="00C96116" w:rsidRPr="00427BD2">
        <w:rPr>
          <w:i/>
        </w:rPr>
        <w:t>the idea that white Americans should have a privileged place in the economy</w:t>
      </w:r>
      <w:r w:rsidR="00BF0903">
        <w:rPr>
          <w:i/>
        </w:rPr>
        <w:t xml:space="preserve">, or that non-whites are culturally incongruous, </w:t>
      </w:r>
      <w:r w:rsidR="00C96116" w:rsidRPr="00427BD2">
        <w:rPr>
          <w:i/>
        </w:rPr>
        <w:t>persist</w:t>
      </w:r>
      <w:r w:rsidR="00BF0903">
        <w:rPr>
          <w:i/>
        </w:rPr>
        <w:t>s</w:t>
      </w:r>
      <w:r w:rsidR="00C96116" w:rsidRPr="00427BD2">
        <w:rPr>
          <w:i/>
        </w:rPr>
        <w:t xml:space="preserve"> among some.</w:t>
      </w:r>
    </w:p>
    <w:p w14:paraId="36248221" w14:textId="2AC2A053" w:rsidR="00565411" w:rsidRPr="00AD652D" w:rsidRDefault="00127AFB" w:rsidP="00195169">
      <w:pPr>
        <w:pStyle w:val="Heading1"/>
        <w:numPr>
          <w:ilvl w:val="0"/>
          <w:numId w:val="0"/>
        </w:numPr>
        <w:spacing w:after="100" w:afterAutospacing="1"/>
      </w:pPr>
      <w:bookmarkStart w:id="1" w:name="_Toc411027409"/>
      <w:bookmarkStart w:id="2" w:name="_Toc411027410"/>
      <w:bookmarkStart w:id="3" w:name="_Toc411027659"/>
      <w:bookmarkStart w:id="4" w:name="_Toc411027943"/>
      <w:r w:rsidRPr="00AD652D">
        <w:t>Int</w:t>
      </w:r>
      <w:r w:rsidR="00FE1BC8" w:rsidRPr="00AD652D">
        <w:t>roduction</w:t>
      </w:r>
      <w:bookmarkEnd w:id="1"/>
      <w:bookmarkEnd w:id="2"/>
      <w:bookmarkEnd w:id="3"/>
      <w:bookmarkEnd w:id="4"/>
    </w:p>
    <w:p w14:paraId="7FB09322" w14:textId="79E0CCC9" w:rsidR="004A4F49" w:rsidRDefault="001B35FC" w:rsidP="0030524F">
      <w:pPr>
        <w:spacing w:after="100" w:afterAutospacing="1"/>
      </w:pPr>
      <w:r w:rsidRPr="00AD652D">
        <w:t xml:space="preserve">This </w:t>
      </w:r>
      <w:r w:rsidR="00A428BC" w:rsidRPr="00AD652D">
        <w:t>article</w:t>
      </w:r>
      <w:r w:rsidRPr="00AD652D">
        <w:t xml:space="preserve"> </w:t>
      </w:r>
      <w:r w:rsidR="00BF0893">
        <w:t>explores</w:t>
      </w:r>
      <w:r w:rsidR="00C334AB" w:rsidRPr="00AD652D">
        <w:t xml:space="preserve"> </w:t>
      </w:r>
      <w:r w:rsidR="00D6710A" w:rsidRPr="00AD652D">
        <w:t xml:space="preserve">a </w:t>
      </w:r>
      <w:r w:rsidR="00D30566" w:rsidRPr="00AD652D">
        <w:t>lost</w:t>
      </w:r>
      <w:r w:rsidR="00D6710A" w:rsidRPr="00AD652D">
        <w:t xml:space="preserve"> chapter in the </w:t>
      </w:r>
      <w:r w:rsidR="00903724">
        <w:t>history</w:t>
      </w:r>
      <w:r w:rsidR="00D6710A" w:rsidRPr="00AD652D">
        <w:t xml:space="preserve"> of </w:t>
      </w:r>
      <w:r w:rsidR="005C42AB" w:rsidRPr="00AD652D">
        <w:t>racial regulation in the United States</w:t>
      </w:r>
      <w:r w:rsidR="009E7E91" w:rsidRPr="00AD652D">
        <w:t xml:space="preserve">.  </w:t>
      </w:r>
      <w:r w:rsidR="004C05D7" w:rsidRPr="00AD652D">
        <w:t xml:space="preserve">For </w:t>
      </w:r>
      <w:r w:rsidR="00AB37BD" w:rsidRPr="00AD652D">
        <w:t xml:space="preserve">roughly </w:t>
      </w:r>
      <w:r w:rsidR="004C05D7" w:rsidRPr="00AD652D">
        <w:t xml:space="preserve">thirty years, </w:t>
      </w:r>
      <w:r w:rsidR="00AB37BD" w:rsidRPr="00AD652D">
        <w:t xml:space="preserve">in the last decade of the nineteenth century and the first decades of the twentieth, </w:t>
      </w:r>
      <w:r w:rsidR="009E7E91" w:rsidRPr="00AD652D">
        <w:t xml:space="preserve">a national movement </w:t>
      </w:r>
      <w:r w:rsidR="00A428BC" w:rsidRPr="00AD652D">
        <w:t>sought</w:t>
      </w:r>
      <w:r w:rsidR="009E7E91" w:rsidRPr="00AD652D">
        <w:t xml:space="preserve"> to </w:t>
      </w:r>
      <w:r w:rsidR="00543566">
        <w:t xml:space="preserve">use the law to </w:t>
      </w:r>
      <w:r w:rsidR="009E7E91" w:rsidRPr="00AD652D">
        <w:t xml:space="preserve">eliminate Chinese restaurants from the United States. </w:t>
      </w:r>
      <w:r w:rsidR="00A428BC" w:rsidRPr="00AD652D">
        <w:t xml:space="preserve"> </w:t>
      </w:r>
      <w:r w:rsidR="00D30566" w:rsidRPr="00AD652D">
        <w:t xml:space="preserve">This effort, </w:t>
      </w:r>
      <w:r w:rsidR="00DC24DE" w:rsidRPr="00AD652D">
        <w:t>described as a “war,”</w:t>
      </w:r>
      <w:bookmarkStart w:id="5" w:name="_Ref476152986"/>
      <w:r w:rsidR="00DC24DE" w:rsidRPr="00AD652D">
        <w:rPr>
          <w:rStyle w:val="FootnoteReference"/>
        </w:rPr>
        <w:footnoteReference w:id="4"/>
      </w:r>
      <w:bookmarkEnd w:id="5"/>
      <w:r w:rsidR="00DC24DE" w:rsidRPr="00AD652D">
        <w:t xml:space="preserve"> </w:t>
      </w:r>
      <w:r w:rsidR="00195169">
        <w:t xml:space="preserve">is </w:t>
      </w:r>
      <w:r w:rsidR="00D30566" w:rsidRPr="00AD652D">
        <w:t>largely unknown</w:t>
      </w:r>
      <w:bookmarkStart w:id="6" w:name="_Ref475451534"/>
      <w:r w:rsidR="00066020" w:rsidRPr="00AD652D">
        <w:t>.</w:t>
      </w:r>
      <w:bookmarkStart w:id="7" w:name="_Ref475540046"/>
      <w:r w:rsidR="000A26B7" w:rsidRPr="00AD652D">
        <w:rPr>
          <w:rStyle w:val="FootnoteReference"/>
        </w:rPr>
        <w:footnoteReference w:id="5"/>
      </w:r>
      <w:bookmarkEnd w:id="6"/>
      <w:bookmarkEnd w:id="7"/>
      <w:r w:rsidR="00066020" w:rsidRPr="00AD652D">
        <w:t xml:space="preserve"> </w:t>
      </w:r>
      <w:r w:rsidR="00301FE9">
        <w:t xml:space="preserve"> </w:t>
      </w:r>
    </w:p>
    <w:p w14:paraId="4327B3D1" w14:textId="7009341B" w:rsidR="00387F8B" w:rsidRPr="00AD652D" w:rsidRDefault="006F2B01" w:rsidP="0030524F">
      <w:pPr>
        <w:spacing w:after="100" w:afterAutospacing="1"/>
      </w:pPr>
      <w:r>
        <w:lastRenderedPageBreak/>
        <w:t xml:space="preserve">Chinese restaurants </w:t>
      </w:r>
      <w:r w:rsidR="00301FE9">
        <w:t xml:space="preserve">were </w:t>
      </w:r>
      <w:r>
        <w:t>“</w:t>
      </w:r>
      <w:r w:rsidR="00387F8B" w:rsidRPr="00AD652D">
        <w:t>a serious menace to society</w:t>
      </w:r>
      <w:r>
        <w:t xml:space="preserve">” </w:t>
      </w:r>
      <w:r w:rsidR="00301FE9">
        <w:t xml:space="preserve">for </w:t>
      </w:r>
      <w:r>
        <w:t>two reasons.</w:t>
      </w:r>
      <w:bookmarkStart w:id="8" w:name="_Ref476153281"/>
      <w:r w:rsidR="00387F8B" w:rsidRPr="00AD652D">
        <w:rPr>
          <w:rStyle w:val="FootnoteReference"/>
        </w:rPr>
        <w:footnoteReference w:id="6"/>
      </w:r>
      <w:bookmarkEnd w:id="8"/>
      <w:r w:rsidR="00387F8B" w:rsidRPr="00387F8B">
        <w:t xml:space="preserve"> </w:t>
      </w:r>
      <w:r w:rsidR="00FB7C9F">
        <w:t>First, by employing Chinese</w:t>
      </w:r>
      <w:r w:rsidR="004A4F49">
        <w:t xml:space="preserve"> workers and successfully competing with other restaurants,</w:t>
      </w:r>
      <w:r w:rsidR="00FB7C9F">
        <w:t xml:space="preserve"> </w:t>
      </w:r>
      <w:r w:rsidR="0030524F">
        <w:t xml:space="preserve">white unionists claimed </w:t>
      </w:r>
      <w:r w:rsidR="00FB7C9F">
        <w:t>the restaurants</w:t>
      </w:r>
      <w:r w:rsidR="0030524F">
        <w:t xml:space="preserve"> denied “</w:t>
      </w:r>
      <w:r w:rsidR="00A01A47" w:rsidRPr="00E343EA">
        <w:t>our own race a chance to live.</w:t>
      </w:r>
      <w:r w:rsidR="00A01A47">
        <w:t>”</w:t>
      </w:r>
      <w:bookmarkStart w:id="9" w:name="_Ref476153885"/>
      <w:r w:rsidR="0030524F">
        <w:rPr>
          <w:rStyle w:val="FootnoteReference"/>
        </w:rPr>
        <w:footnoteReference w:id="7"/>
      </w:r>
      <w:bookmarkEnd w:id="9"/>
      <w:r w:rsidRPr="006F2B01">
        <w:t xml:space="preserve"> </w:t>
      </w:r>
      <w:r w:rsidR="0030524F">
        <w:t xml:space="preserve"> Chinese restaurants were also morally hazardous</w:t>
      </w:r>
      <w:r w:rsidR="00CF1374">
        <w:t xml:space="preserve"> to white women</w:t>
      </w:r>
      <w:r w:rsidR="0030524F">
        <w:t>; o</w:t>
      </w:r>
      <w:r w:rsidRPr="00AD652D">
        <w:t xml:space="preserve">ne observer </w:t>
      </w:r>
      <w:r>
        <w:t>noted</w:t>
      </w:r>
      <w:r w:rsidRPr="00AD652D">
        <w:t xml:space="preserve"> that “[b]eer and noodles in Chinese joints have caused the downfall of countless American girls</w:t>
      </w:r>
      <w:r>
        <w:t>.</w:t>
      </w:r>
      <w:r w:rsidRPr="00AD652D">
        <w:t>”</w:t>
      </w:r>
      <w:bookmarkStart w:id="10" w:name="_Ref476154556"/>
      <w:r w:rsidRPr="00AD652D">
        <w:rPr>
          <w:rStyle w:val="FootnoteReference"/>
        </w:rPr>
        <w:footnoteReference w:id="8"/>
      </w:r>
      <w:bookmarkEnd w:id="10"/>
      <w:r w:rsidR="00301FE9" w:rsidRPr="00301FE9">
        <w:t xml:space="preserve"> </w:t>
      </w:r>
      <w:r w:rsidR="00027419">
        <w:t xml:space="preserve"> </w:t>
      </w:r>
      <w:r w:rsidR="00E21C4A">
        <w:t>Accordingly,</w:t>
      </w:r>
      <w:r w:rsidR="00027419">
        <w:t xml:space="preserve"> many Americans recognized </w:t>
      </w:r>
      <w:r w:rsidR="00027419" w:rsidRPr="00AD652D">
        <w:t xml:space="preserve">“the necessity for stamping out” </w:t>
      </w:r>
      <w:r w:rsidR="00027419">
        <w:t xml:space="preserve">the </w:t>
      </w:r>
      <w:r w:rsidR="00301FE9" w:rsidRPr="00AD652D">
        <w:t>“iniquitous Chinese Chop Suey joints</w:t>
      </w:r>
      <w:r w:rsidR="004A4F49">
        <w:t>.</w:t>
      </w:r>
      <w:r w:rsidR="00301FE9" w:rsidRPr="00AD652D">
        <w:t>”</w:t>
      </w:r>
      <w:bookmarkStart w:id="11" w:name="_Ref476154648"/>
      <w:r w:rsidR="00301FE9" w:rsidRPr="00AD652D">
        <w:rPr>
          <w:vertAlign w:val="superscript"/>
        </w:rPr>
        <w:footnoteReference w:id="9"/>
      </w:r>
      <w:bookmarkEnd w:id="11"/>
    </w:p>
    <w:p w14:paraId="746EBC38" w14:textId="7197CA75" w:rsidR="001833D0" w:rsidRPr="00AD652D" w:rsidRDefault="00027419" w:rsidP="00BF0893">
      <w:pPr>
        <w:spacing w:after="100" w:afterAutospacing="1"/>
        <w:ind w:firstLine="0"/>
      </w:pPr>
      <w:r>
        <w:tab/>
      </w:r>
      <w:r w:rsidR="009E7E91" w:rsidRPr="00AD652D">
        <w:t>Th</w:t>
      </w:r>
      <w:r w:rsidR="006B172C" w:rsidRPr="00AD652D">
        <w:t>e</w:t>
      </w:r>
      <w:r w:rsidR="009E7E91" w:rsidRPr="00AD652D">
        <w:t xml:space="preserve"> </w:t>
      </w:r>
      <w:r w:rsidR="006B172C" w:rsidRPr="00AD652D">
        <w:t>effort</w:t>
      </w:r>
      <w:r w:rsidR="009E7E91" w:rsidRPr="00AD652D">
        <w:t xml:space="preserve"> </w:t>
      </w:r>
      <w:r w:rsidR="00FF63B5" w:rsidRPr="00AD652D">
        <w:t>failed</w:t>
      </w:r>
      <w:r w:rsidR="009E7E91" w:rsidRPr="00AD652D">
        <w:t xml:space="preserve">; </w:t>
      </w:r>
      <w:r w:rsidR="00661FF5" w:rsidRPr="00AD652D">
        <w:t>“</w:t>
      </w:r>
      <w:r w:rsidR="008E389C" w:rsidRPr="00AD652D">
        <w:t>there are more Chinese restaurants in the United States than McDonald</w:t>
      </w:r>
      <w:r w:rsidR="00661FF5" w:rsidRPr="00AD652D">
        <w:t>’</w:t>
      </w:r>
      <w:r w:rsidR="008E389C" w:rsidRPr="00AD652D">
        <w:t>s, Burger King, and KFC restaurants combined.</w:t>
      </w:r>
      <w:r w:rsidR="00661FF5" w:rsidRPr="00AD652D">
        <w:t>”</w:t>
      </w:r>
      <w:r w:rsidR="001833D0" w:rsidRPr="00AD652D">
        <w:rPr>
          <w:rStyle w:val="FootnoteReference"/>
        </w:rPr>
        <w:footnoteReference w:id="10"/>
      </w:r>
      <w:r w:rsidR="009E7E91" w:rsidRPr="00AD652D">
        <w:t xml:space="preserve">  </w:t>
      </w:r>
      <w:r w:rsidR="003A1B68" w:rsidRPr="00AD652D">
        <w:t xml:space="preserve">But the </w:t>
      </w:r>
      <w:r w:rsidR="006B172C" w:rsidRPr="00AD652D">
        <w:t>campaign</w:t>
      </w:r>
      <w:r w:rsidR="003A1B68" w:rsidRPr="00AD652D">
        <w:t xml:space="preserve">, unsuccessful in its </w:t>
      </w:r>
      <w:r w:rsidR="00A62838">
        <w:t xml:space="preserve">nominal </w:t>
      </w:r>
      <w:r w:rsidR="003A1B68" w:rsidRPr="00AD652D">
        <w:t xml:space="preserve">goal, </w:t>
      </w:r>
      <w:r w:rsidR="001833D0" w:rsidRPr="00AD652D">
        <w:t xml:space="preserve">helped propagate the idea of Chinese as morally </w:t>
      </w:r>
      <w:r w:rsidR="00A62838">
        <w:t xml:space="preserve">and economically </w:t>
      </w:r>
      <w:r w:rsidR="001833D0" w:rsidRPr="00AD652D">
        <w:t xml:space="preserve">dangerous, and </w:t>
      </w:r>
      <w:r w:rsidR="005E4ED9" w:rsidRPr="00AD652D">
        <w:t>contributed to the passage of</w:t>
      </w:r>
      <w:r w:rsidR="001833D0" w:rsidRPr="00AD652D">
        <w:t xml:space="preserve"> the Immigration Act</w:t>
      </w:r>
      <w:r w:rsidR="00A428BC" w:rsidRPr="00AD652D">
        <w:t>s</w:t>
      </w:r>
      <w:r w:rsidR="001833D0" w:rsidRPr="00AD652D">
        <w:t xml:space="preserve"> of </w:t>
      </w:r>
      <w:r w:rsidR="00A428BC" w:rsidRPr="00AD652D">
        <w:t>1917</w:t>
      </w:r>
      <w:r w:rsidR="006605F9">
        <w:rPr>
          <w:rStyle w:val="FootnoteReference"/>
        </w:rPr>
        <w:footnoteReference w:id="11"/>
      </w:r>
      <w:r w:rsidR="00A428BC" w:rsidRPr="00AD652D">
        <w:t xml:space="preserve"> and </w:t>
      </w:r>
      <w:r w:rsidR="001833D0" w:rsidRPr="00AD652D">
        <w:t>1924</w:t>
      </w:r>
      <w:r w:rsidR="005E4ED9" w:rsidRPr="00AD652D">
        <w:t>,</w:t>
      </w:r>
      <w:r w:rsidR="006605F9">
        <w:rPr>
          <w:rStyle w:val="FootnoteReference"/>
        </w:rPr>
        <w:footnoteReference w:id="12"/>
      </w:r>
      <w:r w:rsidR="005E4ED9" w:rsidRPr="00AD652D">
        <w:t xml:space="preserve"> which almost completely eliminated Asian immigration to the United States</w:t>
      </w:r>
      <w:r w:rsidR="001833D0" w:rsidRPr="00AD652D">
        <w:t xml:space="preserve">. </w:t>
      </w:r>
    </w:p>
    <w:p w14:paraId="7CCEB5C2" w14:textId="0CA7B404" w:rsidR="00344331" w:rsidRPr="00AD652D" w:rsidRDefault="006F0B20" w:rsidP="00EB7E6D">
      <w:pPr>
        <w:spacing w:after="100" w:afterAutospacing="1"/>
        <w:ind w:firstLine="0"/>
      </w:pPr>
      <w:r w:rsidRPr="00AD652D">
        <w:tab/>
      </w:r>
      <w:r w:rsidR="00195169">
        <w:t xml:space="preserve">The movement </w:t>
      </w:r>
      <w:r w:rsidR="00A62838">
        <w:t xml:space="preserve">against Chinese restaurants </w:t>
      </w:r>
      <w:r w:rsidR="00195169">
        <w:t xml:space="preserve">was led by labor unions.  </w:t>
      </w:r>
      <w:r w:rsidR="001B35FC" w:rsidRPr="00AD652D">
        <w:t xml:space="preserve">Part I discusses </w:t>
      </w:r>
      <w:r w:rsidR="002A7FD7">
        <w:t xml:space="preserve">early important techniques, riot and </w:t>
      </w:r>
      <w:r w:rsidR="00300761" w:rsidRPr="00AD652D">
        <w:t>boycott</w:t>
      </w:r>
      <w:r w:rsidR="00834AC0" w:rsidRPr="00AD652D">
        <w:t>.</w:t>
      </w:r>
      <w:r w:rsidR="00D96680">
        <w:rPr>
          <w:rStyle w:val="FootnoteReference"/>
        </w:rPr>
        <w:footnoteReference w:id="13"/>
      </w:r>
      <w:r w:rsidR="00761439" w:rsidRPr="00AD652D">
        <w:t xml:space="preserve">  </w:t>
      </w:r>
      <w:r w:rsidR="00A62838">
        <w:t>Boycotts were at best partially successful. P</w:t>
      </w:r>
      <w:r w:rsidR="002A7FD7">
        <w:t xml:space="preserve">rotection of </w:t>
      </w:r>
      <w:r w:rsidR="002A7FD7">
        <w:lastRenderedPageBreak/>
        <w:t xml:space="preserve">white women from </w:t>
      </w:r>
      <w:r w:rsidR="00387A36">
        <w:t>sexual</w:t>
      </w:r>
      <w:r w:rsidR="002A7FD7">
        <w:t xml:space="preserve"> exploitation </w:t>
      </w:r>
      <w:r w:rsidR="00A62838">
        <w:t xml:space="preserve">emerged as a key rationale </w:t>
      </w:r>
      <w:r w:rsidR="00D96680">
        <w:t>for suppression.</w:t>
      </w:r>
      <w:r w:rsidR="00D03DA0">
        <w:rPr>
          <w:rStyle w:val="FootnoteReference"/>
        </w:rPr>
        <w:footnoteReference w:id="14"/>
      </w:r>
      <w:r w:rsidR="00D96680">
        <w:t xml:space="preserve">  </w:t>
      </w:r>
      <w:r w:rsidR="00D03DA0">
        <w:t xml:space="preserve">Concern with the moral dangers of Chinese was dramatically escalated </w:t>
      </w:r>
      <w:r w:rsidR="006C0AA7">
        <w:t xml:space="preserve">in 1909 </w:t>
      </w:r>
      <w:r w:rsidR="00D03DA0">
        <w:t xml:space="preserve">after </w:t>
      </w:r>
      <w:r w:rsidR="001B35FC" w:rsidRPr="00AD652D">
        <w:t>Elsie Sigel</w:t>
      </w:r>
      <w:r w:rsidR="00761439" w:rsidRPr="00AD652D">
        <w:t xml:space="preserve">, </w:t>
      </w:r>
      <w:r w:rsidR="002302AB" w:rsidRPr="00AD652D">
        <w:t>grand</w:t>
      </w:r>
      <w:r w:rsidR="00761439" w:rsidRPr="00AD652D">
        <w:t xml:space="preserve">daughter of a Union general, </w:t>
      </w:r>
      <w:r w:rsidR="006C0AA7">
        <w:t xml:space="preserve">was murdered </w:t>
      </w:r>
      <w:r w:rsidR="00761439" w:rsidRPr="00AD652D">
        <w:t xml:space="preserve">by a </w:t>
      </w:r>
      <w:r w:rsidR="00A40D4A" w:rsidRPr="00AD652D">
        <w:t xml:space="preserve">New York </w:t>
      </w:r>
      <w:r w:rsidR="00761439" w:rsidRPr="00AD652D">
        <w:t>Chinese restaurant worker</w:t>
      </w:r>
      <w:r w:rsidR="00B92062" w:rsidRPr="00AD652D">
        <w:t xml:space="preserve"> </w:t>
      </w:r>
      <w:r w:rsidR="00761439" w:rsidRPr="00AD652D">
        <w:t xml:space="preserve">who had </w:t>
      </w:r>
      <w:r w:rsidR="00661FF5" w:rsidRPr="00AD652D">
        <w:t>“</w:t>
      </w:r>
      <w:r w:rsidR="00761439" w:rsidRPr="00AD652D">
        <w:t>seduced</w:t>
      </w:r>
      <w:r w:rsidR="00661FF5" w:rsidRPr="00AD652D">
        <w:t>”</w:t>
      </w:r>
      <w:r w:rsidR="00761439" w:rsidRPr="00AD652D">
        <w:t xml:space="preserve"> her.</w:t>
      </w:r>
      <w:r w:rsidR="00387A36">
        <w:rPr>
          <w:rStyle w:val="FootnoteReference"/>
        </w:rPr>
        <w:footnoteReference w:id="15"/>
      </w:r>
      <w:r w:rsidR="00761439" w:rsidRPr="00AD652D">
        <w:t xml:space="preserve">  </w:t>
      </w:r>
      <w:r w:rsidR="00D03DA0">
        <w:t>T</w:t>
      </w:r>
      <w:r w:rsidR="00761439" w:rsidRPr="00AD652D">
        <w:t xml:space="preserve">he case </w:t>
      </w:r>
      <w:r w:rsidR="0039008B" w:rsidRPr="00AD652D">
        <w:t>made</w:t>
      </w:r>
      <w:r w:rsidR="00761439" w:rsidRPr="00AD652D">
        <w:t xml:space="preserve"> the problem of moral contagion presented by Chinese restaurants </w:t>
      </w:r>
      <w:r w:rsidR="0039008B" w:rsidRPr="00AD652D">
        <w:t>a prominent national issue</w:t>
      </w:r>
      <w:r w:rsidR="00834AC0" w:rsidRPr="00AD652D">
        <w:t xml:space="preserve">, and </w:t>
      </w:r>
      <w:r w:rsidR="009A04FC">
        <w:t>prompted</w:t>
      </w:r>
      <w:r w:rsidR="00FC56C9" w:rsidRPr="00AD652D">
        <w:t xml:space="preserve"> new</w:t>
      </w:r>
      <w:r w:rsidR="00834AC0" w:rsidRPr="00AD652D">
        <w:t xml:space="preserve"> efforts to </w:t>
      </w:r>
      <w:r w:rsidR="0095440C" w:rsidRPr="00AD652D">
        <w:t>regulate Chinese restaurants</w:t>
      </w:r>
      <w:r w:rsidR="0039008B" w:rsidRPr="00AD652D">
        <w:t>.</w:t>
      </w:r>
      <w:r w:rsidR="00F92ED0">
        <w:rPr>
          <w:rStyle w:val="FootnoteReference"/>
        </w:rPr>
        <w:footnoteReference w:id="16"/>
      </w:r>
      <w:r w:rsidR="009A04FC">
        <w:t xml:space="preserve">  </w:t>
      </w:r>
      <w:r w:rsidR="002D1358">
        <w:t xml:space="preserve">Part II discusses </w:t>
      </w:r>
      <w:r w:rsidR="009A04FC">
        <w:t>the white women’s labor bill, which prohibited women from working for Chinese or patronizing Chinese restaurants.</w:t>
      </w:r>
      <w:r w:rsidR="002D1358">
        <w:t xml:space="preserve">  Other methods of regulation included </w:t>
      </w:r>
      <w:r w:rsidR="00FA00F5" w:rsidRPr="00AD652D">
        <w:t>police</w:t>
      </w:r>
      <w:r w:rsidR="002D1358">
        <w:t xml:space="preserve">-enforced segregation, and </w:t>
      </w:r>
      <w:r w:rsidR="00FA00F5" w:rsidRPr="00AD652D">
        <w:t xml:space="preserve">discriminatory licensing </w:t>
      </w:r>
      <w:r w:rsidR="00946008">
        <w:t>and</w:t>
      </w:r>
      <w:r w:rsidR="00FA00F5" w:rsidRPr="00AD652D">
        <w:t xml:space="preserve"> enforcement practices.</w:t>
      </w:r>
      <w:r w:rsidR="003360C4">
        <w:rPr>
          <w:rStyle w:val="FootnoteReference"/>
        </w:rPr>
        <w:footnoteReference w:id="17"/>
      </w:r>
      <w:r w:rsidR="003360C4">
        <w:t xml:space="preserve"> </w:t>
      </w:r>
      <w:r w:rsidR="003B52A0" w:rsidRPr="00AD652D">
        <w:t xml:space="preserve"> </w:t>
      </w:r>
    </w:p>
    <w:p w14:paraId="4727C0C1" w14:textId="774A24AF" w:rsidR="00B72EBC" w:rsidRDefault="00182B99" w:rsidP="00195169">
      <w:pPr>
        <w:spacing w:after="100" w:afterAutospacing="1"/>
      </w:pPr>
      <w:r w:rsidRPr="00AD652D">
        <w:t>Part I</w:t>
      </w:r>
      <w:r w:rsidR="00811F3B" w:rsidRPr="00AD652D">
        <w:t>II</w:t>
      </w:r>
      <w:r w:rsidR="001B35FC" w:rsidRPr="00AD652D">
        <w:t xml:space="preserve"> discusses the </w:t>
      </w:r>
      <w:r w:rsidR="003360C4">
        <w:t>end of the war.</w:t>
      </w:r>
      <w:r w:rsidR="0026396C">
        <w:rPr>
          <w:rStyle w:val="FootnoteReference"/>
        </w:rPr>
        <w:footnoteReference w:id="18"/>
      </w:r>
      <w:r w:rsidR="0026396C">
        <w:t xml:space="preserve"> </w:t>
      </w:r>
      <w:r w:rsidR="003360C4">
        <w:t xml:space="preserve"> For the most part, the legal efforts to suppress Chinese restaurants failed</w:t>
      </w:r>
      <w:r w:rsidR="004D1E90">
        <w:t>, and Chinese restaurants became an accepted</w:t>
      </w:r>
      <w:r w:rsidR="002F5D49">
        <w:t>, even traditional, feature of American society</w:t>
      </w:r>
      <w:r w:rsidR="003360C4">
        <w:t xml:space="preserve">. Yet, the primary goal of the unions was achieved.  </w:t>
      </w:r>
      <w:r w:rsidR="00B72EBC">
        <w:t xml:space="preserve">Congress enacted laws restricting </w:t>
      </w:r>
      <w:r w:rsidR="00274A09">
        <w:t xml:space="preserve">not just Chinese but </w:t>
      </w:r>
      <w:r w:rsidR="00B72EBC">
        <w:t xml:space="preserve">all Asian immigration, with the </w:t>
      </w:r>
      <w:r w:rsidR="002F5D49">
        <w:t>aim</w:t>
      </w:r>
      <w:r w:rsidR="00B72EBC">
        <w:t xml:space="preserve"> of permanently ending Asian competition with white labor.</w:t>
      </w:r>
      <w:r w:rsidR="00F92ED0">
        <w:rPr>
          <w:rStyle w:val="FootnoteReference"/>
        </w:rPr>
        <w:footnoteReference w:id="19"/>
      </w:r>
      <w:r w:rsidR="00B72EBC">
        <w:t xml:space="preserve">  </w:t>
      </w:r>
    </w:p>
    <w:p w14:paraId="784A446E" w14:textId="224709ED" w:rsidR="001B35FC" w:rsidRPr="00AD652D" w:rsidRDefault="0056312E" w:rsidP="008F0874">
      <w:pPr>
        <w:spacing w:after="100" w:afterAutospacing="1"/>
      </w:pPr>
      <w:r>
        <w:t xml:space="preserve">The </w:t>
      </w:r>
      <w:r w:rsidR="006C0AA7">
        <w:t>article</w:t>
      </w:r>
      <w:r>
        <w:t xml:space="preserve"> concludes by </w:t>
      </w:r>
      <w:r w:rsidR="00C5173D" w:rsidRPr="00AD652D">
        <w:t>explor</w:t>
      </w:r>
      <w:r>
        <w:t>ing</w:t>
      </w:r>
      <w:r w:rsidR="00C5173D" w:rsidRPr="00AD652D">
        <w:t xml:space="preserve"> the implications of this episod</w:t>
      </w:r>
      <w:r w:rsidR="00371F8D">
        <w:t>e for American race law</w:t>
      </w:r>
      <w:r w:rsidR="00C5173D" w:rsidRPr="00AD652D">
        <w:t>.</w:t>
      </w:r>
      <w:r w:rsidR="0064511E">
        <w:rPr>
          <w:rStyle w:val="FootnoteReference"/>
        </w:rPr>
        <w:footnoteReference w:id="20"/>
      </w:r>
      <w:r w:rsidR="00B350CC">
        <w:t xml:space="preserve">  </w:t>
      </w:r>
      <w:r w:rsidR="003914FB">
        <w:t xml:space="preserve">The story is of historical interest, but it also reflects continuing contemporary </w:t>
      </w:r>
      <w:r w:rsidR="00F92ED0">
        <w:t>controversies</w:t>
      </w:r>
      <w:r w:rsidR="003914FB">
        <w:t xml:space="preserve">.  </w:t>
      </w:r>
      <w:r w:rsidR="00B350CC">
        <w:t xml:space="preserve">One </w:t>
      </w:r>
      <w:r w:rsidR="003914FB">
        <w:t>issue</w:t>
      </w:r>
      <w:r w:rsidR="00B350CC">
        <w:t xml:space="preserve"> is the persistence </w:t>
      </w:r>
      <w:r w:rsidR="00946008">
        <w:t xml:space="preserve">sense of some in the United States that </w:t>
      </w:r>
      <w:r w:rsidR="003914FB">
        <w:t xml:space="preserve">the national </w:t>
      </w:r>
      <w:r w:rsidR="006C0AA7">
        <w:t xml:space="preserve">policy </w:t>
      </w:r>
      <w:r w:rsidR="003914FB">
        <w:t xml:space="preserve">should be dedicated to the benefit of whites.  </w:t>
      </w:r>
      <w:r w:rsidR="00CA6ADB">
        <w:t xml:space="preserve">It also </w:t>
      </w:r>
      <w:r w:rsidR="00FA686F">
        <w:t>sheds light on</w:t>
      </w:r>
      <w:r w:rsidR="00CA6ADB">
        <w:t xml:space="preserve"> the depth and persistence of racism </w:t>
      </w:r>
      <w:r w:rsidR="008F0874">
        <w:t xml:space="preserve">and hostility toward immigrants </w:t>
      </w:r>
      <w:r w:rsidR="00CA6ADB">
        <w:t>in the United States.</w:t>
      </w:r>
      <w:r w:rsidR="00B350CC">
        <w:t xml:space="preserve"> </w:t>
      </w:r>
      <w:r w:rsidR="0064511E">
        <w:t xml:space="preserve"> </w:t>
      </w:r>
      <w:r w:rsidR="001B35FC" w:rsidRPr="00AD652D">
        <w:t xml:space="preserve">    </w:t>
      </w:r>
      <w:r w:rsidR="00A60A75" w:rsidRPr="00AD652D">
        <w:t xml:space="preserve">  </w:t>
      </w:r>
    </w:p>
    <w:p w14:paraId="4F6457FF" w14:textId="566E2875" w:rsidR="005D2E4F" w:rsidRPr="00AD652D" w:rsidRDefault="00182B99" w:rsidP="00195169">
      <w:pPr>
        <w:pStyle w:val="Heading1"/>
        <w:spacing w:after="100" w:afterAutospacing="1"/>
      </w:pPr>
      <w:bookmarkStart w:id="12" w:name="_Toc411027411"/>
      <w:bookmarkStart w:id="13" w:name="_Toc411027660"/>
      <w:bookmarkStart w:id="14" w:name="_Toc411027944"/>
      <w:r w:rsidRPr="00AD652D">
        <w:t xml:space="preserve">Labor Unions &amp; </w:t>
      </w:r>
      <w:r w:rsidR="00565411" w:rsidRPr="00AD652D">
        <w:t>The Chinese Restaurant Threat</w:t>
      </w:r>
      <w:bookmarkEnd w:id="12"/>
      <w:bookmarkEnd w:id="13"/>
      <w:bookmarkEnd w:id="14"/>
    </w:p>
    <w:p w14:paraId="09C7FA10" w14:textId="557CB770" w:rsidR="00C763C9" w:rsidRDefault="00C763C9" w:rsidP="00195169">
      <w:pPr>
        <w:spacing w:after="100" w:afterAutospacing="1"/>
      </w:pPr>
      <w:r>
        <w:t>A. Union Opposition to Chinese Restaurants.</w:t>
      </w:r>
    </w:p>
    <w:p w14:paraId="5B05660D" w14:textId="39AEEC65" w:rsidR="002C0D21" w:rsidRPr="00AD652D" w:rsidRDefault="0064511E" w:rsidP="00195169">
      <w:pPr>
        <w:spacing w:after="100" w:afterAutospacing="1"/>
      </w:pPr>
      <w:r>
        <w:lastRenderedPageBreak/>
        <w:t>For most of United States history, the borders were open.</w:t>
      </w:r>
      <w:r w:rsidR="00AB58B8">
        <w:rPr>
          <w:rStyle w:val="FootnoteReference"/>
        </w:rPr>
        <w:footnoteReference w:id="21"/>
      </w:r>
      <w:r>
        <w:t xml:space="preserve">  </w:t>
      </w:r>
      <w:r w:rsidR="00274A09" w:rsidRPr="00AD652D">
        <w:t>Although criminal conviction, disease and certain other characteristics disqualified a prospective immigrant,</w:t>
      </w:r>
      <w:r w:rsidR="00274A09">
        <w:t xml:space="preserve"> u</w:t>
      </w:r>
      <w:r w:rsidR="00773CFD" w:rsidRPr="00AD652D">
        <w:t>ntil 1921, there were no numerical limitations on immigration</w:t>
      </w:r>
      <w:r w:rsidR="002C3CF8" w:rsidRPr="00AD652D">
        <w:t>.</w:t>
      </w:r>
      <w:r w:rsidR="00AB58B8">
        <w:rPr>
          <w:rStyle w:val="FootnoteReference"/>
        </w:rPr>
        <w:footnoteReference w:id="22"/>
      </w:r>
      <w:r w:rsidR="00014EB7" w:rsidRPr="00AD652D">
        <w:t xml:space="preserve">  The </w:t>
      </w:r>
      <w:r w:rsidR="002C3CF8" w:rsidRPr="00AD652D">
        <w:t>open-border policy applied to all races except Asians</w:t>
      </w:r>
      <w:r w:rsidR="00014EB7" w:rsidRPr="00AD652D">
        <w:t>.</w:t>
      </w:r>
      <w:bookmarkStart w:id="15" w:name="_Ref476063289"/>
      <w:r w:rsidR="005871FC">
        <w:rPr>
          <w:rStyle w:val="FootnoteReference"/>
        </w:rPr>
        <w:footnoteReference w:id="23"/>
      </w:r>
      <w:bookmarkEnd w:id="15"/>
      <w:r w:rsidR="00014EB7" w:rsidRPr="00AD652D">
        <w:t xml:space="preserve">  Particular</w:t>
      </w:r>
      <w:r w:rsidR="00927C91" w:rsidRPr="00AD652D">
        <w:t>l</w:t>
      </w:r>
      <w:r w:rsidR="00014EB7" w:rsidRPr="00AD652D">
        <w:t xml:space="preserve">y in the Western United States, </w:t>
      </w:r>
      <w:r w:rsidR="00927C91" w:rsidRPr="00AD652D">
        <w:t xml:space="preserve">political, moral and economic considerations led </w:t>
      </w:r>
      <w:r w:rsidR="00175BEB">
        <w:t xml:space="preserve">to </w:t>
      </w:r>
      <w:r w:rsidR="00927C91" w:rsidRPr="00AD652D">
        <w:t xml:space="preserve">a </w:t>
      </w:r>
      <w:r w:rsidR="00777257">
        <w:t xml:space="preserve">perceived </w:t>
      </w:r>
      <w:r w:rsidR="00661FF5" w:rsidRPr="00AD652D">
        <w:t>“</w:t>
      </w:r>
      <w:r w:rsidR="00927C91" w:rsidRPr="00AD652D">
        <w:t>Yellow Peril,</w:t>
      </w:r>
      <w:r w:rsidR="00661FF5" w:rsidRPr="00AD652D">
        <w:t>”</w:t>
      </w:r>
      <w:r w:rsidR="00927C91" w:rsidRPr="00AD652D">
        <w:t xml:space="preserve"> the danger that untold numbers of racially dangerous Asians could come to the United States and undermine its basic character. </w:t>
      </w:r>
      <w:r w:rsidR="00AB58B8">
        <w:t xml:space="preserve"> </w:t>
      </w:r>
      <w:r w:rsidR="00777257" w:rsidRPr="00AD652D">
        <w:t xml:space="preserve">Thus, while immigration in general was not numerically limited, Asian immigration was tightly controlled.  </w:t>
      </w:r>
      <w:r w:rsidR="00695B9D" w:rsidRPr="00AD652D">
        <w:t xml:space="preserve">Of course, in the late Nineteenth Century, United States </w:t>
      </w:r>
      <w:r w:rsidR="00590F2B" w:rsidRPr="00AD652D">
        <w:t xml:space="preserve">law </w:t>
      </w:r>
      <w:r w:rsidR="00777257">
        <w:t xml:space="preserve">also </w:t>
      </w:r>
      <w:r w:rsidR="00AB58B8">
        <w:t>resolved</w:t>
      </w:r>
      <w:r w:rsidR="00695B9D" w:rsidRPr="00AD652D">
        <w:t xml:space="preserve"> the fate of other non-white racial groups, Indians and African Americans.</w:t>
      </w:r>
      <w:r w:rsidR="00876025" w:rsidRPr="00AD652D">
        <w:rPr>
          <w:rStyle w:val="FootnoteReference"/>
        </w:rPr>
        <w:footnoteReference w:id="24"/>
      </w:r>
      <w:r w:rsidR="00927C91" w:rsidRPr="00AD652D">
        <w:t xml:space="preserve">  </w:t>
      </w:r>
    </w:p>
    <w:p w14:paraId="5AA91AD5" w14:textId="6605074B" w:rsidR="00C47D00" w:rsidRPr="00AD652D" w:rsidRDefault="002C3CF8" w:rsidP="00195169">
      <w:pPr>
        <w:spacing w:after="100" w:afterAutospacing="1"/>
      </w:pPr>
      <w:r w:rsidRPr="00AD652D">
        <w:t>Congress passed t</w:t>
      </w:r>
      <w:r w:rsidR="00DD5BB3" w:rsidRPr="00AD652D">
        <w:t>he Chinese Exclusion Act in 1882</w:t>
      </w:r>
      <w:r w:rsidR="00F92ED0">
        <w:t>,</w:t>
      </w:r>
      <w:r w:rsidR="001E38C0">
        <w:rPr>
          <w:rStyle w:val="FootnoteReference"/>
        </w:rPr>
        <w:footnoteReference w:id="25"/>
      </w:r>
      <w:r w:rsidR="007B0358" w:rsidRPr="00AD652D">
        <w:t xml:space="preserve"> </w:t>
      </w:r>
      <w:r w:rsidR="00F92ED0">
        <w:t>b</w:t>
      </w:r>
      <w:r w:rsidR="003E2CA6" w:rsidRPr="00AD652D">
        <w:t xml:space="preserve">ut </w:t>
      </w:r>
      <w:r w:rsidR="00F92ED0">
        <w:t>it</w:t>
      </w:r>
      <w:r w:rsidR="003E2CA6" w:rsidRPr="00AD652D">
        <w:t xml:space="preserve"> did not </w:t>
      </w:r>
      <w:r w:rsidR="001E38C0">
        <w:t>end hostility toward Chinese</w:t>
      </w:r>
      <w:r w:rsidR="002C0D21" w:rsidRPr="00AD652D">
        <w:t>.</w:t>
      </w:r>
      <w:r w:rsidR="001E38C0">
        <w:rPr>
          <w:rStyle w:val="FootnoteReference"/>
        </w:rPr>
        <w:footnoteReference w:id="26"/>
      </w:r>
      <w:r w:rsidR="00D5319C" w:rsidRPr="00AD652D">
        <w:t xml:space="preserve">  </w:t>
      </w:r>
      <w:r w:rsidR="002C0D21" w:rsidRPr="00AD652D">
        <w:t xml:space="preserve">A key reason </w:t>
      </w:r>
      <w:r w:rsidR="009D52C2">
        <w:t xml:space="preserve">the </w:t>
      </w:r>
      <w:r w:rsidR="00FE1DB4" w:rsidRPr="00AD652D">
        <w:t xml:space="preserve">anti-Chinese </w:t>
      </w:r>
      <w:r w:rsidR="009D52C2">
        <w:t xml:space="preserve">movement </w:t>
      </w:r>
      <w:r w:rsidR="00013515" w:rsidRPr="00AD652D">
        <w:t>did not</w:t>
      </w:r>
      <w:r w:rsidR="00FE1DB4" w:rsidRPr="00AD652D">
        <w:t xml:space="preserve"> declare victory was that </w:t>
      </w:r>
      <w:r w:rsidR="00D5319C" w:rsidRPr="00AD652D">
        <w:t xml:space="preserve">Chinese Exclusion </w:t>
      </w:r>
      <w:r w:rsidR="00FE1DB4" w:rsidRPr="00AD652D">
        <w:t xml:space="preserve">statutes were facially </w:t>
      </w:r>
      <w:r w:rsidR="003E2CA6" w:rsidRPr="00AD652D">
        <w:t>temporary</w:t>
      </w:r>
      <w:r w:rsidR="00FE1DB4" w:rsidRPr="00AD652D">
        <w:t xml:space="preserve">.  </w:t>
      </w:r>
      <w:r w:rsidR="0091547D">
        <w:t xml:space="preserve">Because </w:t>
      </w:r>
      <w:r w:rsidR="00970365" w:rsidRPr="00AD652D">
        <w:t xml:space="preserve">Congress </w:t>
      </w:r>
      <w:r w:rsidR="0091547D">
        <w:t xml:space="preserve">had to </w:t>
      </w:r>
      <w:r w:rsidR="00970365" w:rsidRPr="00AD652D">
        <w:t>re</w:t>
      </w:r>
      <w:r w:rsidR="0091547D">
        <w:t xml:space="preserve">consider </w:t>
      </w:r>
      <w:r w:rsidR="00970365" w:rsidRPr="00AD652D">
        <w:t>the question</w:t>
      </w:r>
      <w:r w:rsidR="0091547D">
        <w:t xml:space="preserve"> periodically</w:t>
      </w:r>
      <w:r w:rsidR="00013515" w:rsidRPr="00AD652D">
        <w:t xml:space="preserve">, </w:t>
      </w:r>
      <w:r w:rsidR="00FE1DB4" w:rsidRPr="00AD652D">
        <w:t xml:space="preserve">Chinese exclusion </w:t>
      </w:r>
      <w:r w:rsidR="00013515" w:rsidRPr="00AD652D">
        <w:t xml:space="preserve">was </w:t>
      </w:r>
      <w:r w:rsidR="00FE1DB4" w:rsidRPr="00AD652D">
        <w:t xml:space="preserve">a </w:t>
      </w:r>
      <w:r w:rsidR="003E2CA6" w:rsidRPr="00AD652D">
        <w:t>continuing political issue until it was made permanent in 1902.</w:t>
      </w:r>
      <w:r w:rsidR="006C0AA7">
        <w:rPr>
          <w:rStyle w:val="FootnoteReference"/>
        </w:rPr>
        <w:footnoteReference w:id="27"/>
      </w:r>
      <w:r w:rsidR="003E2CA6" w:rsidRPr="00AD652D">
        <w:t xml:space="preserve">  </w:t>
      </w:r>
      <w:r w:rsidR="00D5319C" w:rsidRPr="00AD652D">
        <w:t xml:space="preserve">Even then, the issue was not </w:t>
      </w:r>
      <w:r w:rsidR="000E2932" w:rsidRPr="00AD652D">
        <w:t xml:space="preserve">closed.  By 1902, </w:t>
      </w:r>
      <w:r w:rsidR="003E2CA6" w:rsidRPr="00AD652D">
        <w:t xml:space="preserve">Japanese and other Asian immigrants were </w:t>
      </w:r>
      <w:r w:rsidR="00590F2B" w:rsidRPr="00AD652D">
        <w:t>migrating</w:t>
      </w:r>
      <w:r w:rsidR="003E2CA6" w:rsidRPr="00AD652D">
        <w:t xml:space="preserve"> to the United States, and </w:t>
      </w:r>
      <w:r w:rsidR="00C47D00" w:rsidRPr="00AD652D">
        <w:t xml:space="preserve">their racial assimilability and therefore their right to immigrate became </w:t>
      </w:r>
      <w:r w:rsidR="00A552FA" w:rsidRPr="00AD652D">
        <w:t>prominent</w:t>
      </w:r>
      <w:r w:rsidR="00970365" w:rsidRPr="00AD652D">
        <w:t xml:space="preserve"> public policy</w:t>
      </w:r>
      <w:r w:rsidR="00A552FA" w:rsidRPr="00AD652D">
        <w:t xml:space="preserve"> questions</w:t>
      </w:r>
      <w:r w:rsidR="00C47D00" w:rsidRPr="00AD652D">
        <w:t>.</w:t>
      </w:r>
      <w:r w:rsidR="00E6409B">
        <w:rPr>
          <w:rStyle w:val="FootnoteReference"/>
        </w:rPr>
        <w:footnoteReference w:id="28"/>
      </w:r>
      <w:r w:rsidR="00C47D00" w:rsidRPr="00AD652D">
        <w:t xml:space="preserve"> </w:t>
      </w:r>
    </w:p>
    <w:p w14:paraId="20959458" w14:textId="44E9A426" w:rsidR="009328A9" w:rsidRPr="00AD652D" w:rsidRDefault="009328A9" w:rsidP="00195169">
      <w:pPr>
        <w:spacing w:after="100" w:afterAutospacing="1"/>
      </w:pPr>
      <w:r w:rsidRPr="00AD652D">
        <w:t>Those Chinese in the United States had limited opportunities for employment.  Some jobs required licenses which were limited to U.S. citizens, a status immigrant Chinese could never achieve because of racial restrictions on naturalization.</w:t>
      </w:r>
      <w:r w:rsidRPr="00AD652D">
        <w:rPr>
          <w:rStyle w:val="FootnoteReference"/>
        </w:rPr>
        <w:footnoteReference w:id="29"/>
      </w:r>
      <w:r w:rsidRPr="00AD652D">
        <w:t xml:space="preserve">  Even without law, social discrimination </w:t>
      </w:r>
      <w:r w:rsidR="00DE1392" w:rsidRPr="00AD652D">
        <w:t>restricted employment opportunities.</w:t>
      </w:r>
      <w:r w:rsidR="00C7287A">
        <w:rPr>
          <w:rStyle w:val="FootnoteReference"/>
        </w:rPr>
        <w:footnoteReference w:id="30"/>
      </w:r>
      <w:r w:rsidR="00DE1392" w:rsidRPr="00AD652D">
        <w:t xml:space="preserve">  Accordingly, many Chinese were employed in services and small businesses, such as restaurants and laundries.</w:t>
      </w:r>
      <w:bookmarkStart w:id="16" w:name="_Ref461985394"/>
      <w:r w:rsidR="007B18FD" w:rsidRPr="00AD652D">
        <w:rPr>
          <w:rStyle w:val="FootnoteReference"/>
        </w:rPr>
        <w:footnoteReference w:id="31"/>
      </w:r>
      <w:bookmarkEnd w:id="16"/>
    </w:p>
    <w:p w14:paraId="7DC31735" w14:textId="74B3C33F" w:rsidR="00182B99" w:rsidRDefault="002E6574" w:rsidP="00195169">
      <w:pPr>
        <w:spacing w:after="100" w:afterAutospacing="1"/>
      </w:pPr>
      <w:r>
        <w:t>Because A</w:t>
      </w:r>
      <w:r w:rsidR="00A552FA" w:rsidRPr="00AD652D">
        <w:t>mericans seemed to like Chinese food</w:t>
      </w:r>
      <w:r>
        <w:t>, the restaurant business seemed promising</w:t>
      </w:r>
      <w:r w:rsidR="00A552FA" w:rsidRPr="00AD652D">
        <w:t xml:space="preserve">.  </w:t>
      </w:r>
      <w:r w:rsidR="00EC0791" w:rsidRPr="00AD652D">
        <w:t xml:space="preserve">The popularity of </w:t>
      </w:r>
      <w:r w:rsidR="00661FF5" w:rsidRPr="00AD652D">
        <w:t>“</w:t>
      </w:r>
      <w:r w:rsidR="006F4D75" w:rsidRPr="00AD652D">
        <w:t>chop s</w:t>
      </w:r>
      <w:r w:rsidR="00182B99" w:rsidRPr="00AD652D">
        <w:t>uey</w:t>
      </w:r>
      <w:r w:rsidR="00661FF5" w:rsidRPr="00AD652D">
        <w:t>”</w:t>
      </w:r>
      <w:r w:rsidR="00EC0791" w:rsidRPr="00AD652D">
        <w:t xml:space="preserve"> and other Americanized or American Chinese dishes</w:t>
      </w:r>
      <w:r w:rsidR="00182B99" w:rsidRPr="00AD652D">
        <w:t xml:space="preserve"> result</w:t>
      </w:r>
      <w:r w:rsidR="000B11D8" w:rsidRPr="00AD652D">
        <w:t>ed</w:t>
      </w:r>
      <w:r w:rsidR="00182B99" w:rsidRPr="00AD652D">
        <w:t xml:space="preserve"> in </w:t>
      </w:r>
      <w:r w:rsidR="00661FF5" w:rsidRPr="00AD652D">
        <w:t>“</w:t>
      </w:r>
      <w:r w:rsidR="00182B99" w:rsidRPr="00AD652D">
        <w:t>the subsequent sprouting of Chinese restaurants.</w:t>
      </w:r>
      <w:r w:rsidR="00661FF5" w:rsidRPr="00AD652D">
        <w:t>”</w:t>
      </w:r>
      <w:bookmarkStart w:id="17" w:name="_Ref476491737"/>
      <w:r w:rsidR="00182B99" w:rsidRPr="00AD652D">
        <w:rPr>
          <w:rStyle w:val="FootnoteReference"/>
        </w:rPr>
        <w:footnoteReference w:id="32"/>
      </w:r>
      <w:bookmarkEnd w:id="17"/>
      <w:r w:rsidR="00182B99" w:rsidRPr="00AD652D">
        <w:t xml:space="preserve">  Their numbers grew rapidly in the late 19</w:t>
      </w:r>
      <w:r w:rsidR="00182B99" w:rsidRPr="00AD652D">
        <w:rPr>
          <w:vertAlign w:val="superscript"/>
        </w:rPr>
        <w:t>th</w:t>
      </w:r>
      <w:r w:rsidR="00182B99" w:rsidRPr="00AD652D">
        <w:t xml:space="preserve"> and early 20</w:t>
      </w:r>
      <w:r w:rsidR="00182B99" w:rsidRPr="00AD652D">
        <w:rPr>
          <w:vertAlign w:val="superscript"/>
        </w:rPr>
        <w:t>th</w:t>
      </w:r>
      <w:r w:rsidR="00182B99" w:rsidRPr="00AD652D">
        <w:t xml:space="preserve"> century.</w:t>
      </w:r>
      <w:bookmarkStart w:id="18" w:name="_Ref461985228"/>
      <w:r w:rsidR="00182B99" w:rsidRPr="00AD652D">
        <w:rPr>
          <w:rStyle w:val="FootnoteReference"/>
        </w:rPr>
        <w:footnoteReference w:id="33"/>
      </w:r>
      <w:bookmarkEnd w:id="18"/>
      <w:r w:rsidR="00182B99" w:rsidRPr="00AD652D">
        <w:t xml:space="preserve"> </w:t>
      </w:r>
      <w:r w:rsidR="009E3C2A" w:rsidRPr="00AD652D">
        <w:t xml:space="preserve"> </w:t>
      </w:r>
      <w:r w:rsidR="00182B99" w:rsidRPr="00AD652D">
        <w:t xml:space="preserve">In 1870, </w:t>
      </w:r>
      <w:r w:rsidR="003B18E4" w:rsidRPr="00AD652D">
        <w:t xml:space="preserve">with </w:t>
      </w:r>
      <w:r w:rsidR="00182B99" w:rsidRPr="00AD652D">
        <w:t>63,000 Chinese residents in the United States, Chinese restaurants employed only 164 Chinese persons.</w:t>
      </w:r>
      <w:bookmarkStart w:id="19" w:name="_Ref460866700"/>
      <w:r w:rsidR="00182B99" w:rsidRPr="00AD652D">
        <w:rPr>
          <w:rStyle w:val="FootnoteReference"/>
        </w:rPr>
        <w:footnoteReference w:id="34"/>
      </w:r>
      <w:bookmarkEnd w:id="19"/>
      <w:r w:rsidR="00182B99" w:rsidRPr="00AD652D">
        <w:t xml:space="preserve">  By 1920, despite a </w:t>
      </w:r>
      <w:r w:rsidR="00D36613" w:rsidRPr="00AD652D">
        <w:t>decline</w:t>
      </w:r>
      <w:r w:rsidR="00182B99" w:rsidRPr="00AD652D">
        <w:t xml:space="preserve"> in Chinese </w:t>
      </w:r>
      <w:r w:rsidR="00A949F7">
        <w:t xml:space="preserve">population and </w:t>
      </w:r>
      <w:r w:rsidR="003B18E4" w:rsidRPr="00AD652D">
        <w:t>employment</w:t>
      </w:r>
      <w:r w:rsidR="00182B99" w:rsidRPr="00AD652D">
        <w:t>,</w:t>
      </w:r>
      <w:r w:rsidR="00182B99" w:rsidRPr="00AD652D">
        <w:rPr>
          <w:rStyle w:val="FootnoteReference"/>
        </w:rPr>
        <w:footnoteReference w:id="35"/>
      </w:r>
      <w:r w:rsidR="00182B99" w:rsidRPr="00AD652D">
        <w:t xml:space="preserve"> over 11,400 </w:t>
      </w:r>
      <w:r>
        <w:t xml:space="preserve">workers were </w:t>
      </w:r>
      <w:r w:rsidR="00182B99" w:rsidRPr="00AD652D">
        <w:t>employed by Chinese restaurants</w:t>
      </w:r>
      <w:r w:rsidR="00D36613" w:rsidRPr="00AD652D">
        <w:t xml:space="preserve"> in the United States</w:t>
      </w:r>
      <w:r w:rsidR="00182B99" w:rsidRPr="00AD652D">
        <w:t>.</w:t>
      </w:r>
      <w:r w:rsidR="00182B99" w:rsidRPr="00AD652D">
        <w:rPr>
          <w:rStyle w:val="FootnoteReference"/>
        </w:rPr>
        <w:footnoteReference w:id="36"/>
      </w:r>
    </w:p>
    <w:p w14:paraId="2C344796" w14:textId="08F22369" w:rsidR="007B5EDE" w:rsidRPr="00AD652D" w:rsidRDefault="007B5EDE" w:rsidP="007B5EDE">
      <w:pPr>
        <w:spacing w:after="100" w:afterAutospacing="1"/>
      </w:pPr>
      <w:r>
        <w:t xml:space="preserve">To be sure, </w:t>
      </w:r>
      <w:r w:rsidRPr="00AD652D">
        <w:t xml:space="preserve">Chinese restaurants were </w:t>
      </w:r>
      <w:r>
        <w:t>regarded as exotic and potentially dangerous.</w:t>
      </w:r>
      <w:r w:rsidRPr="00AD652D">
        <w:t xml:space="preserve">  In 1887, an </w:t>
      </w:r>
      <w:r w:rsidR="002E6574">
        <w:t xml:space="preserve">aficionado </w:t>
      </w:r>
      <w:r w:rsidR="00944101">
        <w:t xml:space="preserve">wrongly </w:t>
      </w:r>
      <w:r w:rsidRPr="00AD652D">
        <w:t>predicted that “visions of kittens and rats would keep the Chinese restaurant from being largely patronized.”</w:t>
      </w:r>
      <w:r w:rsidRPr="00AD652D">
        <w:rPr>
          <w:rStyle w:val="FootnoteReference"/>
        </w:rPr>
        <w:footnoteReference w:id="37"/>
      </w:r>
      <w:r w:rsidRPr="00AD652D">
        <w:t xml:space="preserve"> </w:t>
      </w:r>
      <w:r w:rsidR="00A21299">
        <w:t>T</w:t>
      </w:r>
      <w:r w:rsidRPr="00AD652D">
        <w:t xml:space="preserve">he </w:t>
      </w:r>
      <w:r w:rsidRPr="00AD652D">
        <w:rPr>
          <w:i/>
        </w:rPr>
        <w:t xml:space="preserve">Denver Post </w:t>
      </w:r>
      <w:r w:rsidRPr="00AD652D">
        <w:t>reported that local Chinese restaurant served dog meat “in a Chinese dish called chop suey</w:t>
      </w:r>
      <w:r w:rsidR="00826A68">
        <w:t>;</w:t>
      </w:r>
      <w:r w:rsidRPr="00AD652D">
        <w:t>”</w:t>
      </w:r>
      <w:r w:rsidRPr="00AD652D">
        <w:rPr>
          <w:vertAlign w:val="superscript"/>
        </w:rPr>
        <w:footnoteReference w:id="38"/>
      </w:r>
      <w:r w:rsidRPr="00AD652D">
        <w:t xml:space="preserve"> </w:t>
      </w:r>
      <w:r w:rsidR="00826A68">
        <w:t>a</w:t>
      </w:r>
      <w:r w:rsidRPr="00AD652D">
        <w:t xml:space="preserve"> </w:t>
      </w:r>
      <w:r w:rsidR="00A21299">
        <w:t>Missouri paper</w:t>
      </w:r>
      <w:r w:rsidRPr="00AD652D">
        <w:t xml:space="preserve"> reported</w:t>
      </w:r>
      <w:r w:rsidR="00826A68">
        <w:t xml:space="preserve"> an investigation of </w:t>
      </w:r>
      <w:r w:rsidRPr="00AD652D">
        <w:t>“chop suey restaurants</w:t>
      </w:r>
      <w:r w:rsidR="00826A68">
        <w:t>” based on “</w:t>
      </w:r>
      <w:r w:rsidRPr="00AD652D">
        <w:t>suspicion that they do not use fresh rats</w:t>
      </w:r>
      <w:r w:rsidR="002E6574">
        <w:t>.</w:t>
      </w:r>
      <w:r w:rsidRPr="00AD652D">
        <w:t>”</w:t>
      </w:r>
      <w:r w:rsidRPr="00AD652D">
        <w:rPr>
          <w:vertAlign w:val="superscript"/>
        </w:rPr>
        <w:footnoteReference w:id="39"/>
      </w:r>
      <w:r w:rsidR="002E6574">
        <w:t xml:space="preserve"> </w:t>
      </w:r>
      <w:r w:rsidRPr="00AD652D">
        <w:t xml:space="preserve"> </w:t>
      </w:r>
      <w:r w:rsidR="002E6574">
        <w:t>A</w:t>
      </w:r>
      <w:r w:rsidRPr="00AD652D">
        <w:t xml:space="preserve"> </w:t>
      </w:r>
      <w:r w:rsidR="00A21299">
        <w:t xml:space="preserve">In </w:t>
      </w:r>
      <w:r w:rsidRPr="00AD652D">
        <w:t xml:space="preserve">Bisbee, Arizona a Chinese restaurant </w:t>
      </w:r>
      <w:r w:rsidR="00A21299">
        <w:t xml:space="preserve">allegedly </w:t>
      </w:r>
      <w:r w:rsidRPr="00AD652D">
        <w:t>had human children on the menu</w:t>
      </w:r>
      <w:r w:rsidR="00142261">
        <w:t>.</w:t>
      </w:r>
      <w:r w:rsidRPr="00AD652D">
        <w:rPr>
          <w:rStyle w:val="FootnoteReference"/>
        </w:rPr>
        <w:footnoteReference w:id="40"/>
      </w:r>
      <w:r w:rsidRPr="00AD652D">
        <w:t xml:space="preserve"> </w:t>
      </w:r>
      <w:r w:rsidR="00D83C0B" w:rsidRPr="00AD652D">
        <w:t>In Jerome, Arizona whispered insinuations that the Chinese restaurants served “refuse and tainted meats” procured from trash barrels of the butcher shops</w:t>
      </w:r>
      <w:r w:rsidR="00D83C0B" w:rsidRPr="00AD652D">
        <w:rPr>
          <w:vertAlign w:val="superscript"/>
        </w:rPr>
        <w:footnoteReference w:id="41"/>
      </w:r>
      <w:r w:rsidRPr="00AD652D">
        <w:t xml:space="preserve"> </w:t>
      </w:r>
      <w:r w:rsidR="00C82355">
        <w:t>led to calls</w:t>
      </w:r>
      <w:r w:rsidR="00C82355" w:rsidRPr="00AD652D">
        <w:t xml:space="preserve"> that the city should “punish the Chinks for serving unpalatable food,”</w:t>
      </w:r>
      <w:r w:rsidR="00C82355" w:rsidRPr="00AD652D">
        <w:rPr>
          <w:vertAlign w:val="superscript"/>
        </w:rPr>
        <w:footnoteReference w:id="42"/>
      </w:r>
      <w:r w:rsidR="00C82355" w:rsidRPr="00AD652D">
        <w:t xml:space="preserve"> and that the Chinese “should be driven from the camp and that furthermore no more should be permitted to enter.”</w:t>
      </w:r>
      <w:r w:rsidR="00C82355" w:rsidRPr="00AD652D">
        <w:rPr>
          <w:vertAlign w:val="superscript"/>
        </w:rPr>
        <w:footnoteReference w:id="43"/>
      </w:r>
      <w:r w:rsidRPr="00AD652D">
        <w:t xml:space="preserve"> Nevertheless, while there were many suggestions that Chinese restaurants were “not so good either in a moral or a culinary way,”</w:t>
      </w:r>
      <w:bookmarkStart w:id="20" w:name="_Ref476490883"/>
      <w:r w:rsidRPr="00AD652D">
        <w:rPr>
          <w:rStyle w:val="FootnoteReference"/>
        </w:rPr>
        <w:footnoteReference w:id="44"/>
      </w:r>
      <w:bookmarkEnd w:id="20"/>
      <w:r w:rsidRPr="00AD652D">
        <w:t xml:space="preserve"> few claimed that the food was unpalatable in principle, that is, if not prepared with rats or dogs.  </w:t>
      </w:r>
    </w:p>
    <w:p w14:paraId="7A2AB9FB" w14:textId="42A14723" w:rsidR="00935456" w:rsidRPr="00AD652D" w:rsidRDefault="006143DA" w:rsidP="00195169">
      <w:pPr>
        <w:spacing w:after="100" w:afterAutospacing="1"/>
      </w:pPr>
      <w:r w:rsidRPr="00AD652D">
        <w:t>Unions opposed Asian immigration</w:t>
      </w:r>
      <w:r w:rsidR="007E07B0">
        <w:t xml:space="preserve"> in general</w:t>
      </w:r>
      <w:r w:rsidR="00D37937" w:rsidRPr="00D37937">
        <w:t xml:space="preserve"> </w:t>
      </w:r>
      <w:r w:rsidR="00D37937">
        <w:t xml:space="preserve">and </w:t>
      </w:r>
      <w:r w:rsidR="00D37937" w:rsidRPr="00AD652D">
        <w:t xml:space="preserve">Chinese restaurants </w:t>
      </w:r>
      <w:r w:rsidR="00D37937">
        <w:t>in particular</w:t>
      </w:r>
      <w:r w:rsidRPr="00AD652D">
        <w:t>.</w:t>
      </w:r>
      <w:r w:rsidR="00182B99" w:rsidRPr="00AD652D">
        <w:t xml:space="preserve"> The Cooks</w:t>
      </w:r>
      <w:r w:rsidR="00661FF5" w:rsidRPr="00AD652D">
        <w:t>’</w:t>
      </w:r>
      <w:r w:rsidR="00182B99" w:rsidRPr="00AD652D">
        <w:t xml:space="preserve"> and Waiters</w:t>
      </w:r>
      <w:r w:rsidR="00661FF5" w:rsidRPr="00AD652D">
        <w:t>’</w:t>
      </w:r>
      <w:r w:rsidR="00182B99" w:rsidRPr="00AD652D">
        <w:t xml:space="preserve"> Union</w:t>
      </w:r>
      <w:r w:rsidR="003E021D" w:rsidRPr="00AD652D">
        <w:t xml:space="preserve"> </w:t>
      </w:r>
      <w:r w:rsidR="0024141A" w:rsidRPr="00AD652D">
        <w:t xml:space="preserve">is </w:t>
      </w:r>
      <w:r w:rsidR="007E07B0">
        <w:t>an ancestor</w:t>
      </w:r>
      <w:r w:rsidR="0024141A" w:rsidRPr="00AD652D">
        <w:t xml:space="preserve"> of the modern-day UNITE-HERE.  Its members </w:t>
      </w:r>
      <w:r w:rsidR="00A552FA" w:rsidRPr="00AD652D">
        <w:t>competed directly</w:t>
      </w:r>
      <w:r w:rsidR="00577F04" w:rsidRPr="00AD652D">
        <w:t xml:space="preserve"> </w:t>
      </w:r>
      <w:r w:rsidR="0024141A" w:rsidRPr="00AD652D">
        <w:t xml:space="preserve">with </w:t>
      </w:r>
      <w:r w:rsidR="00577F04" w:rsidRPr="00AD652D">
        <w:t>Chinese restaurants,</w:t>
      </w:r>
      <w:r w:rsidR="00182B99" w:rsidRPr="00AD652D">
        <w:t xml:space="preserve"> </w:t>
      </w:r>
      <w:r w:rsidR="0024141A" w:rsidRPr="00AD652D">
        <w:t xml:space="preserve">and </w:t>
      </w:r>
      <w:r w:rsidR="00A552FA" w:rsidRPr="00AD652D">
        <w:t>the union</w:t>
      </w:r>
      <w:r w:rsidR="0024141A" w:rsidRPr="00AD652D">
        <w:t xml:space="preserve"> </w:t>
      </w:r>
      <w:r w:rsidR="00182B99" w:rsidRPr="00AD652D">
        <w:t xml:space="preserve">was a powerful </w:t>
      </w:r>
      <w:r w:rsidR="000B11D8" w:rsidRPr="00AD652D">
        <w:t>force</w:t>
      </w:r>
      <w:r w:rsidR="00182B99" w:rsidRPr="00AD652D">
        <w:t>; by 1903, their membership exceeded 50,000</w:t>
      </w:r>
      <w:r w:rsidR="00030622" w:rsidRPr="00AD652D">
        <w:t>.</w:t>
      </w:r>
      <w:r w:rsidR="00182B99" w:rsidRPr="00AD652D">
        <w:rPr>
          <w:rStyle w:val="FootnoteReference"/>
        </w:rPr>
        <w:footnoteReference w:id="45"/>
      </w:r>
      <w:r w:rsidR="00182B99" w:rsidRPr="00AD652D">
        <w:t xml:space="preserve"> </w:t>
      </w:r>
      <w:r w:rsidR="00030622" w:rsidRPr="00AD652D">
        <w:t xml:space="preserve">They were </w:t>
      </w:r>
      <w:r w:rsidR="003E021D" w:rsidRPr="00AD652D">
        <w:t>affiliated with the</w:t>
      </w:r>
      <w:r w:rsidR="00182B99" w:rsidRPr="00AD652D">
        <w:t xml:space="preserve"> American Federation of Labor, </w:t>
      </w:r>
      <w:r w:rsidR="00030622" w:rsidRPr="00AD652D">
        <w:t xml:space="preserve">which by 1914 claimed </w:t>
      </w:r>
      <w:r w:rsidR="00182B99" w:rsidRPr="00AD652D">
        <w:t>nearly 2,000,000</w:t>
      </w:r>
      <w:r w:rsidR="00030622" w:rsidRPr="00AD652D">
        <w:t xml:space="preserve"> members</w:t>
      </w:r>
      <w:r w:rsidR="00182B99" w:rsidRPr="00AD652D">
        <w:t>.</w:t>
      </w:r>
      <w:bookmarkStart w:id="21" w:name="_Ref476153413"/>
      <w:r w:rsidR="00182B99" w:rsidRPr="00AD652D">
        <w:rPr>
          <w:rStyle w:val="FootnoteReference"/>
        </w:rPr>
        <w:footnoteReference w:id="46"/>
      </w:r>
      <w:bookmarkEnd w:id="21"/>
      <w:r w:rsidR="00182B99" w:rsidRPr="00AD652D">
        <w:t xml:space="preserve">  The </w:t>
      </w:r>
      <w:r w:rsidR="00BD06C1" w:rsidRPr="00AD652D">
        <w:t>unions</w:t>
      </w:r>
      <w:r w:rsidR="00182B99" w:rsidRPr="00AD652D">
        <w:t xml:space="preserve"> strong</w:t>
      </w:r>
      <w:r w:rsidR="00030622" w:rsidRPr="00AD652D">
        <w:t>ly</w:t>
      </w:r>
      <w:r w:rsidR="00182B99" w:rsidRPr="00AD652D">
        <w:t xml:space="preserve"> supporte</w:t>
      </w:r>
      <w:r w:rsidR="00030622" w:rsidRPr="00AD652D">
        <w:t>d</w:t>
      </w:r>
      <w:r w:rsidR="00182B99" w:rsidRPr="00AD652D">
        <w:t xml:space="preserve"> Chinese Exclusion</w:t>
      </w:r>
      <w:r w:rsidR="00182B99" w:rsidRPr="00AD652D">
        <w:rPr>
          <w:rStyle w:val="FootnoteReference"/>
        </w:rPr>
        <w:footnoteReference w:id="47"/>
      </w:r>
      <w:r w:rsidR="00182B99" w:rsidRPr="00AD652D">
        <w:t xml:space="preserve"> and </w:t>
      </w:r>
      <w:r w:rsidR="00030622" w:rsidRPr="00AD652D">
        <w:t xml:space="preserve">expansion </w:t>
      </w:r>
      <w:r w:rsidR="00B035CB" w:rsidRPr="00AD652D">
        <w:t>of</w:t>
      </w:r>
      <w:r w:rsidR="00030622" w:rsidRPr="00AD652D">
        <w:t xml:space="preserve"> the exclusion policy to </w:t>
      </w:r>
      <w:r w:rsidR="00182B99" w:rsidRPr="00AD652D">
        <w:t xml:space="preserve">all Asian </w:t>
      </w:r>
      <w:r w:rsidR="00C828DD" w:rsidRPr="00AD652D">
        <w:t>races</w:t>
      </w:r>
      <w:r w:rsidR="00182B99" w:rsidRPr="00AD652D">
        <w:t>.</w:t>
      </w:r>
      <w:bookmarkStart w:id="22" w:name="_Ref476153538"/>
      <w:r w:rsidR="00182B99" w:rsidRPr="00AD652D">
        <w:rPr>
          <w:rStyle w:val="FootnoteReference"/>
        </w:rPr>
        <w:footnoteReference w:id="48"/>
      </w:r>
      <w:bookmarkEnd w:id="22"/>
      <w:r w:rsidR="00935456" w:rsidRPr="00AD652D">
        <w:t xml:space="preserve">  A report in the </w:t>
      </w:r>
      <w:r w:rsidR="00935456" w:rsidRPr="00AD652D">
        <w:rPr>
          <w:i/>
        </w:rPr>
        <w:t>Mixer and Server</w:t>
      </w:r>
      <w:r w:rsidR="00A552FA" w:rsidRPr="00AD652D">
        <w:t xml:space="preserve">, the union </w:t>
      </w:r>
      <w:r w:rsidR="005E2F52">
        <w:t>publication</w:t>
      </w:r>
      <w:r w:rsidR="00A552FA" w:rsidRPr="00AD652D">
        <w:t xml:space="preserve">, </w:t>
      </w:r>
      <w:r w:rsidR="00935456" w:rsidRPr="00AD652D">
        <w:t xml:space="preserve">explained: </w:t>
      </w:r>
    </w:p>
    <w:p w14:paraId="542DB876" w14:textId="7AB6279C" w:rsidR="00935456" w:rsidRPr="00AD652D" w:rsidRDefault="00935456" w:rsidP="00195169">
      <w:pPr>
        <w:pStyle w:val="NoSpacing"/>
        <w:spacing w:after="100" w:afterAutospacing="1"/>
      </w:pPr>
      <w:r w:rsidRPr="00AD652D">
        <w:t>View this matter from every angle, without heat or racial prejudice, and the fact stares us in the face that there is a conflict between the American wage-earner and the workers or employers from the Orient. Our Government has been compelled to close its doors to Asiatics in recognition of this fact.</w:t>
      </w:r>
      <w:r w:rsidRPr="00AD652D">
        <w:rPr>
          <w:vertAlign w:val="superscript"/>
        </w:rPr>
        <w:footnoteReference w:id="49"/>
      </w:r>
    </w:p>
    <w:p w14:paraId="24A7EC73" w14:textId="417FB186" w:rsidR="001E5635" w:rsidRPr="00AD652D" w:rsidRDefault="00C763C9" w:rsidP="00195169">
      <w:pPr>
        <w:spacing w:after="100" w:afterAutospacing="1"/>
        <w:ind w:firstLine="0"/>
      </w:pPr>
      <w:r>
        <w:t xml:space="preserve">In his famous essay </w:t>
      </w:r>
      <w:r w:rsidRPr="00864AAC">
        <w:rPr>
          <w:i/>
        </w:rPr>
        <w:t>Meat v. Rice: American Manhood Against Asiatic Coolieism, Which Shall Survive</w:t>
      </w:r>
      <w:r>
        <w:t>,</w:t>
      </w:r>
      <w:r>
        <w:rPr>
          <w:rStyle w:val="FootnoteReference"/>
        </w:rPr>
        <w:footnoteReference w:id="50"/>
      </w:r>
      <w:r w:rsidR="007E07B0">
        <w:t xml:space="preserve"> American Federation of Labor P</w:t>
      </w:r>
      <w:r>
        <w:t xml:space="preserve">resident Samuel Gompers put the conflict in decidedly culinary terms.  </w:t>
      </w:r>
      <w:r w:rsidR="001E5635" w:rsidRPr="00AD652D">
        <w:t xml:space="preserve">Unions saw the lower wage scales </w:t>
      </w:r>
      <w:r w:rsidR="00164E60" w:rsidRPr="00AD652D">
        <w:t xml:space="preserve">in Chinese restaurants </w:t>
      </w:r>
      <w:r w:rsidR="000517F5" w:rsidRPr="00AD652D">
        <w:t>as a threat</w:t>
      </w:r>
      <w:r w:rsidR="003B0BA2" w:rsidRPr="00AD652D">
        <w:t>,</w:t>
      </w:r>
      <w:bookmarkStart w:id="23" w:name="_Ref476406493"/>
      <w:r w:rsidR="001E5635" w:rsidRPr="00AD652D">
        <w:rPr>
          <w:rStyle w:val="FootnoteReference"/>
        </w:rPr>
        <w:footnoteReference w:id="51"/>
      </w:r>
      <w:bookmarkEnd w:id="23"/>
      <w:r w:rsidR="001E5635" w:rsidRPr="00AD652D">
        <w:t xml:space="preserve"> but rather than trying to unionize Chinese restaurants and their employees</w:t>
      </w:r>
      <w:r w:rsidR="00C33526" w:rsidRPr="00AD652D">
        <w:t>,</w:t>
      </w:r>
      <w:r w:rsidR="001E5635" w:rsidRPr="00AD652D">
        <w:t xml:space="preserve"> </w:t>
      </w:r>
      <w:r w:rsidR="00C33526" w:rsidRPr="00AD652D">
        <w:t>u</w:t>
      </w:r>
      <w:r w:rsidR="001E5635" w:rsidRPr="00AD652D">
        <w:t xml:space="preserve">nions sought to eliminate the </w:t>
      </w:r>
      <w:r w:rsidR="00661FF5" w:rsidRPr="00AD652D">
        <w:t>“</w:t>
      </w:r>
      <w:r w:rsidR="001E5635" w:rsidRPr="00AD652D">
        <w:t>unfair</w:t>
      </w:r>
      <w:r w:rsidR="00661FF5" w:rsidRPr="00AD652D">
        <w:t>”</w:t>
      </w:r>
      <w:r w:rsidR="001E5635" w:rsidRPr="00AD652D">
        <w:t xml:space="preserve"> competition by driving the restaurants out of business.  </w:t>
      </w:r>
      <w:r w:rsidR="00F822B2" w:rsidRPr="00AD652D">
        <w:t xml:space="preserve">In this, the interests of unions sometimes dovetailed with the </w:t>
      </w:r>
      <w:r w:rsidR="00A968E1" w:rsidRPr="00AD652D">
        <w:t>business interests</w:t>
      </w:r>
      <w:r w:rsidR="00F822B2" w:rsidRPr="00AD652D">
        <w:t xml:space="preserve"> of restaurant owners</w:t>
      </w:r>
      <w:r w:rsidR="00A968E1" w:rsidRPr="00AD652D">
        <w:t xml:space="preserve"> who would profit from the closure of their competitors</w:t>
      </w:r>
      <w:r w:rsidR="00F822B2" w:rsidRPr="00AD652D">
        <w:t>.</w:t>
      </w:r>
      <w:r w:rsidR="00F822B2" w:rsidRPr="00AD652D">
        <w:rPr>
          <w:rStyle w:val="FootnoteReference"/>
        </w:rPr>
        <w:footnoteReference w:id="52"/>
      </w:r>
    </w:p>
    <w:p w14:paraId="127AC730" w14:textId="79AA3ED4" w:rsidR="005D32A4" w:rsidRPr="00AD652D" w:rsidRDefault="0026188B" w:rsidP="0026188B">
      <w:pPr>
        <w:spacing w:after="100" w:afterAutospacing="1"/>
      </w:pPr>
      <w:r>
        <w:t>B</w:t>
      </w:r>
      <w:r w:rsidR="005D32A4" w:rsidRPr="00AD652D">
        <w:t xml:space="preserve">. </w:t>
      </w:r>
      <w:r w:rsidR="002A52FA">
        <w:t xml:space="preserve">Riot and </w:t>
      </w:r>
      <w:r w:rsidR="005D32A4" w:rsidRPr="00AD652D">
        <w:t>Boycott</w:t>
      </w:r>
    </w:p>
    <w:p w14:paraId="1DDB25F1" w14:textId="4EB093AD" w:rsidR="00CA5192" w:rsidRPr="00AD652D" w:rsidRDefault="00CA5192" w:rsidP="00CA5192">
      <w:pPr>
        <w:spacing w:after="100" w:afterAutospacing="1"/>
      </w:pPr>
      <w:r w:rsidRPr="00AD652D">
        <w:t xml:space="preserve">Asians were </w:t>
      </w:r>
      <w:r w:rsidR="007E07B0">
        <w:t xml:space="preserve">generally barred from </w:t>
      </w:r>
      <w:r w:rsidRPr="00AD652D">
        <w:t>union</w:t>
      </w:r>
      <w:r w:rsidR="007E07B0">
        <w:t xml:space="preserve"> membership</w:t>
      </w:r>
      <w:r w:rsidRPr="00AD652D">
        <w:t xml:space="preserve">.  The Cooks’ and Waiters’ Union </w:t>
      </w:r>
      <w:r w:rsidR="007E07B0">
        <w:t>excluded</w:t>
      </w:r>
      <w:r w:rsidRPr="00AD652D">
        <w:t xml:space="preserve"> even United States citizens of Asian </w:t>
      </w:r>
      <w:r w:rsidR="005317E7">
        <w:t>ancestry</w:t>
      </w:r>
      <w:r w:rsidRPr="00AD652D">
        <w:t xml:space="preserve">, because </w:t>
      </w:r>
      <w:r w:rsidR="002A52FA">
        <w:t xml:space="preserve">they were </w:t>
      </w:r>
      <w:r w:rsidRPr="00AD652D">
        <w:t>“true to one principle — nothing doing with either Chinks, Japs or other Asiatics.”</w:t>
      </w:r>
      <w:r w:rsidRPr="00AD652D">
        <w:rPr>
          <w:rStyle w:val="FootnoteReference"/>
        </w:rPr>
        <w:footnoteReference w:id="53"/>
      </w:r>
      <w:r w:rsidRPr="00AD652D">
        <w:t xml:space="preserve"> To fight the “iniquitous chop suey joints,” unions </w:t>
      </w:r>
      <w:r w:rsidR="00EC00C9">
        <w:t>demanded as a contract term that Asians be discharged</w:t>
      </w:r>
      <w:r w:rsidR="00EC00C9">
        <w:rPr>
          <w:rStyle w:val="FootnoteReference"/>
        </w:rPr>
        <w:footnoteReference w:id="54"/>
      </w:r>
      <w:r w:rsidR="00EC00C9">
        <w:t xml:space="preserve"> and </w:t>
      </w:r>
      <w:r w:rsidRPr="00AD652D">
        <w:t xml:space="preserve">barred union members from working </w:t>
      </w:r>
      <w:r w:rsidR="00DC2B68">
        <w:t>with</w:t>
      </w:r>
      <w:r w:rsidRPr="00AD652D">
        <w:t xml:space="preserve"> Asians</w:t>
      </w:r>
      <w:r w:rsidR="00501D78">
        <w:t>;</w:t>
      </w:r>
      <w:r w:rsidRPr="00AD652D">
        <w:rPr>
          <w:rStyle w:val="FootnoteReference"/>
        </w:rPr>
        <w:footnoteReference w:id="55"/>
      </w:r>
      <w:r w:rsidR="00501D78">
        <w:t xml:space="preserve"> Asian owners were not allowed to display union house or bar cards.</w:t>
      </w:r>
      <w:bookmarkStart w:id="24" w:name="_Ref487041829"/>
      <w:r w:rsidR="00501D78">
        <w:rPr>
          <w:rStyle w:val="FootnoteReference"/>
        </w:rPr>
        <w:footnoteReference w:id="56"/>
      </w:r>
      <w:bookmarkEnd w:id="24"/>
      <w:r w:rsidRPr="00AD652D">
        <w:t xml:space="preserve">  Dealing with the Chinese inspired union creativity; reportedly, “[t]he first union label was used by San Francisco Cigarmakers in opposing the product of Chinese Cigarmakers.”</w:t>
      </w:r>
      <w:r w:rsidRPr="00AD652D">
        <w:rPr>
          <w:rStyle w:val="FootnoteReference"/>
        </w:rPr>
        <w:footnoteReference w:id="57"/>
      </w:r>
    </w:p>
    <w:p w14:paraId="4158E1FD" w14:textId="38DFF903" w:rsidR="009446B0" w:rsidRPr="00AD652D" w:rsidRDefault="009446B0" w:rsidP="00195169">
      <w:pPr>
        <w:spacing w:after="100" w:afterAutospacing="1"/>
      </w:pPr>
      <w:r w:rsidRPr="00AD652D">
        <w:t>Early methods of eliminating Chinese competition included threats and violence.</w:t>
      </w:r>
      <w:bookmarkStart w:id="25" w:name="_Ref476153648"/>
      <w:r w:rsidR="00745EE4" w:rsidRPr="00AD652D">
        <w:rPr>
          <w:rStyle w:val="FootnoteReference"/>
        </w:rPr>
        <w:footnoteReference w:id="58"/>
      </w:r>
      <w:bookmarkEnd w:id="25"/>
      <w:r w:rsidRPr="00AD652D">
        <w:t xml:space="preserve">  For example, </w:t>
      </w:r>
      <w:r w:rsidR="00DC2B68">
        <w:t>C</w:t>
      </w:r>
      <w:r w:rsidRPr="00AD652D">
        <w:t xml:space="preserve">hinese restaurant owners </w:t>
      </w:r>
      <w:r w:rsidR="00E24017">
        <w:t>i</w:t>
      </w:r>
      <w:r w:rsidRPr="00AD652D">
        <w:t xml:space="preserve">n </w:t>
      </w:r>
      <w:r w:rsidR="009A4CD8" w:rsidRPr="00AD652D">
        <w:t>Selma</w:t>
      </w:r>
      <w:r w:rsidRPr="00AD652D">
        <w:t xml:space="preserve">, California, were </w:t>
      </w:r>
      <w:r w:rsidR="00661FF5" w:rsidRPr="00AD652D">
        <w:t>“</w:t>
      </w:r>
      <w:r w:rsidRPr="00AD652D">
        <w:t>driven out</w:t>
      </w:r>
      <w:r w:rsidR="00661FF5" w:rsidRPr="00AD652D">
        <w:t>”</w:t>
      </w:r>
      <w:r w:rsidRPr="00AD652D">
        <w:t xml:space="preserve"> by organized labor.</w:t>
      </w:r>
      <w:r w:rsidRPr="00AD652D">
        <w:rPr>
          <w:vertAlign w:val="superscript"/>
        </w:rPr>
        <w:footnoteReference w:id="59"/>
      </w:r>
      <w:r w:rsidRPr="00AD652D">
        <w:t xml:space="preserve">  The </w:t>
      </w:r>
      <w:r w:rsidRPr="00AD652D">
        <w:rPr>
          <w:i/>
        </w:rPr>
        <w:t xml:space="preserve">Salt Lake Tribune </w:t>
      </w:r>
      <w:r w:rsidRPr="00AD652D">
        <w:t xml:space="preserve">reported </w:t>
      </w:r>
      <w:r w:rsidR="00661FF5" w:rsidRPr="00AD652D">
        <w:t>“</w:t>
      </w:r>
      <w:r w:rsidRPr="00AD652D">
        <w:t>laboring men</w:t>
      </w:r>
      <w:r w:rsidR="00661FF5" w:rsidRPr="00AD652D">
        <w:t>”</w:t>
      </w:r>
      <w:r w:rsidRPr="00AD652D">
        <w:t xml:space="preserve"> </w:t>
      </w:r>
      <w:r w:rsidR="00661FF5" w:rsidRPr="00AD652D">
        <w:t>“</w:t>
      </w:r>
      <w:r w:rsidRPr="00AD652D">
        <w:t>sen</w:t>
      </w:r>
      <w:r w:rsidR="007E07B0">
        <w:t>[t]</w:t>
      </w:r>
      <w:r w:rsidRPr="00AD652D">
        <w:t xml:space="preserve"> them out of town,</w:t>
      </w:r>
      <w:r w:rsidR="00661FF5" w:rsidRPr="00AD652D">
        <w:t>”</w:t>
      </w:r>
      <w:r w:rsidRPr="00AD652D">
        <w:t xml:space="preserve"> and </w:t>
      </w:r>
      <w:r w:rsidR="007E07B0">
        <w:t>“</w:t>
      </w:r>
      <w:r w:rsidRPr="00AD652D">
        <w:t>their businesses were closed.</w:t>
      </w:r>
      <w:r w:rsidR="00661FF5" w:rsidRPr="00AD652D">
        <w:t>”</w:t>
      </w:r>
      <w:r w:rsidRPr="00AD652D">
        <w:rPr>
          <w:vertAlign w:val="superscript"/>
        </w:rPr>
        <w:footnoteReference w:id="60"/>
      </w:r>
      <w:r w:rsidRPr="00AD652D">
        <w:t xml:space="preserve">  Similarly, </w:t>
      </w:r>
      <w:r w:rsidR="00E24017">
        <w:t>Silverton, Colorado, unions</w:t>
      </w:r>
      <w:r w:rsidRPr="00AD652D">
        <w:t xml:space="preserve"> ordered seventy Chinese residents to leave.</w:t>
      </w:r>
      <w:r w:rsidRPr="00AD652D">
        <w:rPr>
          <w:vertAlign w:val="superscript"/>
        </w:rPr>
        <w:footnoteReference w:id="61"/>
      </w:r>
      <w:r w:rsidRPr="00AD652D">
        <w:t xml:space="preserve">  Two-thirds </w:t>
      </w:r>
      <w:r w:rsidR="00E668E8" w:rsidRPr="00AD652D">
        <w:t>departed</w:t>
      </w:r>
      <w:r w:rsidRPr="00AD652D">
        <w:t xml:space="preserve"> within ten days.</w:t>
      </w:r>
      <w:r w:rsidRPr="00AD652D">
        <w:rPr>
          <w:vertAlign w:val="superscript"/>
        </w:rPr>
        <w:footnoteReference w:id="62"/>
      </w:r>
      <w:r w:rsidRPr="00AD652D">
        <w:t xml:space="preserve">  Silverton had six to eight Chinese restaurants; two weeks later, only two remained.</w:t>
      </w:r>
      <w:r w:rsidRPr="00AD652D">
        <w:rPr>
          <w:vertAlign w:val="superscript"/>
        </w:rPr>
        <w:footnoteReference w:id="63"/>
      </w:r>
      <w:r w:rsidRPr="00AD652D">
        <w:t xml:space="preserve">  The U.S. Secretary of State wrote</w:t>
      </w:r>
      <w:r w:rsidR="00D36613" w:rsidRPr="00AD652D">
        <w:t xml:space="preserve"> to</w:t>
      </w:r>
      <w:r w:rsidRPr="00AD652D">
        <w:t xml:space="preserve"> the Governor of Colorado calling for </w:t>
      </w:r>
      <w:r w:rsidR="00661FF5" w:rsidRPr="00AD652D">
        <w:t>“</w:t>
      </w:r>
      <w:r w:rsidRPr="00AD652D">
        <w:t>protection of their rights of person, business and property.</w:t>
      </w:r>
      <w:r w:rsidR="00661FF5" w:rsidRPr="00AD652D">
        <w:t>”</w:t>
      </w:r>
      <w:r w:rsidRPr="00AD652D">
        <w:rPr>
          <w:vertAlign w:val="superscript"/>
        </w:rPr>
        <w:footnoteReference w:id="64"/>
      </w:r>
      <w:r w:rsidRPr="00AD652D">
        <w:t xml:space="preserve"> </w:t>
      </w:r>
      <w:r w:rsidR="0099195F" w:rsidRPr="00AD652D">
        <w:t xml:space="preserve"> </w:t>
      </w:r>
      <w:r w:rsidR="00374E0C" w:rsidRPr="00AD652D">
        <w:t>Nevertheless, t</w:t>
      </w:r>
      <w:r w:rsidR="0099195F" w:rsidRPr="00AD652D">
        <w:t xml:space="preserve">he efforts in Colorado were apparently </w:t>
      </w:r>
      <w:r w:rsidR="00663204" w:rsidRPr="00AD652D">
        <w:t xml:space="preserve">successful; in 1914 </w:t>
      </w:r>
      <w:r w:rsidR="00737944" w:rsidRPr="00AD652D">
        <w:t xml:space="preserve">Colorado </w:t>
      </w:r>
      <w:r w:rsidR="002E51D5">
        <w:t>authorities</w:t>
      </w:r>
      <w:r w:rsidR="0099195F" w:rsidRPr="00AD652D">
        <w:t xml:space="preserve"> reported that</w:t>
      </w:r>
      <w:r w:rsidRPr="00AD652D">
        <w:t xml:space="preserve"> </w:t>
      </w:r>
      <w:r w:rsidR="00663204" w:rsidRPr="00AD652D">
        <w:t xml:space="preserve">of the </w:t>
      </w:r>
      <w:r w:rsidRPr="00AD652D">
        <w:t>few Chinese remain</w:t>
      </w:r>
      <w:r w:rsidR="00663204" w:rsidRPr="00AD652D">
        <w:t>ing</w:t>
      </w:r>
      <w:r w:rsidRPr="00AD652D">
        <w:t xml:space="preserve"> </w:t>
      </w:r>
      <w:r w:rsidR="00663204" w:rsidRPr="00AD652D">
        <w:t>most</w:t>
      </w:r>
      <w:r w:rsidRPr="00AD652D">
        <w:t xml:space="preserve"> </w:t>
      </w:r>
      <w:r w:rsidR="00661FF5" w:rsidRPr="00AD652D">
        <w:t>“</w:t>
      </w:r>
      <w:r w:rsidRPr="00AD652D">
        <w:t>follow mostly the laundry business in the smaller towns  . . .  There are one or two uptown Chinese restaurants in Denver that are patronized by people that fancy this sort of cooking for a change, but they can scarcely be called in competition with the American establishments.</w:t>
      </w:r>
      <w:r w:rsidR="00661FF5" w:rsidRPr="00AD652D">
        <w:t>”</w:t>
      </w:r>
      <w:r w:rsidR="00663204" w:rsidRPr="00AD652D">
        <w:rPr>
          <w:rStyle w:val="FootnoteReference"/>
        </w:rPr>
        <w:t xml:space="preserve"> </w:t>
      </w:r>
      <w:r w:rsidR="00663204" w:rsidRPr="00AD652D">
        <w:rPr>
          <w:rStyle w:val="FootnoteReference"/>
        </w:rPr>
        <w:footnoteReference w:id="65"/>
      </w:r>
      <w:r w:rsidRPr="00AD652D">
        <w:t xml:space="preserve">  </w:t>
      </w:r>
    </w:p>
    <w:p w14:paraId="7C040B49" w14:textId="3EF676F0" w:rsidR="00615AE8" w:rsidRPr="00AD652D" w:rsidRDefault="00394E26" w:rsidP="00195169">
      <w:pPr>
        <w:spacing w:after="100" w:afterAutospacing="1"/>
      </w:pPr>
      <w:r w:rsidRPr="00AD652D">
        <w:t xml:space="preserve">Boycott was another </w:t>
      </w:r>
      <w:r w:rsidR="00C33526" w:rsidRPr="00AD652D">
        <w:t xml:space="preserve">important </w:t>
      </w:r>
      <w:r w:rsidRPr="00AD652D">
        <w:t xml:space="preserve">tool. </w:t>
      </w:r>
      <w:r w:rsidR="00EB4DDD" w:rsidRPr="00AD652D">
        <w:t xml:space="preserve">In the course of debating a resolution to extend Chinese Exclusion to other Asian races, one delegate to the Socialist National Convention of 1910 captured the </w:t>
      </w:r>
      <w:r w:rsidR="00C950DE" w:rsidRPr="00AD652D">
        <w:t>history when, speaking of the 1</w:t>
      </w:r>
      <w:r w:rsidR="00EB4DDD" w:rsidRPr="00AD652D">
        <w:t xml:space="preserve">880s, he noted: </w:t>
      </w:r>
      <w:r w:rsidR="00661FF5" w:rsidRPr="00AD652D">
        <w:t>“</w:t>
      </w:r>
      <w:r w:rsidR="00EB4DDD" w:rsidRPr="00AD652D">
        <w:t xml:space="preserve">[O]ur fear was the Chinaman; and we sent train loads of men across this continent with the cry, </w:t>
      </w:r>
      <w:r w:rsidR="00661FF5" w:rsidRPr="00AD652D">
        <w:t>‘</w:t>
      </w:r>
      <w:r w:rsidR="00EB4DDD" w:rsidRPr="00AD652D">
        <w:t>The Chinese must go.</w:t>
      </w:r>
      <w:r w:rsidR="00661FF5" w:rsidRPr="00AD652D">
        <w:t>’</w:t>
      </w:r>
      <w:r w:rsidR="00EB4DDD" w:rsidRPr="00AD652D">
        <w:t xml:space="preserve"> We instructed our men to boycott the Chinese laundries, Chinese restaurants, Chinese servants of all kinds. We fought the Chinamen and their exclusion took place.</w:t>
      </w:r>
      <w:r w:rsidR="00661FF5" w:rsidRPr="00AD652D">
        <w:t>”</w:t>
      </w:r>
      <w:r w:rsidR="00EB4DDD" w:rsidRPr="00AD652D">
        <w:rPr>
          <w:rStyle w:val="FootnoteReference"/>
        </w:rPr>
        <w:footnoteReference w:id="66"/>
      </w:r>
      <w:r w:rsidR="00C950DE" w:rsidRPr="00AD652D">
        <w:t xml:space="preserve">  </w:t>
      </w:r>
    </w:p>
    <w:p w14:paraId="1BD91687" w14:textId="5C3E046D" w:rsidR="00DD6366" w:rsidRPr="00AD652D" w:rsidRDefault="00103D4D" w:rsidP="00195169">
      <w:pPr>
        <w:spacing w:after="100" w:afterAutospacing="1"/>
      </w:pPr>
      <w:r>
        <w:t xml:space="preserve">Boycott was national </w:t>
      </w:r>
      <w:r w:rsidR="00C74003">
        <w:t xml:space="preserve">union </w:t>
      </w:r>
      <w:r>
        <w:t xml:space="preserve">policy.  </w:t>
      </w:r>
      <w:r w:rsidR="00DD6366" w:rsidRPr="00AD652D">
        <w:t xml:space="preserve">At the 1914 AFL convention, </w:t>
      </w:r>
      <w:r w:rsidR="002E51D5">
        <w:t>a</w:t>
      </w:r>
      <w:r w:rsidR="00DD6366" w:rsidRPr="00AD652D">
        <w:t xml:space="preserve"> New Jerse</w:t>
      </w:r>
      <w:r w:rsidR="00394E26" w:rsidRPr="00AD652D">
        <w:t>y</w:t>
      </w:r>
      <w:r w:rsidR="00DD6366" w:rsidRPr="00AD652D">
        <w:t xml:space="preserve"> </w:t>
      </w:r>
      <w:r w:rsidR="002E51D5">
        <w:t xml:space="preserve">delegate </w:t>
      </w:r>
      <w:r w:rsidR="00DD6366" w:rsidRPr="00AD652D">
        <w:t xml:space="preserve">introduced the following resolution: </w:t>
      </w:r>
    </w:p>
    <w:p w14:paraId="4EEB0920" w14:textId="32FCE734" w:rsidR="00A9551C" w:rsidRPr="00AD652D" w:rsidRDefault="00C21B43" w:rsidP="00195169">
      <w:pPr>
        <w:spacing w:after="100" w:afterAutospacing="1"/>
        <w:ind w:left="720"/>
      </w:pPr>
      <w:r w:rsidRPr="00AD652D">
        <w:t xml:space="preserve">WHEREAS, Chinese restaurants and Chinese laundries give no employment to American labor; </w:t>
      </w:r>
    </w:p>
    <w:p w14:paraId="444E30B8" w14:textId="77777777" w:rsidR="00A9551C" w:rsidRPr="00AD652D" w:rsidRDefault="00C21B43" w:rsidP="00195169">
      <w:pPr>
        <w:spacing w:after="100" w:afterAutospacing="1"/>
        <w:ind w:left="720"/>
      </w:pPr>
      <w:r w:rsidRPr="00AD652D">
        <w:t xml:space="preserve">WHEREAS, Chinese are not eligible to citizenship; and </w:t>
      </w:r>
    </w:p>
    <w:p w14:paraId="231F5DD8" w14:textId="77777777" w:rsidR="00A9551C" w:rsidRPr="00AD652D" w:rsidRDefault="00C21B43" w:rsidP="00195169">
      <w:pPr>
        <w:spacing w:after="100" w:afterAutospacing="1"/>
        <w:ind w:left="720"/>
      </w:pPr>
      <w:r w:rsidRPr="00AD652D">
        <w:t xml:space="preserve">WHEREAS, American laundries and American restaurants give employment to American labor; therefore be it </w:t>
      </w:r>
    </w:p>
    <w:p w14:paraId="29A8EB8F" w14:textId="1F67D8AE" w:rsidR="00D37FCD" w:rsidRPr="00AD652D" w:rsidRDefault="00C21B43" w:rsidP="00195169">
      <w:pPr>
        <w:spacing w:after="100" w:afterAutospacing="1"/>
        <w:ind w:left="720"/>
      </w:pPr>
      <w:r w:rsidRPr="00AD652D">
        <w:t>RESOLVED, That this, the Thirty Fourth Convention of the American Federation of Labor, requests its affiliated membership to give their patronage to American laundries and restaurants</w:t>
      </w:r>
      <w:r w:rsidR="00F24651" w:rsidRPr="00AD652D">
        <w:t>.</w:t>
      </w:r>
      <w:r w:rsidR="00BE41A6" w:rsidRPr="00AD652D">
        <w:rPr>
          <w:rStyle w:val="FootnoteReference"/>
        </w:rPr>
        <w:footnoteReference w:id="67"/>
      </w:r>
      <w:r w:rsidR="00BE41A6" w:rsidRPr="00AD652D">
        <w:t xml:space="preserve">  </w:t>
      </w:r>
    </w:p>
    <w:p w14:paraId="2B0FEDA1" w14:textId="40145A6C" w:rsidR="00D16943" w:rsidRDefault="00A44E66" w:rsidP="00D16943">
      <w:pPr>
        <w:spacing w:after="100" w:afterAutospacing="1"/>
        <w:ind w:firstLine="0"/>
      </w:pPr>
      <w:r w:rsidRPr="00AD652D">
        <w:t xml:space="preserve">The convention modified the resolution, approving </w:t>
      </w:r>
      <w:r w:rsidR="00394E26" w:rsidRPr="00AD652D">
        <w:t>an exhortation</w:t>
      </w:r>
      <w:r w:rsidRPr="00AD652D">
        <w:t xml:space="preserve"> to </w:t>
      </w:r>
      <w:r w:rsidR="00661FF5" w:rsidRPr="00AD652D">
        <w:t>“</w:t>
      </w:r>
      <w:r w:rsidRPr="00AD652D">
        <w:t>patronize union restaurants and laundries</w:t>
      </w:r>
      <w:r w:rsidR="00661FF5" w:rsidRPr="00AD652D">
        <w:t>”</w:t>
      </w:r>
      <w:r w:rsidRPr="00AD652D">
        <w:t xml:space="preserve"> and reminding members of </w:t>
      </w:r>
      <w:r w:rsidR="00F906C7" w:rsidRPr="00AD652D">
        <w:t>existing</w:t>
      </w:r>
      <w:r w:rsidRPr="00AD652D">
        <w:t xml:space="preserve"> </w:t>
      </w:r>
      <w:r w:rsidR="00394E26" w:rsidRPr="00AD652D">
        <w:t>support for</w:t>
      </w:r>
      <w:r w:rsidRPr="00AD652D">
        <w:t xml:space="preserve"> systematic Asian exclusion.</w:t>
      </w:r>
      <w:r w:rsidRPr="00AD652D">
        <w:rPr>
          <w:rStyle w:val="FootnoteReference"/>
        </w:rPr>
        <w:footnoteReference w:id="68"/>
      </w:r>
      <w:r w:rsidR="000717EA" w:rsidRPr="00AD652D">
        <w:t xml:space="preserve">  Because Chinese were generally excluded from </w:t>
      </w:r>
      <w:r w:rsidR="00F906C7" w:rsidRPr="00AD652D">
        <w:t>membership</w:t>
      </w:r>
      <w:r w:rsidR="000717EA" w:rsidRPr="00AD652D">
        <w:t xml:space="preserve">, </w:t>
      </w:r>
      <w:r w:rsidR="00EB4DDD" w:rsidRPr="00AD652D">
        <w:t>the resolution as passed</w:t>
      </w:r>
      <w:r w:rsidR="000717EA" w:rsidRPr="00AD652D">
        <w:t xml:space="preserve"> was tantamount to a </w:t>
      </w:r>
      <w:r w:rsidR="00EB4DDD" w:rsidRPr="00AD652D">
        <w:t xml:space="preserve">national </w:t>
      </w:r>
      <w:r w:rsidR="000717EA" w:rsidRPr="00AD652D">
        <w:t>boycott.</w:t>
      </w:r>
      <w:r w:rsidR="00310508" w:rsidRPr="00AD652D">
        <w:t xml:space="preserve"> </w:t>
      </w:r>
      <w:r w:rsidR="00D16943">
        <w:t xml:space="preserve"> </w:t>
      </w:r>
    </w:p>
    <w:p w14:paraId="7DE1E3A5" w14:textId="239377CB" w:rsidR="00C01B37" w:rsidRPr="00AD652D" w:rsidRDefault="00884F5D" w:rsidP="00D16943">
      <w:pPr>
        <w:spacing w:after="100" w:afterAutospacing="1"/>
        <w:ind w:firstLine="0"/>
      </w:pPr>
      <w:r>
        <w:tab/>
      </w:r>
      <w:r w:rsidR="00674810" w:rsidRPr="00AD652D">
        <w:t xml:space="preserve">Other unions </w:t>
      </w:r>
      <w:r w:rsidR="00305319" w:rsidRPr="00AD652D">
        <w:t xml:space="preserve">also </w:t>
      </w:r>
      <w:r w:rsidR="00674810" w:rsidRPr="00AD652D">
        <w:t xml:space="preserve">endorsed boycotts.  </w:t>
      </w:r>
      <w:r w:rsidR="00C01B37" w:rsidRPr="00AD652D">
        <w:t xml:space="preserve">In 1915, the Hotel and Restaurant Employees International Alliance and the Bartenders International League voted </w:t>
      </w:r>
      <w:r>
        <w:t>to</w:t>
      </w:r>
      <w:r w:rsidR="00C01B37" w:rsidRPr="00AD652D">
        <w:t xml:space="preserve"> boycott </w:t>
      </w:r>
      <w:r w:rsidR="00661FF5" w:rsidRPr="00AD652D">
        <w:t>“</w:t>
      </w:r>
      <w:r w:rsidR="00C01B37" w:rsidRPr="00AD652D">
        <w:t>Japanese and Chinese Restaurants and Chinese Laundries,</w:t>
      </w:r>
      <w:r w:rsidR="00661FF5" w:rsidRPr="00AD652D">
        <w:t>”</w:t>
      </w:r>
      <w:r w:rsidR="00C01B37" w:rsidRPr="00AD652D">
        <w:t xml:space="preserve"> and </w:t>
      </w:r>
      <w:r>
        <w:t xml:space="preserve">decreed </w:t>
      </w:r>
      <w:r w:rsidR="00C01B37" w:rsidRPr="00AD652D">
        <w:t xml:space="preserve">that </w:t>
      </w:r>
      <w:r w:rsidR="00661FF5" w:rsidRPr="00AD652D">
        <w:t>“</w:t>
      </w:r>
      <w:r w:rsidR="00C01B37" w:rsidRPr="00AD652D">
        <w:t>that no members of our International Union be permitted to work with Asiatics, and that no House Card or Bar Label or Union Button be displayed in such places.</w:t>
      </w:r>
      <w:r w:rsidR="00661FF5" w:rsidRPr="00AD652D">
        <w:t>”</w:t>
      </w:r>
      <w:r w:rsidR="00C01B37" w:rsidRPr="00AD652D">
        <w:rPr>
          <w:vertAlign w:val="superscript"/>
        </w:rPr>
        <w:footnoteReference w:id="69"/>
      </w:r>
      <w:r w:rsidR="00C01B37" w:rsidRPr="00AD652D">
        <w:t xml:space="preserve">  Notably, some members argued that the </w:t>
      </w:r>
      <w:r w:rsidR="00305319" w:rsidRPr="00AD652D">
        <w:t>wiser</w:t>
      </w:r>
      <w:r w:rsidR="00C01B37" w:rsidRPr="00AD652D">
        <w:t xml:space="preserve"> course would be to </w:t>
      </w:r>
      <w:r w:rsidR="00156A5F">
        <w:t>invite</w:t>
      </w:r>
      <w:r w:rsidR="00C01B37" w:rsidRPr="00AD652D">
        <w:t xml:space="preserve"> Chinese into the union.</w:t>
      </w:r>
      <w:r w:rsidR="00C01B37" w:rsidRPr="00AD652D">
        <w:rPr>
          <w:vertAlign w:val="superscript"/>
        </w:rPr>
        <w:footnoteReference w:id="70"/>
      </w:r>
      <w:r w:rsidR="00C01B37" w:rsidRPr="00AD652D">
        <w:t xml:space="preserve"> But the prevailing sentiment was that the union should </w:t>
      </w:r>
      <w:r w:rsidR="00661FF5" w:rsidRPr="00AD652D">
        <w:t>“</w:t>
      </w:r>
      <w:r w:rsidR="00C01B37" w:rsidRPr="00AD652D">
        <w:t>chase the slant-eyed celestials and the little brown skinned fellows back to the place where they belong.</w:t>
      </w:r>
      <w:r w:rsidR="00661FF5" w:rsidRPr="00AD652D">
        <w:t>”</w:t>
      </w:r>
      <w:r w:rsidR="00C01B37" w:rsidRPr="00AD652D">
        <w:rPr>
          <w:vertAlign w:val="superscript"/>
        </w:rPr>
        <w:footnoteReference w:id="71"/>
      </w:r>
      <w:r w:rsidR="00C01B37" w:rsidRPr="00AD652D">
        <w:t xml:space="preserve">   </w:t>
      </w:r>
    </w:p>
    <w:p w14:paraId="2C4F877D" w14:textId="38BA925B" w:rsidR="008B67F7" w:rsidRPr="00AD652D" w:rsidRDefault="007948B6" w:rsidP="008B67F7">
      <w:pPr>
        <w:spacing w:after="100" w:afterAutospacing="1"/>
      </w:pPr>
      <w:r w:rsidRPr="00AD652D">
        <w:t xml:space="preserve">The </w:t>
      </w:r>
      <w:r w:rsidRPr="00AD652D">
        <w:rPr>
          <w:i/>
        </w:rPr>
        <w:t>Mixer and Server</w:t>
      </w:r>
      <w:r w:rsidRPr="00AD652D">
        <w:t xml:space="preserve"> </w:t>
      </w:r>
      <w:r w:rsidR="00A4283F" w:rsidRPr="00AD652D">
        <w:t xml:space="preserve">and other media </w:t>
      </w:r>
      <w:r w:rsidRPr="00AD652D">
        <w:t xml:space="preserve">reported boycotts </w:t>
      </w:r>
      <w:r w:rsidR="009C7D8A" w:rsidRPr="00AD652D">
        <w:t xml:space="preserve">in cities across </w:t>
      </w:r>
      <w:r w:rsidR="00156A5F">
        <w:t>the country,</w:t>
      </w:r>
      <w:r w:rsidR="004A0B39" w:rsidRPr="00AD652D">
        <w:rPr>
          <w:rStyle w:val="FootnoteReference"/>
        </w:rPr>
        <w:footnoteReference w:id="72"/>
      </w:r>
      <w:r w:rsidRPr="00AD652D">
        <w:t xml:space="preserve"> </w:t>
      </w:r>
      <w:r w:rsidR="00357C59">
        <w:t>including</w:t>
      </w:r>
      <w:r w:rsidRPr="00AD652D">
        <w:t xml:space="preserve"> </w:t>
      </w:r>
      <w:r w:rsidR="00156A5F">
        <w:t>i</w:t>
      </w:r>
      <w:r w:rsidR="00500FA2" w:rsidRPr="00AD652D">
        <w:t xml:space="preserve">n </w:t>
      </w:r>
      <w:r w:rsidR="003B1E84">
        <w:t>Phoenix, Tucson</w:t>
      </w:r>
      <w:r w:rsidR="00A7697D" w:rsidRPr="00AD652D">
        <w:rPr>
          <w:vertAlign w:val="superscript"/>
        </w:rPr>
        <w:footnoteReference w:id="73"/>
      </w:r>
      <w:r w:rsidR="003B1E84">
        <w:t xml:space="preserve"> and Willcox,</w:t>
      </w:r>
      <w:r w:rsidR="00A7697D">
        <w:rPr>
          <w:rStyle w:val="FootnoteReference"/>
        </w:rPr>
        <w:footnoteReference w:id="74"/>
      </w:r>
      <w:r w:rsidR="003B1E84">
        <w:t xml:space="preserve"> </w:t>
      </w:r>
      <w:r w:rsidR="00156A5F">
        <w:t>Arizona,</w:t>
      </w:r>
      <w:r w:rsidR="00AE02C1" w:rsidRPr="00AD652D">
        <w:t xml:space="preserve"> </w:t>
      </w:r>
      <w:r w:rsidR="0091427F">
        <w:t>San Francisco,</w:t>
      </w:r>
      <w:r w:rsidR="0091427F">
        <w:rPr>
          <w:rStyle w:val="FootnoteReference"/>
        </w:rPr>
        <w:footnoteReference w:id="75"/>
      </w:r>
      <w:r w:rsidR="0091427F">
        <w:t xml:space="preserve"> </w:t>
      </w:r>
      <w:r w:rsidR="000C2616" w:rsidRPr="00AD652D">
        <w:t>Brockton, Massachusetts</w:t>
      </w:r>
      <w:r w:rsidR="000C2616">
        <w:t>,</w:t>
      </w:r>
      <w:r w:rsidR="000C2616" w:rsidRPr="00AD652D">
        <w:rPr>
          <w:vertAlign w:val="superscript"/>
        </w:rPr>
        <w:footnoteReference w:id="76"/>
      </w:r>
      <w:r w:rsidR="000C2616" w:rsidRPr="00AD652D">
        <w:t xml:space="preserve"> </w:t>
      </w:r>
      <w:r w:rsidR="00E311F0">
        <w:t>Duluth,</w:t>
      </w:r>
      <w:r w:rsidR="001D7EC5">
        <w:rPr>
          <w:rStyle w:val="FootnoteReference"/>
        </w:rPr>
        <w:footnoteReference w:id="77"/>
      </w:r>
      <w:r w:rsidR="00E311F0">
        <w:t xml:space="preserve"> Minneapolis,</w:t>
      </w:r>
      <w:r w:rsidR="00E311F0" w:rsidRPr="008B67F7">
        <w:t xml:space="preserve"> </w:t>
      </w:r>
      <w:r w:rsidR="00E311F0">
        <w:t>and St. Paul,</w:t>
      </w:r>
      <w:bookmarkStart w:id="26" w:name="_Ref461978984"/>
      <w:r w:rsidR="003410A5" w:rsidRPr="00AD652D">
        <w:rPr>
          <w:rStyle w:val="FootnoteReference"/>
        </w:rPr>
        <w:footnoteReference w:id="78"/>
      </w:r>
      <w:bookmarkEnd w:id="26"/>
      <w:r w:rsidR="003410A5" w:rsidRPr="008B67F7">
        <w:t xml:space="preserve"> </w:t>
      </w:r>
      <w:r w:rsidR="00E311F0">
        <w:t xml:space="preserve"> Minnesota, Butte,</w:t>
      </w:r>
      <w:r w:rsidR="006F6562">
        <w:t xml:space="preserve"> Billings and Deer Lodge,</w:t>
      </w:r>
      <w:r w:rsidR="00E311F0">
        <w:t xml:space="preserve"> Montana,</w:t>
      </w:r>
      <w:r w:rsidR="00BC5299" w:rsidRPr="00AD652D">
        <w:rPr>
          <w:rStyle w:val="FootnoteReference"/>
        </w:rPr>
        <w:footnoteReference w:id="79"/>
      </w:r>
      <w:r w:rsidR="007369D3" w:rsidRPr="00AD652D">
        <w:t xml:space="preserve"> </w:t>
      </w:r>
      <w:r w:rsidR="00E311F0">
        <w:t xml:space="preserve"> </w:t>
      </w:r>
      <w:r w:rsidR="00753BC5">
        <w:t>Tonopah, Nevada,</w:t>
      </w:r>
      <w:r w:rsidR="00753BC5">
        <w:rPr>
          <w:rStyle w:val="FootnoteReference"/>
        </w:rPr>
        <w:footnoteReference w:id="80"/>
      </w:r>
      <w:r w:rsidR="00753BC5">
        <w:t xml:space="preserve"> </w:t>
      </w:r>
      <w:r w:rsidR="00E311F0">
        <w:t>Cleveland, Ohio,</w:t>
      </w:r>
      <w:r w:rsidR="00BC5299">
        <w:rPr>
          <w:rStyle w:val="FootnoteReference"/>
        </w:rPr>
        <w:footnoteReference w:id="81"/>
      </w:r>
      <w:r w:rsidR="00E311F0">
        <w:t xml:space="preserve"> </w:t>
      </w:r>
      <w:r w:rsidR="00BD5BE0" w:rsidRPr="00AD652D">
        <w:t>El Paso, Texas</w:t>
      </w:r>
      <w:r w:rsidR="00BD5BE0">
        <w:t>,</w:t>
      </w:r>
      <w:r w:rsidR="00BD5BE0" w:rsidRPr="00AD652D">
        <w:rPr>
          <w:vertAlign w:val="superscript"/>
        </w:rPr>
        <w:footnoteReference w:id="82"/>
      </w:r>
      <w:r w:rsidR="00BD5BE0">
        <w:t xml:space="preserve"> </w:t>
      </w:r>
      <w:r w:rsidR="00AE02C1" w:rsidRPr="00AD652D">
        <w:t>Ogden, Utah</w:t>
      </w:r>
      <w:r w:rsidR="00E311F0">
        <w:t>,</w:t>
      </w:r>
      <w:r w:rsidR="00AE02C1" w:rsidRPr="00AD652D">
        <w:rPr>
          <w:vertAlign w:val="superscript"/>
        </w:rPr>
        <w:footnoteReference w:id="83"/>
      </w:r>
      <w:r w:rsidR="00A4283F" w:rsidRPr="00AD652D">
        <w:t xml:space="preserve"> </w:t>
      </w:r>
      <w:r w:rsidR="00E311F0">
        <w:t>and</w:t>
      </w:r>
      <w:r w:rsidR="00A4283F" w:rsidRPr="00AD652D">
        <w:t xml:space="preserve"> </w:t>
      </w:r>
      <w:r w:rsidR="000C2616" w:rsidRPr="00AD652D">
        <w:t>Casper, Wyoming</w:t>
      </w:r>
      <w:r w:rsidR="004E27D9">
        <w:t>.</w:t>
      </w:r>
      <w:r w:rsidR="000C2616" w:rsidRPr="00AD652D">
        <w:rPr>
          <w:vertAlign w:val="superscript"/>
        </w:rPr>
        <w:footnoteReference w:id="84"/>
      </w:r>
      <w:r w:rsidR="000C2616" w:rsidRPr="00AD652D">
        <w:t xml:space="preserve"> </w:t>
      </w:r>
      <w:r w:rsidR="00F32055">
        <w:t xml:space="preserve"> There were probably others that did not make the news.</w:t>
      </w:r>
    </w:p>
    <w:p w14:paraId="349D533C" w14:textId="1384D285" w:rsidR="00D37FCD" w:rsidRPr="00AD652D" w:rsidRDefault="000D5FEF" w:rsidP="0036098F">
      <w:pPr>
        <w:spacing w:after="100" w:afterAutospacing="1"/>
        <w:ind w:firstLine="0"/>
      </w:pPr>
      <w:r w:rsidRPr="00AD652D">
        <w:tab/>
      </w:r>
      <w:r w:rsidR="007414C5" w:rsidRPr="00AD652D">
        <w:t xml:space="preserve">Chinese restaurants were </w:t>
      </w:r>
      <w:r w:rsidR="002F207A" w:rsidRPr="00AD652D">
        <w:t>inexpensive</w:t>
      </w:r>
      <w:r w:rsidR="007414C5" w:rsidRPr="00AD652D">
        <w:t>,</w:t>
      </w:r>
      <w:r w:rsidR="002F207A" w:rsidRPr="00AD652D">
        <w:rPr>
          <w:rStyle w:val="FootnoteReference"/>
        </w:rPr>
        <w:footnoteReference w:id="85"/>
      </w:r>
      <w:r w:rsidR="007414C5" w:rsidRPr="00AD652D">
        <w:t xml:space="preserve"> and thus </w:t>
      </w:r>
      <w:r w:rsidR="0099078E" w:rsidRPr="00AD652D">
        <w:t>union members</w:t>
      </w:r>
      <w:r w:rsidR="007414C5" w:rsidRPr="00AD652D">
        <w:t xml:space="preserve"> were tempted to patronize them</w:t>
      </w:r>
      <w:r w:rsidR="002F207A" w:rsidRPr="00AD652D">
        <w:t xml:space="preserve"> boycotts notwithstanding</w:t>
      </w:r>
      <w:r w:rsidR="007414C5" w:rsidRPr="00AD652D">
        <w:t>.</w:t>
      </w:r>
      <w:r w:rsidR="00691B0C" w:rsidRPr="00AD652D">
        <w:t xml:space="preserve"> </w:t>
      </w:r>
      <w:r w:rsidR="007414C5" w:rsidRPr="00AD652D">
        <w:t xml:space="preserve"> </w:t>
      </w:r>
      <w:r w:rsidR="003D7C8F" w:rsidRPr="00AD652D">
        <w:t xml:space="preserve">Leaders </w:t>
      </w:r>
      <w:r w:rsidR="00B32C02">
        <w:t>warned</w:t>
      </w:r>
      <w:r w:rsidR="00696A1F" w:rsidRPr="00AD652D">
        <w:t xml:space="preserve"> </w:t>
      </w:r>
      <w:r w:rsidR="00661FF5" w:rsidRPr="00AD652D">
        <w:t>“</w:t>
      </w:r>
      <w:r w:rsidRPr="00AD652D">
        <w:t>thousands of these Asiatics find encouragement in this country</w:t>
      </w:r>
      <w:r w:rsidR="00661FF5" w:rsidRPr="00AD652D">
        <w:t>”</w:t>
      </w:r>
      <w:r w:rsidR="00696A1F" w:rsidRPr="00AD652D">
        <w:t xml:space="preserve"> </w:t>
      </w:r>
      <w:r w:rsidR="00A445C4">
        <w:t xml:space="preserve">if their businesses are patronized, </w:t>
      </w:r>
      <w:r w:rsidR="00696A1F" w:rsidRPr="00AD652D">
        <w:t xml:space="preserve">and </w:t>
      </w:r>
      <w:r w:rsidR="00724143" w:rsidRPr="00AD652D">
        <w:t>eatin</w:t>
      </w:r>
      <w:r w:rsidR="0099078E" w:rsidRPr="00AD652D">
        <w:t>g</w:t>
      </w:r>
      <w:r w:rsidR="00724143" w:rsidRPr="00AD652D">
        <w:t xml:space="preserve"> Chinese food means</w:t>
      </w:r>
      <w:r w:rsidR="00696A1F" w:rsidRPr="00AD652D">
        <w:t xml:space="preserve"> </w:t>
      </w:r>
      <w:r w:rsidR="00661FF5" w:rsidRPr="00AD652D">
        <w:t>“</w:t>
      </w:r>
      <w:r w:rsidRPr="00AD652D">
        <w:t>the continuation indefinitely of a terrible struggle against these barbarians.</w:t>
      </w:r>
      <w:r w:rsidR="00661FF5" w:rsidRPr="00AD652D">
        <w:t>”</w:t>
      </w:r>
      <w:r w:rsidRPr="00AD652D">
        <w:rPr>
          <w:vertAlign w:val="superscript"/>
        </w:rPr>
        <w:footnoteReference w:id="86"/>
      </w:r>
      <w:r w:rsidR="0099078E" w:rsidRPr="00AD652D">
        <w:t xml:space="preserve">  </w:t>
      </w:r>
      <w:r w:rsidR="00743F72">
        <w:t xml:space="preserve">Unions imposed fines to </w:t>
      </w:r>
      <w:r w:rsidR="00D50096">
        <w:t>compel compliance</w:t>
      </w:r>
      <w:r w:rsidR="00B062BC">
        <w:t>,</w:t>
      </w:r>
      <w:r w:rsidR="00B45A43" w:rsidRPr="00AD652D">
        <w:rPr>
          <w:rStyle w:val="FootnoteReference"/>
        </w:rPr>
        <w:footnoteReference w:id="87"/>
      </w:r>
      <w:r w:rsidR="00B062BC">
        <w:t xml:space="preserve"> but, as one union organizer reported, “a lot of union men seem to have, I am sorry to say, a fancy for Chop Suey.”</w:t>
      </w:r>
      <w:r w:rsidR="00B062BC">
        <w:rPr>
          <w:rStyle w:val="FootnoteReference"/>
        </w:rPr>
        <w:footnoteReference w:id="88"/>
      </w:r>
      <w:r w:rsidR="00B45A43" w:rsidRPr="00AD652D">
        <w:t xml:space="preserve"> </w:t>
      </w:r>
      <w:r w:rsidR="00D91861" w:rsidRPr="00AD652D">
        <w:t xml:space="preserve"> </w:t>
      </w:r>
    </w:p>
    <w:p w14:paraId="1F7AA5C7" w14:textId="1A7A27F8" w:rsidR="003852B8" w:rsidRPr="00AD652D" w:rsidRDefault="005B7A89" w:rsidP="00195169">
      <w:pPr>
        <w:spacing w:after="100" w:afterAutospacing="1"/>
      </w:pPr>
      <w:r w:rsidRPr="00AD652D">
        <w:t xml:space="preserve">Litigation in Cleveland, Ohio made clear that </w:t>
      </w:r>
      <w:r w:rsidR="00946EB1" w:rsidRPr="00AD652D">
        <w:t>the boycotts of Chinese restaurants were of a different character t</w:t>
      </w:r>
      <w:r w:rsidR="009072E7" w:rsidRPr="00AD652D">
        <w:t xml:space="preserve">han other sorts of labor action—not designed to </w:t>
      </w:r>
      <w:r w:rsidR="001569B2" w:rsidRPr="00AD652D">
        <w:t>recruit</w:t>
      </w:r>
      <w:r w:rsidR="009072E7" w:rsidRPr="00AD652D">
        <w:t xml:space="preserve"> new union members or </w:t>
      </w:r>
      <w:r w:rsidR="00A31E15" w:rsidRPr="00AD652D">
        <w:t>persuade</w:t>
      </w:r>
      <w:r w:rsidR="009072E7" w:rsidRPr="00AD652D">
        <w:t xml:space="preserve"> businesses</w:t>
      </w:r>
      <w:r w:rsidR="00A31E15" w:rsidRPr="00AD652D">
        <w:t xml:space="preserve"> to sign a contract</w:t>
      </w:r>
      <w:r w:rsidR="009072E7" w:rsidRPr="00AD652D">
        <w:t xml:space="preserve">, </w:t>
      </w:r>
      <w:r w:rsidR="009509BF">
        <w:t>they sought</w:t>
      </w:r>
      <w:r w:rsidR="009072E7" w:rsidRPr="00AD652D">
        <w:t xml:space="preserve"> to render Asi</w:t>
      </w:r>
      <w:r w:rsidR="001569B2" w:rsidRPr="00AD652D">
        <w:t>an workers unemployed, or shut</w:t>
      </w:r>
      <w:r w:rsidR="005874B9">
        <w:t>ter</w:t>
      </w:r>
      <w:r w:rsidR="001569B2" w:rsidRPr="00AD652D">
        <w:t xml:space="preserve"> </w:t>
      </w:r>
      <w:r w:rsidR="00A31E15" w:rsidRPr="00AD652D">
        <w:t>Asian</w:t>
      </w:r>
      <w:r w:rsidR="001569B2" w:rsidRPr="00AD652D">
        <w:t xml:space="preserve"> businesses</w:t>
      </w:r>
      <w:r w:rsidR="009072E7" w:rsidRPr="00AD652D">
        <w:t>.</w:t>
      </w:r>
      <w:r w:rsidR="00530516" w:rsidRPr="00AD652D">
        <w:rPr>
          <w:rStyle w:val="FootnoteReference"/>
        </w:rPr>
        <w:footnoteReference w:id="89"/>
      </w:r>
      <w:r w:rsidR="00946EB1" w:rsidRPr="00AD652D">
        <w:t xml:space="preserve">  </w:t>
      </w:r>
      <w:r w:rsidR="003852B8" w:rsidRPr="00AD652D">
        <w:t xml:space="preserve">In 1919, </w:t>
      </w:r>
      <w:r w:rsidR="00AE19F3" w:rsidRPr="00AD652D">
        <w:t xml:space="preserve">Cleveland </w:t>
      </w:r>
      <w:r w:rsidRPr="00AD652D">
        <w:t xml:space="preserve">unions </w:t>
      </w:r>
      <w:r w:rsidR="003852B8" w:rsidRPr="00AD652D">
        <w:t xml:space="preserve">recognized seriousness of </w:t>
      </w:r>
      <w:r w:rsidR="00661FF5" w:rsidRPr="00AD652D">
        <w:t>“</w:t>
      </w:r>
      <w:r w:rsidR="003852B8" w:rsidRPr="00AD652D">
        <w:t>the Chinese situation</w:t>
      </w:r>
      <w:r w:rsidR="00661FF5" w:rsidRPr="00AD652D">
        <w:t>”</w:t>
      </w:r>
      <w:r w:rsidR="003852B8" w:rsidRPr="00AD652D">
        <w:t xml:space="preserve"> — </w:t>
      </w:r>
      <w:r w:rsidR="00661FF5" w:rsidRPr="00AD652D">
        <w:t>“</w:t>
      </w:r>
      <w:r w:rsidR="003852B8" w:rsidRPr="00AD652D">
        <w:t>one small [Chinese restaurant] twenty years ago to all of 25 at the present time.</w:t>
      </w:r>
      <w:r w:rsidR="00661FF5" w:rsidRPr="00AD652D">
        <w:t>”</w:t>
      </w:r>
      <w:r w:rsidR="003852B8" w:rsidRPr="00AD652D">
        <w:rPr>
          <w:vertAlign w:val="superscript"/>
        </w:rPr>
        <w:footnoteReference w:id="90"/>
      </w:r>
      <w:r w:rsidR="003852B8" w:rsidRPr="00AD652D">
        <w:t xml:space="preserve"> </w:t>
      </w:r>
      <w:r w:rsidR="008A4E63" w:rsidRPr="00AD652D">
        <w:t>U</w:t>
      </w:r>
      <w:r w:rsidR="003852B8" w:rsidRPr="00AD652D">
        <w:t xml:space="preserve">nion members picketed </w:t>
      </w:r>
      <w:r w:rsidR="001F69D0" w:rsidRPr="00AD652D">
        <w:t xml:space="preserve">two </w:t>
      </w:r>
      <w:r w:rsidR="003852B8" w:rsidRPr="00AD652D">
        <w:t>new Chinese restaurant</w:t>
      </w:r>
      <w:r w:rsidR="001F69D0" w:rsidRPr="00AD652D">
        <w:t>s</w:t>
      </w:r>
      <w:r w:rsidR="003852B8" w:rsidRPr="00AD652D">
        <w:t>, the Golden Pheasant</w:t>
      </w:r>
      <w:r w:rsidR="007876FF" w:rsidRPr="00AD652D">
        <w:t xml:space="preserve"> </w:t>
      </w:r>
      <w:r w:rsidR="001F69D0" w:rsidRPr="00AD652D">
        <w:t xml:space="preserve">and </w:t>
      </w:r>
      <w:r w:rsidR="007876FF" w:rsidRPr="00AD652D">
        <w:t>the Peacock Inn</w:t>
      </w:r>
      <w:r w:rsidR="00070158">
        <w:t>;</w:t>
      </w:r>
      <w:r w:rsidR="003852B8" w:rsidRPr="00AD652D">
        <w:rPr>
          <w:vertAlign w:val="superscript"/>
        </w:rPr>
        <w:footnoteReference w:id="91"/>
      </w:r>
      <w:r w:rsidR="003852B8" w:rsidRPr="00AD652D">
        <w:t xml:space="preserve"> </w:t>
      </w:r>
      <w:r w:rsidR="00070158">
        <w:t>the latter</w:t>
      </w:r>
      <w:r w:rsidR="00D86469" w:rsidRPr="00AD652D">
        <w:t xml:space="preserve"> res</w:t>
      </w:r>
      <w:r w:rsidR="00245F51" w:rsidRPr="00AD652D">
        <w:t>ponded with a lawsuit</w:t>
      </w:r>
      <w:r w:rsidR="009106EA">
        <w:t>.</w:t>
      </w:r>
      <w:r w:rsidR="003852B8" w:rsidRPr="00AD652D">
        <w:rPr>
          <w:vertAlign w:val="superscript"/>
        </w:rPr>
        <w:footnoteReference w:id="92"/>
      </w:r>
      <w:r w:rsidR="003852B8" w:rsidRPr="00AD652D">
        <w:t xml:space="preserve"> </w:t>
      </w:r>
      <w:r w:rsidR="00421FD6" w:rsidRPr="00AD652D">
        <w:t xml:space="preserve"> </w:t>
      </w:r>
      <w:r w:rsidR="00A37003" w:rsidRPr="00AD652D">
        <w:t>Judge Martin A. Foran</w:t>
      </w:r>
      <w:r w:rsidR="00A6240C" w:rsidRPr="00AD652D">
        <w:t xml:space="preserve"> was uniquely suited to </w:t>
      </w:r>
      <w:r w:rsidR="006E7D59">
        <w:t>decide</w:t>
      </w:r>
      <w:r w:rsidR="00A6240C" w:rsidRPr="00AD652D">
        <w:t xml:space="preserve"> the case</w:t>
      </w:r>
      <w:r w:rsidR="00414CC9" w:rsidRPr="00AD652D">
        <w:t xml:space="preserve">; he had been </w:t>
      </w:r>
      <w:r w:rsidR="00A37003" w:rsidRPr="00AD652D">
        <w:t>a member of Congress</w:t>
      </w:r>
      <w:r w:rsidR="00A6240C" w:rsidRPr="00AD652D">
        <w:t xml:space="preserve"> when the Chinese Exclusion Act was revised, and </w:t>
      </w:r>
      <w:r w:rsidR="00414CC9" w:rsidRPr="00AD652D">
        <w:t xml:space="preserve">previously served as </w:t>
      </w:r>
      <w:r w:rsidR="00A6240C" w:rsidRPr="00AD652D">
        <w:t>president</w:t>
      </w:r>
      <w:r w:rsidR="00DA1849" w:rsidRPr="00AD652D">
        <w:t xml:space="preserve"> of the Coopers International Union</w:t>
      </w:r>
      <w:r w:rsidR="00A6240C" w:rsidRPr="00AD652D">
        <w:t xml:space="preserve">.  He </w:t>
      </w:r>
      <w:r w:rsidR="005874B9">
        <w:t>found that picketers</w:t>
      </w:r>
      <w:r w:rsidR="00421FD6" w:rsidRPr="00AD652D">
        <w:t xml:space="preserve"> encouraged patrons to eat elsewhere</w:t>
      </w:r>
      <w:r w:rsidR="00E21944" w:rsidRPr="00AD652D">
        <w:t xml:space="preserve"> </w:t>
      </w:r>
      <w:r w:rsidR="00661FF5" w:rsidRPr="00AD652D">
        <w:t>“</w:t>
      </w:r>
      <w:r w:rsidR="003852B8" w:rsidRPr="00AD652D">
        <w:t>on the ground that they are Chinamen and members of the yellow race, and that Americans should not patronize a Chinese restaurant, but should confine their patronage and support to restaurants operated by Americans or by white persons.</w:t>
      </w:r>
      <w:r w:rsidR="00661FF5" w:rsidRPr="00AD652D">
        <w:t>”</w:t>
      </w:r>
      <w:r w:rsidR="003852B8" w:rsidRPr="00AD652D">
        <w:rPr>
          <w:vertAlign w:val="superscript"/>
        </w:rPr>
        <w:footnoteReference w:id="93"/>
      </w:r>
    </w:p>
    <w:p w14:paraId="2643864D" w14:textId="688D6E52" w:rsidR="00AF7DE5" w:rsidRPr="00AD652D" w:rsidRDefault="003852B8" w:rsidP="00195169">
      <w:pPr>
        <w:spacing w:after="100" w:afterAutospacing="1"/>
        <w:ind w:firstLine="0"/>
      </w:pPr>
      <w:r w:rsidRPr="00AD652D">
        <w:tab/>
      </w:r>
      <w:r w:rsidR="00DA1849" w:rsidRPr="00AD652D">
        <w:t>Judge Foran</w:t>
      </w:r>
      <w:r w:rsidRPr="00AD652D">
        <w:t xml:space="preserve"> </w:t>
      </w:r>
      <w:r w:rsidR="009106EA">
        <w:t xml:space="preserve">enjoined the picketing and </w:t>
      </w:r>
      <w:r w:rsidR="005B0B28" w:rsidRPr="00AD652D">
        <w:t xml:space="preserve">scolded the unions, noting </w:t>
      </w:r>
      <w:r w:rsidR="00661FF5" w:rsidRPr="00AD652D">
        <w:t>“</w:t>
      </w:r>
      <w:r w:rsidRPr="00AD652D">
        <w:t>that all men, even including Chinamen residents of the United States, stand equally before the law.</w:t>
      </w:r>
      <w:r w:rsidR="00661FF5" w:rsidRPr="00AD652D">
        <w:t>”</w:t>
      </w:r>
      <w:r w:rsidRPr="00AD652D">
        <w:rPr>
          <w:vertAlign w:val="superscript"/>
        </w:rPr>
        <w:footnoteReference w:id="94"/>
      </w:r>
      <w:r w:rsidR="00DA1849" w:rsidRPr="00AD652D">
        <w:t xml:space="preserve"> He</w:t>
      </w:r>
      <w:r w:rsidRPr="00AD652D">
        <w:t xml:space="preserve"> </w:t>
      </w:r>
      <w:r w:rsidR="002F40AA" w:rsidRPr="00AD652D">
        <w:t>noted that th</w:t>
      </w:r>
      <w:r w:rsidR="00DA1849" w:rsidRPr="00AD652D">
        <w:t>e picketing</w:t>
      </w:r>
      <w:r w:rsidR="002F40AA" w:rsidRPr="00AD652D">
        <w:t xml:space="preserve"> was not an attempt to unionize the workers</w:t>
      </w:r>
      <w:r w:rsidRPr="00AD652D">
        <w:t xml:space="preserve">: </w:t>
      </w:r>
      <w:r w:rsidR="00661FF5" w:rsidRPr="00AD652D">
        <w:t>“</w:t>
      </w:r>
      <w:r w:rsidRPr="00AD652D">
        <w:t>no persons can become members who are not citizens by birth or naturalization</w:t>
      </w:r>
      <w:r w:rsidR="002E4B58" w:rsidRPr="00AD652D">
        <w:t xml:space="preserve">  . . . </w:t>
      </w:r>
      <w:r w:rsidRPr="00AD652D">
        <w:t>It is admitted that Chinamen cannot belong to any local of defendants</w:t>
      </w:r>
      <w:r w:rsidR="00661FF5" w:rsidRPr="00AD652D">
        <w:t>’</w:t>
      </w:r>
      <w:r w:rsidRPr="00AD652D">
        <w:t xml:space="preserve"> international union</w:t>
      </w:r>
      <w:r w:rsidR="002269C6" w:rsidRPr="00AD652D">
        <w:t>.</w:t>
      </w:r>
      <w:r w:rsidR="00661FF5" w:rsidRPr="00AD652D">
        <w:t>”</w:t>
      </w:r>
      <w:r w:rsidR="002269C6" w:rsidRPr="00AD652D">
        <w:rPr>
          <w:vertAlign w:val="superscript"/>
        </w:rPr>
        <w:footnoteReference w:id="95"/>
      </w:r>
      <w:r w:rsidR="009E58ED" w:rsidRPr="00AD652D">
        <w:t xml:space="preserve"> </w:t>
      </w:r>
      <w:r w:rsidR="00301CDD" w:rsidRPr="00AD652D">
        <w:t xml:space="preserve">Accordingly, the real aim was to </w:t>
      </w:r>
      <w:r w:rsidR="00661FF5" w:rsidRPr="00AD652D">
        <w:t>“</w:t>
      </w:r>
      <w:r w:rsidRPr="00AD652D">
        <w:t>compel</w:t>
      </w:r>
      <w:r w:rsidR="00301CDD" w:rsidRPr="00AD652D">
        <w:t>[]</w:t>
      </w:r>
      <w:r w:rsidRPr="00AD652D">
        <w:t xml:space="preserve"> the management to discharge Chinese waiters and employ white waiters, and in default of so doing, compel the restaurant to cease doing business</w:t>
      </w:r>
      <w:r w:rsidR="002269C6" w:rsidRPr="00AD652D">
        <w:t>.</w:t>
      </w:r>
      <w:r w:rsidR="00661FF5" w:rsidRPr="00AD652D">
        <w:t>”</w:t>
      </w:r>
      <w:r w:rsidR="002269C6" w:rsidRPr="00AD652D">
        <w:rPr>
          <w:vertAlign w:val="superscript"/>
        </w:rPr>
        <w:footnoteReference w:id="96"/>
      </w:r>
      <w:r w:rsidR="00A977FC" w:rsidRPr="00AD652D">
        <w:t xml:space="preserve">  Similarly, </w:t>
      </w:r>
      <w:r w:rsidR="007E74C9" w:rsidRPr="00AD652D">
        <w:t>during</w:t>
      </w:r>
      <w:r w:rsidR="00A977FC" w:rsidRPr="00AD652D">
        <w:t xml:space="preserve"> </w:t>
      </w:r>
      <w:r w:rsidR="007E74C9" w:rsidRPr="00AD652D">
        <w:t xml:space="preserve">the </w:t>
      </w:r>
      <w:r w:rsidR="00A977FC" w:rsidRPr="00AD652D">
        <w:t xml:space="preserve">Minneapolis boycott of 1902-03, </w:t>
      </w:r>
      <w:r w:rsidR="00661FF5" w:rsidRPr="00AD652D">
        <w:t>“</w:t>
      </w:r>
      <w:r w:rsidR="00A672DF" w:rsidRPr="00AD652D">
        <w:t>[t]</w:t>
      </w:r>
      <w:r w:rsidR="00DD024B" w:rsidRPr="00AD652D">
        <w:t>he Chinese proprietors say they were directed to employ union men only but that this is impossible as Mongolians are barred from labor organizations.</w:t>
      </w:r>
      <w:r w:rsidR="00661FF5" w:rsidRPr="00AD652D">
        <w:t>”</w:t>
      </w:r>
      <w:r w:rsidR="00DD024B" w:rsidRPr="00AD652D">
        <w:rPr>
          <w:rStyle w:val="FootnoteReference"/>
        </w:rPr>
        <w:footnoteReference w:id="97"/>
      </w:r>
    </w:p>
    <w:p w14:paraId="42ED9953" w14:textId="76C7036E" w:rsidR="00357C59" w:rsidRDefault="008E5328" w:rsidP="00B90656">
      <w:pPr>
        <w:spacing w:after="100" w:afterAutospacing="1"/>
        <w:ind w:firstLine="0"/>
      </w:pPr>
      <w:r w:rsidRPr="00AD652D">
        <w:tab/>
      </w:r>
      <w:r w:rsidR="00B8317D">
        <w:t xml:space="preserve">Even when not enjoined, </w:t>
      </w:r>
      <w:r w:rsidR="00070158">
        <w:t xml:space="preserve">non-violent </w:t>
      </w:r>
      <w:r w:rsidR="00B8317D">
        <w:t xml:space="preserve">boycotts were </w:t>
      </w:r>
      <w:r w:rsidR="001205BD">
        <w:t>rarely</w:t>
      </w:r>
      <w:r w:rsidR="00B8317D">
        <w:t xml:space="preserve"> wholly successful.</w:t>
      </w:r>
      <w:r w:rsidR="00B8317D" w:rsidRPr="00B8317D">
        <w:t xml:space="preserve"> Judge Foran seems to have been right when he wrote: </w:t>
      </w:r>
    </w:p>
    <w:p w14:paraId="6AC1069F" w14:textId="77777777" w:rsidR="00357C59" w:rsidRDefault="00B8317D" w:rsidP="00357C59">
      <w:pPr>
        <w:spacing w:after="100" w:afterAutospacing="1"/>
        <w:ind w:left="720" w:firstLine="0"/>
      </w:pPr>
      <w:r w:rsidRPr="00B8317D">
        <w:t>the law of competition in business controls business relations as immutably as the law of gravitation controls matter. If a Chinaman can furnish better food at less cost than a white man, he will be patronized, and I know of no law that will compel or force any patron to pay a higher price for inferior food merely because it is prepared and served by a white man.</w:t>
      </w:r>
      <w:bookmarkStart w:id="27" w:name="_Ref476406526"/>
      <w:r>
        <w:rPr>
          <w:rStyle w:val="FootnoteReference"/>
        </w:rPr>
        <w:footnoteReference w:id="98"/>
      </w:r>
      <w:bookmarkEnd w:id="27"/>
      <w:r w:rsidR="008D542A">
        <w:t xml:space="preserve">  </w:t>
      </w:r>
    </w:p>
    <w:p w14:paraId="737EE4B6" w14:textId="0A27E20C" w:rsidR="00E13C03" w:rsidRDefault="008D542A" w:rsidP="00B90656">
      <w:pPr>
        <w:spacing w:after="100" w:afterAutospacing="1"/>
        <w:ind w:firstLine="0"/>
      </w:pPr>
      <w:r>
        <w:t>Since there was no law reserving the food business to whites, the unions sought to create one.</w:t>
      </w:r>
    </w:p>
    <w:p w14:paraId="5F32F1CF" w14:textId="5AEDB110" w:rsidR="00721C8B" w:rsidRPr="00E13C03" w:rsidRDefault="00721C8B" w:rsidP="00E13C03">
      <w:pPr>
        <w:pStyle w:val="NoSpacing"/>
        <w:spacing w:after="100" w:afterAutospacing="1"/>
        <w:jc w:val="center"/>
        <w:rPr>
          <w:b/>
        </w:rPr>
      </w:pPr>
      <w:r w:rsidRPr="00E13C03">
        <w:rPr>
          <w:b/>
        </w:rPr>
        <w:t>II. Chinese Restaurants</w:t>
      </w:r>
      <w:r w:rsidR="00340BFA">
        <w:rPr>
          <w:b/>
        </w:rPr>
        <w:t xml:space="preserve"> and the Law</w:t>
      </w:r>
    </w:p>
    <w:p w14:paraId="4A72CB03" w14:textId="1F87C120" w:rsidR="00340BFA" w:rsidRDefault="00B90656" w:rsidP="00BF6A57">
      <w:pPr>
        <w:spacing w:after="100" w:afterAutospacing="1"/>
      </w:pPr>
      <w:r>
        <w:t xml:space="preserve">A. </w:t>
      </w:r>
      <w:r w:rsidR="00340BFA">
        <w:t xml:space="preserve">White Women and </w:t>
      </w:r>
      <w:r>
        <w:t>Chinese Restaurants</w:t>
      </w:r>
    </w:p>
    <w:p w14:paraId="43B2E6CE" w14:textId="3FA9DB06" w:rsidR="001F747D" w:rsidRDefault="008341F6" w:rsidP="00BF6A57">
      <w:pPr>
        <w:spacing w:after="100" w:afterAutospacing="1"/>
      </w:pPr>
      <w:r>
        <w:t xml:space="preserve">When boycotts failed, unions invoked another rationale for regulation: They </w:t>
      </w:r>
      <w:r w:rsidR="00436C11">
        <w:t>harmed</w:t>
      </w:r>
      <w:r>
        <w:t xml:space="preserve"> white women.  </w:t>
      </w:r>
      <w:r w:rsidR="00BF6A57" w:rsidRPr="00AD652D">
        <w:t xml:space="preserve">Chinese restaurants were </w:t>
      </w:r>
      <w:r w:rsidR="00E13C03">
        <w:t xml:space="preserve">suspected of being </w:t>
      </w:r>
      <w:r w:rsidR="00BF6A57" w:rsidRPr="00AD652D">
        <w:t xml:space="preserve">locations for vice.  Chinese restaurants and Chinatowns were </w:t>
      </w:r>
      <w:r w:rsidR="00E13C03">
        <w:t>often</w:t>
      </w:r>
      <w:r w:rsidR="00BF6A57" w:rsidRPr="00AD652D">
        <w:t xml:space="preserve"> tourist attractions.</w:t>
      </w:r>
      <w:bookmarkStart w:id="28" w:name="_Ref461986149"/>
      <w:r w:rsidR="00BF6A57" w:rsidRPr="00AD652D">
        <w:rPr>
          <w:rStyle w:val="FootnoteReference"/>
        </w:rPr>
        <w:footnoteReference w:id="99"/>
      </w:r>
      <w:bookmarkEnd w:id="28"/>
      <w:r w:rsidR="00BF6A57" w:rsidRPr="00AD652D">
        <w:t xml:space="preserve">  </w:t>
      </w:r>
      <w:r w:rsidR="00070158">
        <w:t>M</w:t>
      </w:r>
      <w:r w:rsidR="00BF6A57" w:rsidRPr="00AD652D">
        <w:t>iddle and upper class whites visited Chinatown restaurants out of “morbid curiosity” for an evening of “slumming.”</w:t>
      </w:r>
      <w:bookmarkStart w:id="29" w:name="_Ref461985950"/>
      <w:r w:rsidR="00BF6A57" w:rsidRPr="00AD652D">
        <w:rPr>
          <w:rStyle w:val="FootnoteReference"/>
        </w:rPr>
        <w:footnoteReference w:id="100"/>
      </w:r>
      <w:bookmarkEnd w:id="29"/>
      <w:r w:rsidR="00BF6A57" w:rsidRPr="00AD652D">
        <w:t xml:space="preserve">  Thus, the </w:t>
      </w:r>
      <w:r w:rsidR="00BF6A57" w:rsidRPr="00AD652D">
        <w:rPr>
          <w:i/>
        </w:rPr>
        <w:t>Chicago Tribune</w:t>
      </w:r>
      <w:r w:rsidR="00BF6A57" w:rsidRPr="00AD652D">
        <w:t xml:space="preserve"> reported on an 1891 trip to New York’s Chinatown, where the English visitors admired the “cleanliness of the kitchen and cookery” of the restaurant; but, according to the article, </w:t>
      </w:r>
      <w:r w:rsidR="00FA3721">
        <w:t>they h</w:t>
      </w:r>
      <w:r w:rsidR="00BF6A57" w:rsidRPr="00AD652D">
        <w:t>ad only “seen the curious and clean side of Chinatown.”</w:t>
      </w:r>
      <w:r w:rsidR="00BF6A57" w:rsidRPr="00AD652D">
        <w:rPr>
          <w:rStyle w:val="FootnoteReference"/>
        </w:rPr>
        <w:footnoteReference w:id="101"/>
      </w:r>
      <w:r w:rsidR="00BF6A57" w:rsidRPr="00AD652D">
        <w:t xml:space="preserve">  The visitors were then taken to the “dives of Chinese immorality” where “sternness and pity mingled in their faces” at the sight of young white girls smoking opium “face-to-face” with Chinese men.</w:t>
      </w:r>
      <w:r w:rsidR="00BF6A57" w:rsidRPr="00AD652D">
        <w:rPr>
          <w:rStyle w:val="FootnoteReference"/>
        </w:rPr>
        <w:footnoteReference w:id="102"/>
      </w:r>
      <w:r w:rsidR="00BF6A57" w:rsidRPr="00AD652D">
        <w:t xml:space="preserve">  </w:t>
      </w:r>
      <w:r w:rsidR="00186983" w:rsidRPr="00AD652D">
        <w:t>So-called “lobbygows” escorted and promised protection to Chinatown tourists, even hiring residents to act out stereotypical vices.</w:t>
      </w:r>
      <w:bookmarkStart w:id="30" w:name="_Ref476063581"/>
      <w:r w:rsidR="00186983" w:rsidRPr="00AD652D">
        <w:rPr>
          <w:rStyle w:val="FootnoteReference"/>
        </w:rPr>
        <w:footnoteReference w:id="103"/>
      </w:r>
      <w:bookmarkEnd w:id="30"/>
      <w:r w:rsidR="00186983" w:rsidRPr="00AD652D">
        <w:t xml:space="preserve">  </w:t>
      </w:r>
    </w:p>
    <w:p w14:paraId="4A72657B" w14:textId="1982BDAE" w:rsidR="001F747D" w:rsidRPr="00AD652D" w:rsidRDefault="00DA5E59" w:rsidP="001F747D">
      <w:pPr>
        <w:spacing w:after="100" w:afterAutospacing="1"/>
      </w:pPr>
      <w:r>
        <w:t>Newspapers offered</w:t>
      </w:r>
      <w:r w:rsidR="001F747D" w:rsidRPr="00AD652D">
        <w:t xml:space="preserve"> lurid reports that Chinese restaurants were fronts for opium dens,</w:t>
      </w:r>
      <w:bookmarkStart w:id="31" w:name="_Ref476491774"/>
      <w:r w:rsidR="001F747D" w:rsidRPr="00AD652D">
        <w:rPr>
          <w:rStyle w:val="FootnoteReference"/>
        </w:rPr>
        <w:footnoteReference w:id="104"/>
      </w:r>
      <w:bookmarkEnd w:id="31"/>
      <w:r w:rsidR="001F747D" w:rsidRPr="00AD652D">
        <w:t xml:space="preserve"> and that Chinese men used opium “as a trap for young girls.”</w:t>
      </w:r>
      <w:bookmarkStart w:id="32" w:name="_Ref476154182"/>
      <w:r w:rsidR="001F747D" w:rsidRPr="00AD652D">
        <w:rPr>
          <w:rStyle w:val="FootnoteReference"/>
        </w:rPr>
        <w:footnoteReference w:id="105"/>
      </w:r>
      <w:bookmarkEnd w:id="32"/>
      <w:r w:rsidR="001F747D" w:rsidRPr="00AD652D">
        <w:t xml:space="preserve">  </w:t>
      </w:r>
      <w:r w:rsidR="00FA3721">
        <w:t>T</w:t>
      </w:r>
      <w:r w:rsidR="001F747D" w:rsidRPr="00AD652D">
        <w:t>here were regular reports of young girls being “rescued from an opium den</w:t>
      </w:r>
      <w:r w:rsidR="00FA3721">
        <w:t>.</w:t>
      </w:r>
      <w:r w:rsidR="001F747D" w:rsidRPr="00AD652D">
        <w:t>”</w:t>
      </w:r>
      <w:r w:rsidR="001F747D" w:rsidRPr="00AD652D">
        <w:rPr>
          <w:rStyle w:val="FootnoteReference"/>
        </w:rPr>
        <w:footnoteReference w:id="106"/>
      </w:r>
      <w:r w:rsidR="001F747D" w:rsidRPr="00AD652D">
        <w:t xml:space="preserve">  Thi</w:t>
      </w:r>
      <w:r w:rsidR="00FA3721">
        <w:t>s</w:t>
      </w:r>
      <w:r w:rsidR="001F747D" w:rsidRPr="00AD652D">
        <w:t xml:space="preserve"> statement from a Congressional hearing on regulation of opium</w:t>
      </w:r>
      <w:r w:rsidR="00FA3721">
        <w:t xml:space="preserve"> is representative</w:t>
      </w:r>
      <w:r w:rsidR="001F747D" w:rsidRPr="00AD652D">
        <w:t>:</w:t>
      </w:r>
    </w:p>
    <w:p w14:paraId="21ABEECF" w14:textId="4BBED5FD" w:rsidR="001F747D" w:rsidRPr="00AD652D" w:rsidRDefault="001F747D" w:rsidP="001F747D">
      <w:pPr>
        <w:pStyle w:val="NoSpacing"/>
        <w:spacing w:after="100" w:afterAutospacing="1"/>
      </w:pPr>
      <w:r w:rsidRPr="00AD652D">
        <w:t>In the Chinatown of the city of Philadelphia there are enormous quantities of opium consumed, and it is quite common, gentlemen, for these Chinese or “Chinks,” as they are called, to have a concubine as a white wom</w:t>
      </w:r>
      <w:r w:rsidR="00DA5E59">
        <w:t>a</w:t>
      </w:r>
      <w:r w:rsidRPr="00AD652D">
        <w:t>n.  There is one particular house where I would say there are 20 white women living with Chinamen as their common-law wives.  The Chinamen require these women to do no work, and they do nothing but smoke opium all day and night. A great many of the girls are girls of family, and the history of them is very pathetic.  You will find those girls in their younger days out with sporty boys, and they got to drinking.  The next step was cigarettes.  Then they go to Chinese restaurants, and after they go there a couple of times and get a drink in them they want to ‘hit the pipe.’  They do it out of curiosity or pure devilishness.</w:t>
      </w:r>
      <w:r w:rsidRPr="00AD652D">
        <w:rPr>
          <w:rStyle w:val="FootnoteReference"/>
        </w:rPr>
        <w:footnoteReference w:id="107"/>
      </w:r>
    </w:p>
    <w:p w14:paraId="5FD98C93" w14:textId="1918CD55" w:rsidR="00BF6A57" w:rsidRPr="00AD652D" w:rsidRDefault="00A67784" w:rsidP="00BF6A57">
      <w:pPr>
        <w:spacing w:after="100" w:afterAutospacing="1"/>
      </w:pPr>
      <w:r w:rsidRPr="00AD652D">
        <w:t xml:space="preserve">The idea of white female victimization became a media trope.  In 1899, </w:t>
      </w:r>
      <w:r w:rsidRPr="00AD652D">
        <w:rPr>
          <w:i/>
        </w:rPr>
        <w:t>King of the Opium Ring</w:t>
      </w:r>
      <w:r w:rsidRPr="00AD652D">
        <w:t xml:space="preserve"> </w:t>
      </w:r>
      <w:r w:rsidR="00FA3721">
        <w:t xml:space="preserve">by </w:t>
      </w:r>
      <w:r w:rsidR="00FA3721" w:rsidRPr="00AD652D">
        <w:t xml:space="preserve">Charles E. Blaney and Charles A. Taylor </w:t>
      </w:r>
      <w:r w:rsidRPr="00AD652D">
        <w:t>played at the Columbus Theater and the Academy of Music in New York.</w:t>
      </w:r>
      <w:r w:rsidRPr="00AD652D">
        <w:rPr>
          <w:rStyle w:val="FootnoteReference"/>
        </w:rPr>
        <w:footnoteReference w:id="108"/>
      </w:r>
      <w:r w:rsidRPr="00AD652D">
        <w:t xml:space="preserve">  Later produced around the country, it featured a clown who rescued a young white </w:t>
      </w:r>
      <w:r w:rsidR="00F154B1">
        <w:t>woman</w:t>
      </w:r>
      <w:r w:rsidRPr="00AD652D">
        <w:t xml:space="preserve"> from the balcony of a Chinese restaurant.</w:t>
      </w:r>
      <w:r w:rsidRPr="00AD652D">
        <w:rPr>
          <w:rStyle w:val="FootnoteReference"/>
        </w:rPr>
        <w:footnoteReference w:id="109"/>
      </w:r>
      <w:r w:rsidRPr="00AD652D">
        <w:t xml:space="preserve">  Similarly, popular novelist Frank Norris exploited the “reputed Chinese fondness for slave girls . . . One of his white women characters, accompanied by her fiance, is kidnapped in broad daylight in a Chinese restaurant.”</w:t>
      </w:r>
      <w:r w:rsidRPr="00AD652D">
        <w:rPr>
          <w:rStyle w:val="FootnoteReference"/>
        </w:rPr>
        <w:footnoteReference w:id="110"/>
      </w:r>
      <w:r w:rsidRPr="00AD652D">
        <w:t xml:space="preserve"> </w:t>
      </w:r>
      <w:r w:rsidR="00F154B1">
        <w:t>Movies depicted similar scenes,</w:t>
      </w:r>
      <w:r w:rsidRPr="00AD652D">
        <w:rPr>
          <w:rStyle w:val="FootnoteReference"/>
        </w:rPr>
        <w:footnoteReference w:id="111"/>
      </w:r>
      <w:r w:rsidR="00F154B1">
        <w:t xml:space="preserve"> and</w:t>
      </w:r>
      <w:r w:rsidRPr="00AD652D">
        <w:t xml:space="preserve"> </w:t>
      </w:r>
      <w:r w:rsidR="00F154B1">
        <w:t>r</w:t>
      </w:r>
      <w:r w:rsidRPr="00AD652D">
        <w:t xml:space="preserve">enowned </w:t>
      </w:r>
      <w:r w:rsidR="00F154B1">
        <w:t>“</w:t>
      </w:r>
      <w:r w:rsidRPr="00AD652D">
        <w:t>realistic</w:t>
      </w:r>
      <w:r w:rsidR="00F154B1">
        <w:t>”</w:t>
      </w:r>
      <w:r w:rsidRPr="00AD652D">
        <w:t xml:space="preserve"> </w:t>
      </w:r>
      <w:r w:rsidR="00F26EFD">
        <w:t xml:space="preserve">artists </w:t>
      </w:r>
      <w:r w:rsidRPr="00AD652D">
        <w:t>painte</w:t>
      </w:r>
      <w:r w:rsidR="00F26EFD">
        <w:t>d</w:t>
      </w:r>
      <w:r w:rsidRPr="00AD652D">
        <w:t xml:space="preserve"> </w:t>
      </w:r>
      <w:r w:rsidR="00F26EFD">
        <w:t>C</w:t>
      </w:r>
      <w:r w:rsidRPr="00AD652D">
        <w:t>hinatown</w:t>
      </w:r>
      <w:r w:rsidR="00F26EFD">
        <w:t xml:space="preserve"> </w:t>
      </w:r>
      <w:r w:rsidR="00FA3721">
        <w:t>vistas</w:t>
      </w:r>
      <w:r w:rsidRPr="00AD652D">
        <w:t>.</w:t>
      </w:r>
      <w:r w:rsidRPr="00AD652D">
        <w:rPr>
          <w:rStyle w:val="FootnoteReference"/>
        </w:rPr>
        <w:footnoteReference w:id="112"/>
      </w:r>
      <w:r>
        <w:t xml:space="preserve"> </w:t>
      </w:r>
      <w:r w:rsidR="00BF6A57" w:rsidRPr="00AD652D">
        <w:t xml:space="preserve">Thus, </w:t>
      </w:r>
      <w:r w:rsidR="00F26EFD">
        <w:t xml:space="preserve">there was a popular perception </w:t>
      </w:r>
      <w:r w:rsidR="00BF6A57" w:rsidRPr="00AD652D">
        <w:t>that Chinese restaurants were purveyors of vice</w:t>
      </w:r>
      <w:r w:rsidR="00F26EFD">
        <w:t>,</w:t>
      </w:r>
      <w:r w:rsidR="00BF6A57" w:rsidRPr="00AD652D">
        <w:rPr>
          <w:rStyle w:val="FootnoteReference"/>
        </w:rPr>
        <w:footnoteReference w:id="113"/>
      </w:r>
      <w:r w:rsidR="00BF6A57" w:rsidRPr="00AD652D">
        <w:t xml:space="preserve"> and served as late-night substitutes for closed saloons.</w:t>
      </w:r>
      <w:bookmarkStart w:id="33" w:name="_Ref476493730"/>
      <w:r w:rsidR="00BF6A57" w:rsidRPr="00AD652D">
        <w:rPr>
          <w:rStyle w:val="FootnoteReference"/>
        </w:rPr>
        <w:footnoteReference w:id="114"/>
      </w:r>
      <w:bookmarkEnd w:id="33"/>
      <w:r w:rsidR="00BF6A57" w:rsidRPr="00AD652D">
        <w:t xml:space="preserve">  </w:t>
      </w:r>
      <w:r w:rsidR="00C826ED">
        <w:t xml:space="preserve">A modern analyst might approve of the </w:t>
      </w:r>
      <w:r w:rsidR="00E057DB">
        <w:t>evidence</w:t>
      </w:r>
      <w:r w:rsidR="00C826ED">
        <w:t xml:space="preserve"> that </w:t>
      </w:r>
      <w:r w:rsidR="008A6BC1">
        <w:t>rigid racial and gender codes of the time were relaxed</w:t>
      </w:r>
      <w:r w:rsidR="00E057DB">
        <w:t xml:space="preserve"> in Chinese restaurants</w:t>
      </w:r>
      <w:r w:rsidR="008A6BC1">
        <w:t>.</w:t>
      </w:r>
      <w:r w:rsidR="008A6BC1">
        <w:rPr>
          <w:rStyle w:val="FootnoteReference"/>
        </w:rPr>
        <w:footnoteReference w:id="115"/>
      </w:r>
      <w:r w:rsidR="008A6BC1">
        <w:t xml:space="preserve">  </w:t>
      </w:r>
      <w:r w:rsidR="00C826ED">
        <w:t xml:space="preserve">Nevertheless, while </w:t>
      </w:r>
      <w:r w:rsidR="00BF6A57" w:rsidRPr="00AD652D">
        <w:t xml:space="preserve">flaunting exoticism </w:t>
      </w:r>
      <w:r w:rsidR="008A6BC1">
        <w:t xml:space="preserve">and freedom </w:t>
      </w:r>
      <w:r w:rsidR="00BF6A57" w:rsidRPr="00AD652D">
        <w:t>generated patronage</w:t>
      </w:r>
      <w:r w:rsidR="00C826ED">
        <w:t xml:space="preserve">, </w:t>
      </w:r>
      <w:r w:rsidR="00BF6A57" w:rsidRPr="00AD652D">
        <w:t xml:space="preserve">the implication </w:t>
      </w:r>
      <w:r w:rsidR="00C826ED">
        <w:t xml:space="preserve">of </w:t>
      </w:r>
      <w:r w:rsidR="00BF6A57" w:rsidRPr="00AD652D">
        <w:t xml:space="preserve">something naughty or worse </w:t>
      </w:r>
      <w:r w:rsidR="00E341E6">
        <w:t>c</w:t>
      </w:r>
      <w:r w:rsidR="00BF6A57" w:rsidRPr="00AD652D">
        <w:t xml:space="preserve">aused </w:t>
      </w:r>
      <w:r w:rsidR="00E341E6">
        <w:t>some to</w:t>
      </w:r>
      <w:r w:rsidR="00BF6A57" w:rsidRPr="00AD652D">
        <w:t xml:space="preserve"> fear for the restaurants’ young white </w:t>
      </w:r>
      <w:r w:rsidR="00A64766">
        <w:t>patrons</w:t>
      </w:r>
      <w:r w:rsidR="00BF6A57" w:rsidRPr="00AD652D">
        <w:t>.</w:t>
      </w:r>
      <w:bookmarkStart w:id="34" w:name="_Ref476155952"/>
      <w:r w:rsidR="00BF6A57" w:rsidRPr="00AD652D">
        <w:rPr>
          <w:rStyle w:val="FootnoteReference"/>
        </w:rPr>
        <w:footnoteReference w:id="116"/>
      </w:r>
      <w:bookmarkEnd w:id="34"/>
      <w:r w:rsidR="00BF6A57" w:rsidRPr="00AD652D">
        <w:t xml:space="preserve">  </w:t>
      </w:r>
    </w:p>
    <w:p w14:paraId="406B40A4" w14:textId="521D312D" w:rsidR="00B90656" w:rsidRPr="00AD652D" w:rsidRDefault="001D06F3" w:rsidP="00B90656">
      <w:pPr>
        <w:spacing w:after="100" w:afterAutospacing="1"/>
        <w:ind w:firstLine="0"/>
      </w:pPr>
      <w:r>
        <w:tab/>
      </w:r>
      <w:r w:rsidR="001E4F72" w:rsidRPr="00AD652D">
        <w:t xml:space="preserve">As early as 1899, the question was asked: </w:t>
      </w:r>
      <w:r w:rsidR="00661FF5" w:rsidRPr="00AD652D">
        <w:t>‘“</w:t>
      </w:r>
      <w:r w:rsidR="001E4F72" w:rsidRPr="00AD652D">
        <w:t>Can any means be devised to prevent the employment of white girls in Chinese restaurants?</w:t>
      </w:r>
      <w:r w:rsidR="00661FF5" w:rsidRPr="00AD652D">
        <w:t>”</w:t>
      </w:r>
      <w:r w:rsidR="001E4F72" w:rsidRPr="00AD652D">
        <w:rPr>
          <w:rStyle w:val="FootnoteReference"/>
        </w:rPr>
        <w:footnoteReference w:id="117"/>
      </w:r>
      <w:r w:rsidR="001E4F72" w:rsidRPr="00AD652D">
        <w:t xml:space="preserve">  </w:t>
      </w:r>
      <w:r w:rsidR="006D5C85">
        <w:t>O</w:t>
      </w:r>
      <w:r w:rsidR="001C1DCC" w:rsidRPr="00AD652D">
        <w:t xml:space="preserve">ne observer </w:t>
      </w:r>
      <w:r w:rsidR="006D5C85">
        <w:t>noted</w:t>
      </w:r>
      <w:r w:rsidR="001C1DCC" w:rsidRPr="00AD652D">
        <w:t xml:space="preserve"> that </w:t>
      </w:r>
      <w:r w:rsidR="00661FF5" w:rsidRPr="00AD652D">
        <w:t>“</w:t>
      </w:r>
      <w:r w:rsidR="001C1DCC" w:rsidRPr="00AD652D">
        <w:t>[b]eer and noodles in Chinese joints have caused the downfall of countless American girls</w:t>
      </w:r>
      <w:r w:rsidR="006D5C85">
        <w:t>.</w:t>
      </w:r>
      <w:r w:rsidR="00661FF5" w:rsidRPr="00AD652D">
        <w:t>”</w:t>
      </w:r>
      <w:r w:rsidR="001C1DCC" w:rsidRPr="00AD652D">
        <w:rPr>
          <w:rStyle w:val="FootnoteReference"/>
        </w:rPr>
        <w:footnoteReference w:id="118"/>
      </w:r>
      <w:r w:rsidR="001C1DCC" w:rsidRPr="00AD652D">
        <w:t xml:space="preserve"> </w:t>
      </w:r>
    </w:p>
    <w:p w14:paraId="5E69EC38" w14:textId="09366BF5" w:rsidR="00B90656" w:rsidRDefault="00B90656" w:rsidP="00E057DB">
      <w:pPr>
        <w:spacing w:after="100" w:afterAutospacing="1"/>
      </w:pPr>
      <w:r w:rsidRPr="00AD652D">
        <w:t xml:space="preserve">Labor unions exploited the </w:t>
      </w:r>
      <w:r w:rsidR="0021761E">
        <w:t>fear</w:t>
      </w:r>
      <w:r w:rsidRPr="00AD652D">
        <w:t xml:space="preserve"> that Chinese restaurants were sources of moral contagion.</w:t>
      </w:r>
      <w:r w:rsidRPr="00AD652D">
        <w:rPr>
          <w:rStyle w:val="FootnoteReference"/>
        </w:rPr>
        <w:footnoteReference w:id="119"/>
      </w:r>
      <w:r w:rsidRPr="00AD652D">
        <w:t xml:space="preserve">  </w:t>
      </w:r>
      <w:r w:rsidR="0021761E">
        <w:t>A</w:t>
      </w:r>
      <w:r w:rsidRPr="00AD652D">
        <w:t xml:space="preserve"> 1904 </w:t>
      </w:r>
      <w:r w:rsidRPr="00AD652D">
        <w:rPr>
          <w:i/>
        </w:rPr>
        <w:t>Labor World</w:t>
      </w:r>
      <w:r w:rsidR="00315CE7">
        <w:t xml:space="preserve"> cover story</w:t>
      </w:r>
      <w:r w:rsidRPr="00AD652D">
        <w:t xml:space="preserve"> featured the “iniquitous Chinese Chop Suey joints” of Minneapolis, calling “the attention of the people to the necessity for stamping out” such establishments.</w:t>
      </w:r>
      <w:r w:rsidRPr="00AD652D">
        <w:rPr>
          <w:vertAlign w:val="superscript"/>
        </w:rPr>
        <w:footnoteReference w:id="120"/>
      </w:r>
      <w:r w:rsidRPr="00AD652D">
        <w:t xml:space="preserve"> The restaurants were </w:t>
      </w:r>
      <w:r w:rsidR="00E057DB">
        <w:t xml:space="preserve">intrinsically </w:t>
      </w:r>
      <w:r w:rsidRPr="00AD652D">
        <w:t xml:space="preserve">immoral, and caused vice through economic </w:t>
      </w:r>
      <w:r w:rsidR="008C3D51">
        <w:t>degradation</w:t>
      </w:r>
      <w:r w:rsidR="00E057DB">
        <w:t>.</w:t>
      </w:r>
      <w:r w:rsidR="0035206A" w:rsidRPr="00AD652D">
        <w:t xml:space="preserve"> </w:t>
      </w:r>
      <w:r w:rsidRPr="00AD652D">
        <w:t>The labor unions argued: “These institutions will bring cheap labor into the city. That will compel other restaurants to hire cheap labor.  This will demoralize the restaurant workers, compel them to work for low wages and put hundreds of young women into positions of distressing temptation.”</w:t>
      </w:r>
      <w:r w:rsidRPr="00AD652D">
        <w:rPr>
          <w:vertAlign w:val="superscript"/>
        </w:rPr>
        <w:footnoteReference w:id="121"/>
      </w:r>
      <w:r w:rsidRPr="00AD652D">
        <w:tab/>
      </w:r>
    </w:p>
    <w:p w14:paraId="79400E89" w14:textId="5FE2FE4B" w:rsidR="0080658C" w:rsidRPr="00AD652D" w:rsidRDefault="00A37D94" w:rsidP="00195169">
      <w:pPr>
        <w:spacing w:after="100" w:afterAutospacing="1"/>
        <w:ind w:firstLine="0"/>
      </w:pPr>
      <w:r>
        <w:tab/>
      </w:r>
      <w:r w:rsidR="004103D1" w:rsidRPr="00AD652D">
        <w:t>T</w:t>
      </w:r>
      <w:r w:rsidR="00090174" w:rsidRPr="00AD652D">
        <w:t xml:space="preserve">he </w:t>
      </w:r>
      <w:r w:rsidR="00D12733">
        <w:rPr>
          <w:i/>
        </w:rPr>
        <w:t>Bridgeport Herald</w:t>
      </w:r>
      <w:r w:rsidR="004103D1" w:rsidRPr="00AD652D">
        <w:t xml:space="preserve"> reported</w:t>
      </w:r>
      <w:r w:rsidR="006B6453" w:rsidRPr="00AD652D">
        <w:t xml:space="preserve"> that</w:t>
      </w:r>
      <w:r w:rsidR="00090174" w:rsidRPr="00AD652D">
        <w:t xml:space="preserve"> </w:t>
      </w:r>
      <w:r w:rsidR="00661FF5" w:rsidRPr="00AD652D">
        <w:t>“</w:t>
      </w:r>
      <w:r w:rsidR="006B6453" w:rsidRPr="00AD652D">
        <w:t>[m]</w:t>
      </w:r>
      <w:r w:rsidR="00090174" w:rsidRPr="00AD652D">
        <w:t>any a young girl received her first lesson in sin in Chinese restaurants</w:t>
      </w:r>
      <w:r w:rsidR="006B6453" w:rsidRPr="00AD652D">
        <w:t>,</w:t>
      </w:r>
      <w:r w:rsidR="00661FF5" w:rsidRPr="00AD652D">
        <w:t>”</w:t>
      </w:r>
      <w:r w:rsidR="00090174" w:rsidRPr="00AD652D">
        <w:rPr>
          <w:rStyle w:val="FootnoteReference"/>
        </w:rPr>
        <w:footnoteReference w:id="122"/>
      </w:r>
      <w:r w:rsidR="00090174" w:rsidRPr="00AD652D">
        <w:t xml:space="preserve"> </w:t>
      </w:r>
      <w:r w:rsidR="006B6453" w:rsidRPr="00AD652D">
        <w:t xml:space="preserve">and </w:t>
      </w:r>
      <w:r w:rsidR="00D12733">
        <w:t xml:space="preserve">the </w:t>
      </w:r>
      <w:r w:rsidR="00D12733" w:rsidRPr="00D12733">
        <w:rPr>
          <w:i/>
        </w:rPr>
        <w:t>Chicago Tribune</w:t>
      </w:r>
      <w:r w:rsidR="00D12733">
        <w:t xml:space="preserve"> noted </w:t>
      </w:r>
      <w:r w:rsidR="006B6453" w:rsidRPr="00AD652D">
        <w:t>that</w:t>
      </w:r>
    </w:p>
    <w:p w14:paraId="580E0B7C" w14:textId="1FB397DE" w:rsidR="00090174" w:rsidRPr="00AD652D" w:rsidRDefault="00090174" w:rsidP="00195169">
      <w:pPr>
        <w:pStyle w:val="NoSpacing"/>
        <w:spacing w:after="100" w:afterAutospacing="1"/>
      </w:pPr>
      <w:r w:rsidRPr="00AD652D">
        <w:t xml:space="preserve">More than 300 Chicago white girls have sacrificed themselves to the influence of the chop suey </w:t>
      </w:r>
      <w:r w:rsidR="00661FF5" w:rsidRPr="00AD652D">
        <w:t>‘</w:t>
      </w:r>
      <w:r w:rsidRPr="00AD652D">
        <w:t>joints</w:t>
      </w:r>
      <w:r w:rsidR="00661FF5" w:rsidRPr="00AD652D">
        <w:t>’</w:t>
      </w:r>
      <w:r w:rsidRPr="00AD652D">
        <w:t xml:space="preserve"> during the last year, according to police statistics . . . . Vanity and the desire for showy clothes led to their downfall, it is declared. It was accomplished only after they smoked and drank in the chop suey restaurants and permitted themselves to be hypnotized by the dreamy, seductive music that is always on tap.</w:t>
      </w:r>
      <w:r w:rsidRPr="00AD652D">
        <w:rPr>
          <w:rStyle w:val="FootnoteReference"/>
        </w:rPr>
        <w:footnoteReference w:id="123"/>
      </w:r>
    </w:p>
    <w:p w14:paraId="1E1AF6DF" w14:textId="334DF930" w:rsidR="00575853" w:rsidRPr="00AD652D" w:rsidRDefault="003B69B4" w:rsidP="00642DA6">
      <w:pPr>
        <w:spacing w:after="100" w:afterAutospacing="1"/>
        <w:ind w:firstLine="0"/>
      </w:pPr>
      <w:r w:rsidRPr="00AD652D">
        <w:t xml:space="preserve">Just as legal policy toward African Americans was driven by a concern about interracial </w:t>
      </w:r>
      <w:r w:rsidR="00A975F4">
        <w:t>relationships</w:t>
      </w:r>
      <w:r w:rsidRPr="00AD652D">
        <w:t>, s</w:t>
      </w:r>
      <w:r w:rsidR="00021AD3" w:rsidRPr="00AD652D">
        <w:t>ome</w:t>
      </w:r>
      <w:r w:rsidR="008220CE" w:rsidRPr="00AD652D">
        <w:t xml:space="preserve"> </w:t>
      </w:r>
      <w:r w:rsidR="00DC21B2" w:rsidRPr="00AD652D">
        <w:t xml:space="preserve">feared early Chinese restaurants because </w:t>
      </w:r>
      <w:r w:rsidR="00021AD3" w:rsidRPr="00AD652D">
        <w:t>of the intense sexuality of</w:t>
      </w:r>
      <w:r w:rsidR="00DC21B2" w:rsidRPr="00AD652D">
        <w:t xml:space="preserve"> Chinese men.</w:t>
      </w:r>
      <w:r w:rsidR="008C3D51" w:rsidRPr="00AD652D">
        <w:rPr>
          <w:rStyle w:val="FootnoteReference"/>
        </w:rPr>
        <w:footnoteReference w:id="124"/>
      </w:r>
      <w:r w:rsidR="008C3D51" w:rsidRPr="00AD652D">
        <w:t xml:space="preserve"> </w:t>
      </w:r>
      <w:r w:rsidR="00DC21B2" w:rsidRPr="00AD652D">
        <w:t xml:space="preserve"> </w:t>
      </w:r>
      <w:r w:rsidR="00021AD3" w:rsidRPr="00AD652D">
        <w:t>Because of</w:t>
      </w:r>
      <w:r w:rsidR="008220CE" w:rsidRPr="00AD652D">
        <w:t xml:space="preserve"> Chinese Exclusion</w:t>
      </w:r>
      <w:r w:rsidR="00021AD3" w:rsidRPr="00AD652D">
        <w:t>,</w:t>
      </w:r>
      <w:r w:rsidR="008220CE" w:rsidRPr="00AD652D">
        <w:t xml:space="preserve"> there </w:t>
      </w:r>
      <w:r w:rsidR="00AA0AB0" w:rsidRPr="00AD652D">
        <w:t>were many more Chinese men than women</w:t>
      </w:r>
      <w:r w:rsidR="008220CE" w:rsidRPr="00AD652D">
        <w:t xml:space="preserve"> in the United States.</w:t>
      </w:r>
      <w:r w:rsidR="008220CE" w:rsidRPr="00AD652D">
        <w:rPr>
          <w:rStyle w:val="FootnoteReference"/>
        </w:rPr>
        <w:footnoteReference w:id="125"/>
      </w:r>
      <w:r w:rsidR="008220CE" w:rsidRPr="00AD652D">
        <w:t xml:space="preserve">  By some accounts, there were more than 25 males for every one female</w:t>
      </w:r>
      <w:r w:rsidR="002E66B3">
        <w:t xml:space="preserve"> in 1890</w:t>
      </w:r>
      <w:r w:rsidR="008220CE" w:rsidRPr="00AD652D">
        <w:t>.</w:t>
      </w:r>
      <w:r w:rsidR="008220CE" w:rsidRPr="00AD652D">
        <w:rPr>
          <w:rStyle w:val="FootnoteReference"/>
        </w:rPr>
        <w:footnoteReference w:id="126"/>
      </w:r>
      <w:r w:rsidR="008220CE" w:rsidRPr="00AD652D">
        <w:t xml:space="preserve">  Hence, it is not surprising that there was a demand for </w:t>
      </w:r>
      <w:r w:rsidR="00AA0AB0" w:rsidRPr="00AD652D">
        <w:t>commercial sex</w:t>
      </w:r>
      <w:r w:rsidR="008220CE" w:rsidRPr="00AD652D">
        <w:t xml:space="preserve"> in America</w:t>
      </w:r>
      <w:r w:rsidR="00661FF5" w:rsidRPr="00AD652D">
        <w:t>’</w:t>
      </w:r>
      <w:r w:rsidR="008220CE" w:rsidRPr="00AD652D">
        <w:t>s Chinatowns,</w:t>
      </w:r>
      <w:r w:rsidR="008220CE" w:rsidRPr="00AD652D">
        <w:rPr>
          <w:rStyle w:val="FootnoteReference"/>
        </w:rPr>
        <w:footnoteReference w:id="127"/>
      </w:r>
      <w:r w:rsidR="008220CE" w:rsidRPr="00AD652D">
        <w:t xml:space="preserve"> </w:t>
      </w:r>
      <w:r w:rsidR="002E66B3">
        <w:t>or</w:t>
      </w:r>
      <w:r w:rsidR="008220CE" w:rsidRPr="00AD652D">
        <w:t xml:space="preserve"> that Chinese men </w:t>
      </w:r>
      <w:r w:rsidR="006B6453" w:rsidRPr="00AD652D">
        <w:t>sometimes</w:t>
      </w:r>
      <w:r w:rsidR="008220CE" w:rsidRPr="00AD652D">
        <w:t xml:space="preserve"> married white women</w:t>
      </w:r>
      <w:r w:rsidR="00892D80" w:rsidRPr="00AD652D">
        <w:rPr>
          <w:rStyle w:val="FootnoteReference"/>
        </w:rPr>
        <w:footnoteReference w:id="128"/>
      </w:r>
      <w:r w:rsidR="008220CE" w:rsidRPr="00AD652D">
        <w:t xml:space="preserve"> — a practice frowned upon even in </w:t>
      </w:r>
      <w:r w:rsidR="00DD2D3F">
        <w:t>jurisdictions not prohibit</w:t>
      </w:r>
      <w:r w:rsidR="00D16CE9">
        <w:t>ing</w:t>
      </w:r>
      <w:r w:rsidR="008220CE" w:rsidRPr="00AD652D">
        <w:t xml:space="preserve"> interracial marriage.</w:t>
      </w:r>
      <w:r w:rsidR="008220CE" w:rsidRPr="00AD652D">
        <w:rPr>
          <w:rStyle w:val="FootnoteReference"/>
        </w:rPr>
        <w:footnoteReference w:id="129"/>
      </w:r>
      <w:r w:rsidR="008220CE" w:rsidRPr="00AD652D">
        <w:t xml:space="preserve">  </w:t>
      </w:r>
      <w:r w:rsidR="001F6C4C" w:rsidRPr="00AD652D">
        <w:t>The</w:t>
      </w:r>
      <w:r w:rsidR="001F6C4C" w:rsidRPr="00AD652D">
        <w:rPr>
          <w:i/>
        </w:rPr>
        <w:t xml:space="preserve"> St. Louis Post</w:t>
      </w:r>
      <w:r w:rsidR="001F6C4C" w:rsidRPr="00AD652D">
        <w:t xml:space="preserve"> reported that Chinese Restaurants </w:t>
      </w:r>
      <w:r w:rsidR="00661FF5" w:rsidRPr="00AD652D">
        <w:t>“</w:t>
      </w:r>
      <w:r w:rsidR="001F6C4C" w:rsidRPr="00AD652D">
        <w:t xml:space="preserve">are visited </w:t>
      </w:r>
      <w:r w:rsidR="00372648" w:rsidRPr="00AD652D">
        <w:t xml:space="preserve">. . . </w:t>
      </w:r>
      <w:r w:rsidR="001F6C4C" w:rsidRPr="00AD652D">
        <w:t xml:space="preserve">often by respectable girls and women on sight-seeing expeditions, or [those] who have </w:t>
      </w:r>
      <w:r w:rsidR="00661FF5" w:rsidRPr="00AD652D">
        <w:t>‘</w:t>
      </w:r>
      <w:r w:rsidR="001F6C4C" w:rsidRPr="00AD652D">
        <w:t>the chop suey habit.</w:t>
      </w:r>
      <w:r w:rsidR="00661FF5" w:rsidRPr="00AD652D">
        <w:t>’</w:t>
      </w:r>
      <w:r w:rsidR="001F6C4C" w:rsidRPr="00AD652D">
        <w:t xml:space="preserve"> The Chinese of these places soon find a way to form an acquaintance with young women customers who go to the place often . . . . In Hop Alley several Chinese have white wives.</w:t>
      </w:r>
      <w:r w:rsidR="00661FF5" w:rsidRPr="00AD652D">
        <w:t>”</w:t>
      </w:r>
      <w:bookmarkStart w:id="35" w:name="_Ref476408421"/>
      <w:r w:rsidR="001F6C4C" w:rsidRPr="00AD652D">
        <w:rPr>
          <w:rStyle w:val="FootnoteReference"/>
        </w:rPr>
        <w:footnoteReference w:id="130"/>
      </w:r>
      <w:bookmarkEnd w:id="35"/>
      <w:r w:rsidR="001F6C4C" w:rsidRPr="00AD652D">
        <w:t xml:space="preserve">  </w:t>
      </w:r>
      <w:r w:rsidR="00372648" w:rsidRPr="00AD652D">
        <w:t>A</w:t>
      </w:r>
      <w:r w:rsidR="001F6C4C" w:rsidRPr="00AD652D">
        <w:t xml:space="preserve"> </w:t>
      </w:r>
      <w:r w:rsidR="00642DA6">
        <w:t xml:space="preserve">marriage </w:t>
      </w:r>
      <w:r w:rsidR="001F6C4C" w:rsidRPr="00AD652D">
        <w:t xml:space="preserve">certificate </w:t>
      </w:r>
      <w:r w:rsidR="00642DA6">
        <w:t xml:space="preserve">to a Chinese husband </w:t>
      </w:r>
      <w:r w:rsidR="001F6C4C" w:rsidRPr="00AD652D">
        <w:t xml:space="preserve">was </w:t>
      </w:r>
      <w:r w:rsidR="00661FF5" w:rsidRPr="00AD652D">
        <w:t>“</w:t>
      </w:r>
      <w:r w:rsidR="001F6C4C" w:rsidRPr="00AD652D">
        <w:t>a frequent excuse</w:t>
      </w:r>
      <w:r w:rsidR="00661FF5" w:rsidRPr="00AD652D">
        <w:t>”</w:t>
      </w:r>
      <w:r w:rsidR="001F6C4C" w:rsidRPr="00AD652D">
        <w:t xml:space="preserve"> for</w:t>
      </w:r>
      <w:r w:rsidR="00642DA6">
        <w:t xml:space="preserve"> </w:t>
      </w:r>
      <w:r w:rsidR="001F6C4C" w:rsidRPr="00AD652D">
        <w:t xml:space="preserve">a </w:t>
      </w:r>
      <w:r w:rsidR="00372648" w:rsidRPr="00AD652D">
        <w:t xml:space="preserve">white </w:t>
      </w:r>
      <w:r w:rsidR="001F6C4C" w:rsidRPr="00AD652D">
        <w:t>woman</w:t>
      </w:r>
      <w:r w:rsidR="00642DA6">
        <w:t>’s presence</w:t>
      </w:r>
      <w:r w:rsidR="001F6C4C" w:rsidRPr="00AD652D">
        <w:t xml:space="preserve"> in a Chinese restaurant,</w:t>
      </w:r>
      <w:r w:rsidR="001F6C4C" w:rsidRPr="00AD652D">
        <w:rPr>
          <w:rStyle w:val="FootnoteReference"/>
        </w:rPr>
        <w:footnoteReference w:id="131"/>
      </w:r>
      <w:r w:rsidR="001F6C4C" w:rsidRPr="00AD652D">
        <w:t xml:space="preserve">  and a required one </w:t>
      </w:r>
      <w:r w:rsidR="00372648" w:rsidRPr="00AD652D">
        <w:t>if she was to</w:t>
      </w:r>
      <w:r w:rsidR="001F6C4C" w:rsidRPr="00AD652D">
        <w:t xml:space="preserve"> stay the night in New York</w:t>
      </w:r>
      <w:r w:rsidR="00661FF5" w:rsidRPr="00AD652D">
        <w:t>’</w:t>
      </w:r>
      <w:r w:rsidR="001F6C4C" w:rsidRPr="00AD652D">
        <w:t>s Chinatown in 1909.</w:t>
      </w:r>
      <w:r w:rsidR="001F6C4C" w:rsidRPr="00AD652D">
        <w:rPr>
          <w:vertAlign w:val="superscript"/>
        </w:rPr>
        <w:footnoteReference w:id="132"/>
      </w:r>
      <w:r w:rsidR="001F6C4C" w:rsidRPr="00AD652D">
        <w:t xml:space="preserve">  </w:t>
      </w:r>
      <w:r w:rsidR="00A823F3">
        <w:t>Retired</w:t>
      </w:r>
      <w:r w:rsidR="00DC21B2" w:rsidRPr="00AD652D">
        <w:t xml:space="preserve"> New York Police Commissioner William McAdoo claimed </w:t>
      </w:r>
      <w:r w:rsidR="00661FF5" w:rsidRPr="00AD652D">
        <w:t>“</w:t>
      </w:r>
      <w:r w:rsidR="001F6C4C" w:rsidRPr="00AD652D">
        <w:t>[T]</w:t>
      </w:r>
      <w:r w:rsidR="00DC21B2" w:rsidRPr="00AD652D">
        <w:t>he so-called Chinese wives are probably, taken together, the most wretched, degraded, and utterly vile lot of white women and girls that could be found anywhere.</w:t>
      </w:r>
      <w:r w:rsidR="00661FF5" w:rsidRPr="00AD652D">
        <w:t>”</w:t>
      </w:r>
      <w:r w:rsidR="00DC21B2" w:rsidRPr="00AD652D">
        <w:rPr>
          <w:rStyle w:val="FootnoteReference"/>
        </w:rPr>
        <w:footnoteReference w:id="133"/>
      </w:r>
      <w:r w:rsidR="00DC21B2" w:rsidRPr="00AD652D">
        <w:t xml:space="preserve">  </w:t>
      </w:r>
      <w:r w:rsidR="00C200DC" w:rsidRPr="00AD652D">
        <w:t>It</w:t>
      </w:r>
      <w:r w:rsidR="000D0AE7" w:rsidRPr="00AD652D">
        <w:t xml:space="preserve"> </w:t>
      </w:r>
      <w:r w:rsidR="00661FF5" w:rsidRPr="00AD652D">
        <w:t>“</w:t>
      </w:r>
      <w:r w:rsidR="00DC21B2" w:rsidRPr="00AD652D">
        <w:t>gave a girl a bad name</w:t>
      </w:r>
      <w:r w:rsidR="00661FF5" w:rsidRPr="00AD652D">
        <w:t>”</w:t>
      </w:r>
      <w:r w:rsidR="00DC21B2" w:rsidRPr="00AD652D">
        <w:t xml:space="preserve"> just to work in a Chinese restaurant.</w:t>
      </w:r>
      <w:r w:rsidR="00DC21B2" w:rsidRPr="00AD652D">
        <w:rPr>
          <w:rStyle w:val="FootnoteReference"/>
        </w:rPr>
        <w:footnoteReference w:id="134"/>
      </w:r>
    </w:p>
    <w:p w14:paraId="7536C6DF" w14:textId="72ADECA3" w:rsidR="001E6341" w:rsidRPr="00AD652D" w:rsidRDefault="007D32D5" w:rsidP="00195169">
      <w:pPr>
        <w:spacing w:after="100" w:afterAutospacing="1"/>
      </w:pPr>
      <w:r w:rsidRPr="00AD652D">
        <w:t>N</w:t>
      </w:r>
      <w:r w:rsidR="00DC21B2" w:rsidRPr="00AD652D">
        <w:t xml:space="preserve">ot all those </w:t>
      </w:r>
      <w:r w:rsidR="00021AD3" w:rsidRPr="00AD652D">
        <w:t>visiting</w:t>
      </w:r>
      <w:r w:rsidR="00DC21B2" w:rsidRPr="00AD652D">
        <w:t xml:space="preserve"> Chinatowns went for amusement or vice.</w:t>
      </w:r>
      <w:bookmarkStart w:id="36" w:name="_Ref461395125"/>
      <w:r w:rsidR="00DC21B2" w:rsidRPr="00AD652D">
        <w:rPr>
          <w:rStyle w:val="FootnoteReference"/>
        </w:rPr>
        <w:footnoteReference w:id="135"/>
      </w:r>
      <w:bookmarkEnd w:id="36"/>
      <w:r w:rsidR="00DC21B2" w:rsidRPr="00AD652D">
        <w:t xml:space="preserve"> </w:t>
      </w:r>
      <w:r w:rsidR="00372648" w:rsidRPr="00AD652D">
        <w:t xml:space="preserve"> </w:t>
      </w:r>
      <w:r w:rsidR="00DC21B2" w:rsidRPr="00AD652D">
        <w:t>Christian missionar</w:t>
      </w:r>
      <w:r w:rsidR="00097781" w:rsidRPr="00AD652D">
        <w:t>ies</w:t>
      </w:r>
      <w:r w:rsidR="00DC21B2" w:rsidRPr="00AD652D">
        <w:t xml:space="preserve"> entered </w:t>
      </w:r>
      <w:r w:rsidR="002E66B3">
        <w:t>to evangelize</w:t>
      </w:r>
      <w:r w:rsidR="00DC21B2" w:rsidRPr="00AD652D">
        <w:t xml:space="preserve">, but </w:t>
      </w:r>
      <w:r w:rsidR="0095520E" w:rsidRPr="00AD652D">
        <w:t>sensational newspaper</w:t>
      </w:r>
      <w:r w:rsidR="00DC21B2" w:rsidRPr="00AD652D">
        <w:t xml:space="preserve"> reports claimed that </w:t>
      </w:r>
      <w:r w:rsidR="00134FC8" w:rsidRPr="00AD652D">
        <w:t>female missionaries</w:t>
      </w:r>
      <w:r w:rsidR="00DC21B2" w:rsidRPr="00AD652D">
        <w:t xml:space="preserve"> </w:t>
      </w:r>
      <w:r w:rsidR="00134FC8" w:rsidRPr="00AD652D">
        <w:t xml:space="preserve">too </w:t>
      </w:r>
      <w:r w:rsidR="00DC21B2" w:rsidRPr="00AD652D">
        <w:t xml:space="preserve">often </w:t>
      </w:r>
      <w:r w:rsidR="00E15579" w:rsidRPr="00AD652D">
        <w:t>succumbed to</w:t>
      </w:r>
      <w:r w:rsidR="00DC21B2" w:rsidRPr="00AD652D">
        <w:t xml:space="preserve"> </w:t>
      </w:r>
      <w:r w:rsidR="00661FF5" w:rsidRPr="00AD652D">
        <w:t>“</w:t>
      </w:r>
      <w:r w:rsidR="00E15579" w:rsidRPr="00AD652D">
        <w:t>the fatal lure of Chinese</w:t>
      </w:r>
      <w:r w:rsidR="00DC21B2" w:rsidRPr="00AD652D">
        <w:t>.</w:t>
      </w:r>
      <w:r w:rsidR="00661FF5" w:rsidRPr="00AD652D">
        <w:t>”</w:t>
      </w:r>
      <w:r w:rsidR="00DC21B2" w:rsidRPr="00AD652D">
        <w:rPr>
          <w:rStyle w:val="FootnoteReference"/>
        </w:rPr>
        <w:footnoteReference w:id="136"/>
      </w:r>
      <w:r w:rsidR="00DC21B2" w:rsidRPr="00AD652D">
        <w:t xml:space="preserve">  </w:t>
      </w:r>
      <w:r w:rsidR="0095520E" w:rsidRPr="00AD652D">
        <w:t>O</w:t>
      </w:r>
      <w:r w:rsidR="00DC21B2" w:rsidRPr="00AD652D">
        <w:t xml:space="preserve">ne </w:t>
      </w:r>
      <w:r w:rsidR="0095520E" w:rsidRPr="00AD652D">
        <w:t>clergym</w:t>
      </w:r>
      <w:r w:rsidR="005662FF" w:rsidRPr="00AD652D">
        <w:t>an</w:t>
      </w:r>
      <w:r w:rsidR="0095520E" w:rsidRPr="00AD652D">
        <w:t xml:space="preserve"> explained:</w:t>
      </w:r>
      <w:r w:rsidR="00DC21B2" w:rsidRPr="00AD652D">
        <w:t xml:space="preserve"> </w:t>
      </w:r>
      <w:r w:rsidR="00661FF5" w:rsidRPr="00AD652D">
        <w:t>“</w:t>
      </w:r>
      <w:r w:rsidR="00DC21B2" w:rsidRPr="00AD652D">
        <w:t>I know the possible dangers of social intercourse between the races . . . so our Chinese school is watched very strictly.</w:t>
      </w:r>
      <w:r w:rsidR="00661FF5" w:rsidRPr="00AD652D">
        <w:t>”</w:t>
      </w:r>
      <w:r w:rsidR="00DC21B2" w:rsidRPr="00AD652D">
        <w:rPr>
          <w:rStyle w:val="FootnoteReference"/>
        </w:rPr>
        <w:footnoteReference w:id="137"/>
      </w:r>
      <w:r w:rsidR="00DC21B2" w:rsidRPr="00AD652D">
        <w:t xml:space="preserve">  A Kansas City detective thought that society should </w:t>
      </w:r>
      <w:r w:rsidR="00661FF5" w:rsidRPr="00AD652D">
        <w:t>“</w:t>
      </w:r>
      <w:r w:rsidR="00DC21B2" w:rsidRPr="00AD652D">
        <w:t>prevent young girls from wrecking their lives by attempting to Christianize Orientals.</w:t>
      </w:r>
      <w:r w:rsidR="00661FF5" w:rsidRPr="00AD652D">
        <w:t>”</w:t>
      </w:r>
      <w:r w:rsidR="00DC21B2" w:rsidRPr="00AD652D">
        <w:rPr>
          <w:rStyle w:val="FootnoteReference"/>
        </w:rPr>
        <w:footnoteReference w:id="138"/>
      </w:r>
      <w:r w:rsidR="00DC21B2" w:rsidRPr="00AD652D">
        <w:t xml:space="preserve">  </w:t>
      </w:r>
      <w:r w:rsidR="002E66B3">
        <w:t>T</w:t>
      </w:r>
      <w:r w:rsidR="00DC21B2" w:rsidRPr="00AD652D">
        <w:t xml:space="preserve">he oldest Chinese mission worker in New York stated that she did not </w:t>
      </w:r>
      <w:r w:rsidR="00661FF5" w:rsidRPr="00AD652D">
        <w:t>“</w:t>
      </w:r>
      <w:r w:rsidR="00DC21B2" w:rsidRPr="00AD652D">
        <w:t>believe in young girls teaching Chinamen</w:t>
      </w:r>
      <w:r w:rsidR="00661FF5" w:rsidRPr="00AD652D">
        <w:t>”</w:t>
      </w:r>
      <w:r w:rsidR="00DC21B2" w:rsidRPr="00AD652D">
        <w:t xml:space="preserve"> because the Chinese continue to </w:t>
      </w:r>
      <w:r w:rsidR="00661FF5" w:rsidRPr="00AD652D">
        <w:t>“</w:t>
      </w:r>
      <w:r w:rsidR="00DC21B2" w:rsidRPr="00AD652D">
        <w:t>hold a fascination for young American girls . . .  after they once come in contact.</w:t>
      </w:r>
      <w:r w:rsidR="00661FF5" w:rsidRPr="00AD652D">
        <w:t>”</w:t>
      </w:r>
      <w:r w:rsidR="00DC21B2" w:rsidRPr="00AD652D">
        <w:rPr>
          <w:rStyle w:val="FootnoteReference"/>
        </w:rPr>
        <w:footnoteReference w:id="139"/>
      </w:r>
      <w:r w:rsidR="00DC21B2" w:rsidRPr="00AD652D">
        <w:t xml:space="preserve">  </w:t>
      </w:r>
      <w:r w:rsidR="00DC21B2" w:rsidRPr="00AD652D">
        <w:rPr>
          <w:i/>
        </w:rPr>
        <w:t>Munsey</w:t>
      </w:r>
      <w:r w:rsidR="00661FF5" w:rsidRPr="00AD652D">
        <w:rPr>
          <w:i/>
        </w:rPr>
        <w:t>’</w:t>
      </w:r>
      <w:r w:rsidR="00DC21B2" w:rsidRPr="00AD652D">
        <w:rPr>
          <w:i/>
        </w:rPr>
        <w:t xml:space="preserve">s Magazine </w:t>
      </w:r>
      <w:r w:rsidR="0095520E" w:rsidRPr="00AD652D">
        <w:t>published</w:t>
      </w:r>
      <w:r w:rsidR="00DC21B2" w:rsidRPr="00AD652D">
        <w:t xml:space="preserve"> </w:t>
      </w:r>
      <w:r w:rsidR="00661FF5" w:rsidRPr="00AD652D">
        <w:t>“</w:t>
      </w:r>
      <w:r w:rsidR="00DC21B2" w:rsidRPr="00AD652D">
        <w:t>Woman</w:t>
      </w:r>
      <w:r w:rsidR="00661FF5" w:rsidRPr="00AD652D">
        <w:t>’</w:t>
      </w:r>
      <w:r w:rsidR="00DC21B2" w:rsidRPr="00AD652D">
        <w:t>s Love of the Exotic</w:t>
      </w:r>
      <w:r w:rsidR="00661FF5" w:rsidRPr="00AD652D">
        <w:t>”</w:t>
      </w:r>
      <w:r w:rsidR="00DC21B2" w:rsidRPr="00AD652D">
        <w:t xml:space="preserve"> </w:t>
      </w:r>
      <w:r w:rsidR="00D16CE9">
        <w:t>suggesting</w:t>
      </w:r>
      <w:r w:rsidR="00A84B5A" w:rsidRPr="00AD652D">
        <w:t xml:space="preserve"> the</w:t>
      </w:r>
      <w:r w:rsidR="00DC21B2" w:rsidRPr="00AD652D">
        <w:t xml:space="preserve"> public perception o</w:t>
      </w:r>
      <w:r w:rsidR="00A84B5A" w:rsidRPr="00AD652D">
        <w:t>f</w:t>
      </w:r>
      <w:r w:rsidR="00DC21B2" w:rsidRPr="00AD652D">
        <w:t xml:space="preserve"> the issue:</w:t>
      </w:r>
    </w:p>
    <w:p w14:paraId="74082982" w14:textId="77777777" w:rsidR="00DC21B2" w:rsidRPr="00AD652D" w:rsidRDefault="00DC21B2" w:rsidP="00195169">
      <w:pPr>
        <w:pStyle w:val="NoSpacing"/>
        <w:spacing w:after="100" w:afterAutospacing="1"/>
      </w:pPr>
      <w:r w:rsidRPr="00AD652D">
        <w:t>A DANGEROUS ASSOCIATION</w:t>
      </w:r>
    </w:p>
    <w:p w14:paraId="52033D5D" w14:textId="0D6E6DE9" w:rsidR="00DC21B2" w:rsidRPr="00AD652D" w:rsidRDefault="00DC21B2" w:rsidP="00195169">
      <w:pPr>
        <w:pStyle w:val="NoSpacing"/>
        <w:spacing w:after="100" w:afterAutospacing="1"/>
      </w:pPr>
      <w:r w:rsidRPr="00AD652D">
        <w:t xml:space="preserve">[I]n the beginning, [they] were probably religious in their cast of thought; and they went down to Chinatown, at first, with the sincerest and most innocent motives. </w:t>
      </w:r>
      <w:r w:rsidR="00090174" w:rsidRPr="00AD652D">
        <w:t xml:space="preserve"> </w:t>
      </w:r>
      <w:r w:rsidR="001E6341" w:rsidRPr="00AD652D">
        <w:t xml:space="preserve"> . . .</w:t>
      </w:r>
    </w:p>
    <w:p w14:paraId="6C6D7856" w14:textId="108AC197" w:rsidR="00090174" w:rsidRPr="00AD652D" w:rsidRDefault="00DC21B2" w:rsidP="00195169">
      <w:pPr>
        <w:pStyle w:val="NoSpacing"/>
        <w:spacing w:after="100" w:afterAutospacing="1"/>
      </w:pPr>
      <w:r w:rsidRPr="00AD652D">
        <w:t xml:space="preserve">In time, familiarity brought about a new feeling, and made the interest a personal interest, quite as much as a religious one. </w:t>
      </w:r>
      <w:r w:rsidR="00090174" w:rsidRPr="00AD652D">
        <w:t xml:space="preserve"> </w:t>
      </w:r>
      <w:r w:rsidRPr="00AD652D">
        <w:t xml:space="preserve">The very fact that white men despise Chinese, and often ill-treat them, stirred what may be called a maternal instinct in the women who made themselves responsible for the welfare of their charges. </w:t>
      </w:r>
      <w:r w:rsidR="00090174" w:rsidRPr="00AD652D">
        <w:t xml:space="preserve"> </w:t>
      </w:r>
      <w:r w:rsidRPr="00AD652D">
        <w:t xml:space="preserve">Just as a mother loves most tenderly her most misshapen and ill-favored child, so these girls felt their hearts moved by the thought that their </w:t>
      </w:r>
      <w:r w:rsidR="00661FF5" w:rsidRPr="00AD652D">
        <w:t>‘</w:t>
      </w:r>
      <w:r w:rsidRPr="00AD652D">
        <w:t>converts</w:t>
      </w:r>
      <w:r w:rsidR="00661FF5" w:rsidRPr="00AD652D">
        <w:t>’</w:t>
      </w:r>
      <w:r w:rsidRPr="00AD652D">
        <w:t xml:space="preserve"> had all the world against them. </w:t>
      </w:r>
      <w:r w:rsidR="00090174" w:rsidRPr="00AD652D">
        <w:t xml:space="preserve"> </w:t>
      </w:r>
      <w:r w:rsidRPr="00AD652D">
        <w:t>Then, again, the personality of the Orientals, with their insidious ways and fawning manners, made the appeal still stronger.</w:t>
      </w:r>
      <w:r w:rsidR="00090174" w:rsidRPr="00AD652D">
        <w:t xml:space="preserve"> </w:t>
      </w:r>
      <w:r w:rsidRPr="00AD652D">
        <w:t xml:space="preserve"> Add to this the fact that</w:t>
      </w:r>
      <w:r w:rsidR="00090174" w:rsidRPr="00AD652D">
        <w:t xml:space="preserve"> </w:t>
      </w:r>
      <w:r w:rsidRPr="00AD652D">
        <w:t>religious emotion is very closely related to one that is physical, and we find a combination which explains why so many of these young women went astray, and why in their converts they ultimately found lovers.</w:t>
      </w:r>
      <w:r w:rsidRPr="00AD652D">
        <w:rPr>
          <w:rStyle w:val="FootnoteReference"/>
        </w:rPr>
        <w:footnoteReference w:id="140"/>
      </w:r>
    </w:p>
    <w:p w14:paraId="0886E479" w14:textId="6E9EDD9A" w:rsidR="00DC21B2" w:rsidRPr="00AD652D" w:rsidRDefault="00201477" w:rsidP="00195169">
      <w:pPr>
        <w:spacing w:after="100" w:afterAutospacing="1"/>
        <w:ind w:firstLine="0"/>
      </w:pPr>
      <w:r w:rsidRPr="00AD652D">
        <w:t>Some</w:t>
      </w:r>
      <w:r w:rsidR="00DC21B2" w:rsidRPr="00AD652D">
        <w:t xml:space="preserve"> worried </w:t>
      </w:r>
      <w:r w:rsidR="0080658C" w:rsidRPr="00AD652D">
        <w:t xml:space="preserve">young </w:t>
      </w:r>
      <w:r w:rsidR="00B11055">
        <w:t xml:space="preserve">female </w:t>
      </w:r>
      <w:r w:rsidR="0080658C" w:rsidRPr="00AD652D">
        <w:t>missionar</w:t>
      </w:r>
      <w:r w:rsidR="00B11055">
        <w:t>ies</w:t>
      </w:r>
      <w:r w:rsidR="0080658C" w:rsidRPr="00AD652D">
        <w:t xml:space="preserve"> </w:t>
      </w:r>
      <w:r w:rsidR="00DC21B2" w:rsidRPr="00AD652D">
        <w:t xml:space="preserve">would end up like other white women who </w:t>
      </w:r>
      <w:r w:rsidR="00661FF5" w:rsidRPr="00AD652D">
        <w:t>“</w:t>
      </w:r>
      <w:r w:rsidR="00DC21B2" w:rsidRPr="00AD652D">
        <w:t>consort with the Mongolians for a thimble of the drug.</w:t>
      </w:r>
      <w:r w:rsidR="00661FF5" w:rsidRPr="00AD652D">
        <w:t>”</w:t>
      </w:r>
      <w:bookmarkStart w:id="37" w:name="_Ref476406591"/>
      <w:r w:rsidR="00DC21B2" w:rsidRPr="00AD652D">
        <w:rPr>
          <w:rStyle w:val="FootnoteReference"/>
        </w:rPr>
        <w:footnoteReference w:id="141"/>
      </w:r>
      <w:bookmarkEnd w:id="37"/>
      <w:r w:rsidR="00DC21B2" w:rsidRPr="00AD652D">
        <w:t xml:space="preserve">  </w:t>
      </w:r>
    </w:p>
    <w:p w14:paraId="736462C6" w14:textId="75F82154" w:rsidR="00DC21B2" w:rsidRPr="00AD652D" w:rsidRDefault="00201477" w:rsidP="00195169">
      <w:pPr>
        <w:spacing w:after="100" w:afterAutospacing="1"/>
      </w:pPr>
      <w:r w:rsidRPr="00AD652D">
        <w:t>1</w:t>
      </w:r>
      <w:r w:rsidR="00DC21B2" w:rsidRPr="00AD652D">
        <w:t>909</w:t>
      </w:r>
      <w:r w:rsidRPr="00AD652D">
        <w:t xml:space="preserve"> was critical for regulation of Chinese.</w:t>
      </w:r>
      <w:r w:rsidR="0080658C" w:rsidRPr="00AD652D">
        <w:t xml:space="preserve"> </w:t>
      </w:r>
      <w:r w:rsidRPr="00AD652D">
        <w:t xml:space="preserve"> In an era when many </w:t>
      </w:r>
      <w:r w:rsidR="009210A2" w:rsidRPr="00AD652D">
        <w:t>Americans</w:t>
      </w:r>
      <w:r w:rsidRPr="00AD652D">
        <w:t xml:space="preserve"> used </w:t>
      </w:r>
      <w:r w:rsidR="00162865" w:rsidRPr="00AD652D">
        <w:t xml:space="preserve">over-the-counter </w:t>
      </w:r>
      <w:r w:rsidRPr="00AD652D">
        <w:t>patent medicines containing opiates or cocaine,</w:t>
      </w:r>
      <w:r w:rsidR="009210A2" w:rsidRPr="00AD652D">
        <w:rPr>
          <w:rStyle w:val="FootnoteReference"/>
        </w:rPr>
        <w:footnoteReference w:id="142"/>
      </w:r>
      <w:r w:rsidRPr="00AD652D">
        <w:t xml:space="preserve"> </w:t>
      </w:r>
      <w:r w:rsidR="001E6341" w:rsidRPr="00AD652D">
        <w:t>Congress passed</w:t>
      </w:r>
      <w:r w:rsidRPr="00AD652D">
        <w:t xml:space="preserve"> the</w:t>
      </w:r>
      <w:r w:rsidR="00DC21B2" w:rsidRPr="00AD652D">
        <w:t xml:space="preserve"> Smoking Opium Exclusion Act of 1909.</w:t>
      </w:r>
      <w:r w:rsidR="00DC21B2" w:rsidRPr="00AD652D">
        <w:rPr>
          <w:rStyle w:val="FootnoteReference"/>
        </w:rPr>
        <w:footnoteReference w:id="143"/>
      </w:r>
      <w:r w:rsidR="00DC21B2" w:rsidRPr="00AD652D">
        <w:t xml:space="preserve"> And then, in June, 1909, came tragedy and disaster.  As is </w:t>
      </w:r>
      <w:r w:rsidR="00170B9C">
        <w:t>recounted</w:t>
      </w:r>
      <w:r w:rsidR="00DC21B2" w:rsidRPr="00AD652D">
        <w:t xml:space="preserve"> in Professor Ting Yi Lui</w:t>
      </w:r>
      <w:r w:rsidR="00661FF5" w:rsidRPr="00AD652D">
        <w:t>’</w:t>
      </w:r>
      <w:r w:rsidR="00DC21B2" w:rsidRPr="00AD652D">
        <w:t xml:space="preserve">s </w:t>
      </w:r>
      <w:r w:rsidR="00B520D7" w:rsidRPr="00AD652D">
        <w:t>award-winning</w:t>
      </w:r>
      <w:r w:rsidR="00DC21B2" w:rsidRPr="00AD652D">
        <w:t xml:space="preserve"> book</w:t>
      </w:r>
      <w:r w:rsidR="00B520D7" w:rsidRPr="00AD652D">
        <w:t xml:space="preserve"> </w:t>
      </w:r>
      <w:r w:rsidR="00B520D7" w:rsidRPr="00AD652D">
        <w:rPr>
          <w:i/>
        </w:rPr>
        <w:t>The Chinese Trunk Murder</w:t>
      </w:r>
      <w:r w:rsidR="00DC21B2" w:rsidRPr="00AD652D">
        <w:t xml:space="preserve">, Leon Ling, a </w:t>
      </w:r>
      <w:r w:rsidR="00162865" w:rsidRPr="00AD652D">
        <w:t xml:space="preserve">New York </w:t>
      </w:r>
      <w:r w:rsidR="00DC21B2" w:rsidRPr="00AD652D">
        <w:t>Chinese restaurant</w:t>
      </w:r>
      <w:r w:rsidR="00B11055">
        <w:t xml:space="preserve"> worker</w:t>
      </w:r>
      <w:r w:rsidR="00DC21B2" w:rsidRPr="00AD652D">
        <w:t>, murdered Elsie Sigel, a young white missionary from a prominent family.</w:t>
      </w:r>
      <w:bookmarkStart w:id="38" w:name="_Ref476406644"/>
      <w:r w:rsidR="00DC21B2" w:rsidRPr="00AD652D">
        <w:rPr>
          <w:rStyle w:val="FootnoteReference"/>
        </w:rPr>
        <w:footnoteReference w:id="144"/>
      </w:r>
      <w:bookmarkEnd w:id="38"/>
      <w:r w:rsidR="00DC21B2" w:rsidRPr="00AD652D">
        <w:t xml:space="preserve">  In part because Ling was the subject of an un</w:t>
      </w:r>
      <w:r w:rsidR="00162865" w:rsidRPr="00AD652D">
        <w:t>successful</w:t>
      </w:r>
      <w:r w:rsidR="00DC21B2" w:rsidRPr="00AD652D">
        <w:t xml:space="preserve"> </w:t>
      </w:r>
      <w:r w:rsidR="00D70AF0">
        <w:t xml:space="preserve">national </w:t>
      </w:r>
      <w:r w:rsidR="00DC21B2" w:rsidRPr="00AD652D">
        <w:t xml:space="preserve">manhunt, the crime became a </w:t>
      </w:r>
      <w:r w:rsidR="001E6341" w:rsidRPr="00AD652D">
        <w:t>prolonged</w:t>
      </w:r>
      <w:r w:rsidR="00DC21B2" w:rsidRPr="00AD652D">
        <w:t xml:space="preserve"> sensation.</w:t>
      </w:r>
      <w:r w:rsidR="00DC21B2" w:rsidRPr="00AD652D">
        <w:rPr>
          <w:rStyle w:val="FootnoteReference"/>
        </w:rPr>
        <w:footnoteReference w:id="145"/>
      </w:r>
      <w:r w:rsidR="00DC21B2" w:rsidRPr="00AD652D">
        <w:t xml:space="preserve">   </w:t>
      </w:r>
    </w:p>
    <w:p w14:paraId="6D2E4C93" w14:textId="36431E01" w:rsidR="00DC21B2" w:rsidRPr="00AD652D" w:rsidRDefault="00DC21B2" w:rsidP="00195169">
      <w:pPr>
        <w:spacing w:after="100" w:afterAutospacing="1"/>
      </w:pPr>
      <w:r w:rsidRPr="00AD652D">
        <w:t xml:space="preserve">Ms. Sigel </w:t>
      </w:r>
      <w:r w:rsidR="0022605C" w:rsidRPr="00AD652D">
        <w:t xml:space="preserve">was described as </w:t>
      </w:r>
      <w:r w:rsidRPr="00AD652D">
        <w:t>a Christian missionary seduced by her Chinese pupil.</w:t>
      </w:r>
      <w:bookmarkStart w:id="39" w:name="_Ref476491986"/>
      <w:r w:rsidRPr="00AD652D">
        <w:rPr>
          <w:rStyle w:val="FootnoteReference"/>
        </w:rPr>
        <w:footnoteReference w:id="146"/>
      </w:r>
      <w:bookmarkEnd w:id="39"/>
      <w:r w:rsidRPr="00AD652D">
        <w:t xml:space="preserve">  </w:t>
      </w:r>
      <w:r w:rsidR="00725DF1" w:rsidRPr="00AD652D">
        <w:t>Lurid</w:t>
      </w:r>
      <w:r w:rsidRPr="00AD652D">
        <w:t xml:space="preserve"> headlines such as </w:t>
      </w:r>
      <w:r w:rsidRPr="00AD652D">
        <w:rPr>
          <w:i/>
        </w:rPr>
        <w:t>Was Strangled By Her Chinese Lover: Granddaughter of General Sigel Slain in the Slums of New York</w:t>
      </w:r>
      <w:r w:rsidRPr="00AD652D">
        <w:t xml:space="preserve"> captured publi</w:t>
      </w:r>
      <w:r w:rsidR="00A823F3">
        <w:t>c</w:t>
      </w:r>
      <w:r w:rsidRPr="00AD652D">
        <w:t xml:space="preserve"> attention.</w:t>
      </w:r>
      <w:r w:rsidRPr="00AD652D">
        <w:rPr>
          <w:rStyle w:val="FootnoteReference"/>
        </w:rPr>
        <w:footnoteReference w:id="147"/>
      </w:r>
      <w:r w:rsidRPr="00AD652D">
        <w:t xml:space="preserve">  Unfortunately for Chinese restaurants, not only was Ling a restaurant worker, but Ms. Sigel</w:t>
      </w:r>
      <w:r w:rsidR="00661FF5" w:rsidRPr="00AD652D">
        <w:t>’</w:t>
      </w:r>
      <w:r w:rsidRPr="00AD652D">
        <w:t>s body was found in a trunk in Ling</w:t>
      </w:r>
      <w:r w:rsidR="00661FF5" w:rsidRPr="00AD652D">
        <w:t>’</w:t>
      </w:r>
      <w:r w:rsidRPr="00AD652D">
        <w:t>s room above a Chinese restaurant, although one in Midtown Manhattan, not Chinatown.</w:t>
      </w:r>
      <w:r w:rsidRPr="00AD652D">
        <w:rPr>
          <w:rStyle w:val="FootnoteReference"/>
        </w:rPr>
        <w:footnoteReference w:id="148"/>
      </w:r>
      <w:r w:rsidRPr="00AD652D">
        <w:t xml:space="preserve">  The subsequent </w:t>
      </w:r>
      <w:r w:rsidR="00661FF5" w:rsidRPr="00AD652D">
        <w:t>“</w:t>
      </w:r>
      <w:r w:rsidRPr="00AD652D">
        <w:t>wave of suspicion</w:t>
      </w:r>
      <w:r w:rsidR="00661FF5" w:rsidRPr="00AD652D">
        <w:t>”</w:t>
      </w:r>
      <w:r w:rsidRPr="00AD652D">
        <w:t xml:space="preserve"> put Chinese restaurants across the country under the spotlight.</w:t>
      </w:r>
      <w:r w:rsidRPr="00AD652D">
        <w:rPr>
          <w:rStyle w:val="FootnoteReference"/>
        </w:rPr>
        <w:footnoteReference w:id="149"/>
      </w:r>
      <w:r w:rsidRPr="00AD652D">
        <w:t xml:space="preserve">  An Oregon newspaper stated </w:t>
      </w:r>
      <w:r w:rsidR="00661FF5" w:rsidRPr="00AD652D">
        <w:t>“</w:t>
      </w:r>
      <w:r w:rsidRPr="00AD652D">
        <w:t>that the Sigel revelations have disgusted the Americans, and at present it is considered bad form to eat in a Chinese restaurant.</w:t>
      </w:r>
      <w:r w:rsidR="00661FF5" w:rsidRPr="00AD652D">
        <w:t>”</w:t>
      </w:r>
      <w:r w:rsidRPr="00AD652D">
        <w:rPr>
          <w:rStyle w:val="FootnoteReference"/>
        </w:rPr>
        <w:footnoteReference w:id="150"/>
      </w:r>
      <w:r w:rsidRPr="00AD652D">
        <w:t xml:space="preserve">  Also, police and an alert citizenry often identified Asian men, more or less at random, as Leon Ling, and officers in all parts of the United States raided Chinese businesses </w:t>
      </w:r>
      <w:r w:rsidR="00170B9C">
        <w:t>looking for</w:t>
      </w:r>
      <w:r w:rsidRPr="00AD652D">
        <w:t xml:space="preserve"> Ling or </w:t>
      </w:r>
      <w:r w:rsidR="00170B9C">
        <w:t>intercepting</w:t>
      </w:r>
      <w:r w:rsidR="003B2E74">
        <w:t xml:space="preserve"> </w:t>
      </w:r>
      <w:r w:rsidRPr="00AD652D">
        <w:t xml:space="preserve">white female </w:t>
      </w:r>
      <w:r w:rsidR="00170B9C">
        <w:t>visitors</w:t>
      </w:r>
      <w:r w:rsidRPr="00AD652D">
        <w:t>.</w:t>
      </w:r>
      <w:r w:rsidRPr="00AD652D">
        <w:rPr>
          <w:rStyle w:val="FootnoteReference"/>
        </w:rPr>
        <w:footnoteReference w:id="151"/>
      </w:r>
      <w:r w:rsidR="00023695" w:rsidRPr="00AD652D">
        <w:t xml:space="preserve">  Describing a case of mistaken identity, a Connecticut newspaper reported that </w:t>
      </w:r>
      <w:r w:rsidR="00661FF5" w:rsidRPr="00AD652D">
        <w:t>“</w:t>
      </w:r>
      <w:r w:rsidR="00023695" w:rsidRPr="00AD652D">
        <w:t>[t]o be a Chinaman these days is to be at least a suspect in the murder of Elsie Sigel.</w:t>
      </w:r>
      <w:r w:rsidR="00661FF5" w:rsidRPr="00AD652D">
        <w:t>”</w:t>
      </w:r>
      <w:r w:rsidR="00023695" w:rsidRPr="00AD652D">
        <w:rPr>
          <w:rStyle w:val="FootnoteReference"/>
        </w:rPr>
        <w:footnoteReference w:id="152"/>
      </w:r>
      <w:r w:rsidRPr="00AD652D">
        <w:t xml:space="preserve">  </w:t>
      </w:r>
    </w:p>
    <w:p w14:paraId="6237C22B" w14:textId="77777777" w:rsidR="003B2E74" w:rsidRDefault="00530D69" w:rsidP="00195169">
      <w:pPr>
        <w:spacing w:after="100" w:afterAutospacing="1"/>
      </w:pPr>
      <w:r w:rsidRPr="00AD652D">
        <w:t>T</w:t>
      </w:r>
      <w:r w:rsidR="0080658C" w:rsidRPr="00AD652D">
        <w:t xml:space="preserve">he press </w:t>
      </w:r>
      <w:r w:rsidRPr="00AD652D">
        <w:t>followed</w:t>
      </w:r>
      <w:r w:rsidR="00DC21B2" w:rsidRPr="00AD652D">
        <w:t xml:space="preserve"> the case</w:t>
      </w:r>
      <w:r w:rsidR="0080658C" w:rsidRPr="00AD652D">
        <w:t xml:space="preserve"> for years</w:t>
      </w:r>
      <w:r w:rsidR="00DC21B2" w:rsidRPr="00AD652D">
        <w:t xml:space="preserve">.  In 1911, the </w:t>
      </w:r>
      <w:r w:rsidR="00DC21B2" w:rsidRPr="00AD652D">
        <w:rPr>
          <w:i/>
        </w:rPr>
        <w:t>Washington Post</w:t>
      </w:r>
      <w:r w:rsidR="00DC21B2" w:rsidRPr="00AD652D">
        <w:t xml:space="preserve"> and</w:t>
      </w:r>
      <w:r w:rsidR="00DC21B2" w:rsidRPr="00AD652D">
        <w:rPr>
          <w:i/>
        </w:rPr>
        <w:t xml:space="preserve"> The New York Times</w:t>
      </w:r>
      <w:r w:rsidR="00DC21B2" w:rsidRPr="00AD652D">
        <w:t xml:space="preserve"> made an obligatory reference to the Sigel murder in articles reporting on the capture of the then-notorious opium smuggler </w:t>
      </w:r>
      <w:r w:rsidR="00661FF5" w:rsidRPr="00AD652D">
        <w:t>“</w:t>
      </w:r>
      <w:r w:rsidR="00DC21B2" w:rsidRPr="00AD652D">
        <w:t>Boston Charlie,</w:t>
      </w:r>
      <w:r w:rsidR="00661FF5" w:rsidRPr="00AD652D">
        <w:t>”</w:t>
      </w:r>
      <w:r w:rsidR="00DC21B2" w:rsidRPr="00AD652D">
        <w:rPr>
          <w:rStyle w:val="FootnoteReference"/>
        </w:rPr>
        <w:footnoteReference w:id="153"/>
      </w:r>
      <w:r w:rsidR="00DC21B2" w:rsidRPr="00AD652D">
        <w:t xml:space="preserve"> a case related to the Sigel murder only in that both cases involved Asians.  </w:t>
      </w:r>
      <w:r w:rsidRPr="00AD652D">
        <w:t>T</w:t>
      </w:r>
      <w:r w:rsidR="00DC21B2" w:rsidRPr="00AD652D">
        <w:t xml:space="preserve">he </w:t>
      </w:r>
      <w:r w:rsidR="00DC21B2" w:rsidRPr="00AD652D">
        <w:rPr>
          <w:i/>
        </w:rPr>
        <w:t>Washington Post</w:t>
      </w:r>
      <w:r w:rsidR="00DC21B2" w:rsidRPr="00AD652D">
        <w:t xml:space="preserve"> stated that a </w:t>
      </w:r>
      <w:r w:rsidR="00661FF5" w:rsidRPr="00AD652D">
        <w:t>“</w:t>
      </w:r>
      <w:r w:rsidR="00DC21B2" w:rsidRPr="00AD652D">
        <w:t>batch of letters</w:t>
      </w:r>
      <w:r w:rsidR="00661FF5" w:rsidRPr="00AD652D">
        <w:t>”</w:t>
      </w:r>
      <w:r w:rsidR="00DC21B2" w:rsidRPr="00AD652D">
        <w:t xml:space="preserve"> seized along with Charlie did not have </w:t>
      </w:r>
      <w:r w:rsidR="00661FF5" w:rsidRPr="00AD652D">
        <w:t>“</w:t>
      </w:r>
      <w:r w:rsidR="00DC21B2" w:rsidRPr="00AD652D">
        <w:t>any bearing on the murder of Elsie Sigel by Leon Ling.</w:t>
      </w:r>
      <w:r w:rsidR="00661FF5" w:rsidRPr="00AD652D">
        <w:t>”</w:t>
      </w:r>
      <w:r w:rsidR="00DC21B2" w:rsidRPr="00AD652D">
        <w:rPr>
          <w:rStyle w:val="FootnoteReference"/>
        </w:rPr>
        <w:footnoteReference w:id="154"/>
      </w:r>
      <w:r w:rsidR="00DC21B2" w:rsidRPr="00AD652D">
        <w:t xml:space="preserve">  </w:t>
      </w:r>
    </w:p>
    <w:p w14:paraId="2EF2C318" w14:textId="3CB0A5BD" w:rsidR="00DC21B2" w:rsidRDefault="003F714C" w:rsidP="00195169">
      <w:pPr>
        <w:spacing w:after="100" w:afterAutospacing="1"/>
      </w:pPr>
      <w:r w:rsidRPr="00AD652D">
        <w:t xml:space="preserve">The Sigel murder stimulated race-based regulation under the guise of </w:t>
      </w:r>
      <w:r w:rsidR="00661FF5" w:rsidRPr="00AD652D">
        <w:t>“</w:t>
      </w:r>
      <w:r w:rsidRPr="00AD652D">
        <w:t>protect[ing] young women.</w:t>
      </w:r>
      <w:r w:rsidR="00661FF5" w:rsidRPr="00AD652D">
        <w:t>”</w:t>
      </w:r>
      <w:r w:rsidRPr="00AD652D">
        <w:rPr>
          <w:vertAlign w:val="superscript"/>
        </w:rPr>
        <w:footnoteReference w:id="155"/>
      </w:r>
      <w:r w:rsidRPr="00AD652D">
        <w:t xml:space="preserve"> </w:t>
      </w:r>
      <w:r w:rsidR="00CF21B9">
        <w:t>T</w:t>
      </w:r>
      <w:r w:rsidR="00DC21B2" w:rsidRPr="00AD652D">
        <w:t xml:space="preserve">he </w:t>
      </w:r>
      <w:r w:rsidR="00DC21B2" w:rsidRPr="00AD652D">
        <w:rPr>
          <w:i/>
        </w:rPr>
        <w:t xml:space="preserve">Washington Times </w:t>
      </w:r>
      <w:r w:rsidR="00DC21B2" w:rsidRPr="00AD652D">
        <w:t xml:space="preserve">commented: </w:t>
      </w:r>
      <w:r w:rsidR="00661FF5" w:rsidRPr="00AD652D">
        <w:t>“</w:t>
      </w:r>
      <w:r w:rsidR="00DC21B2" w:rsidRPr="00AD652D">
        <w:t>The Elsie Sigel case wasn</w:t>
      </w:r>
      <w:r w:rsidR="00661FF5" w:rsidRPr="00AD652D">
        <w:t>’</w:t>
      </w:r>
      <w:r w:rsidR="00DC21B2" w:rsidRPr="00AD652D">
        <w:t>t enough . . .  Every state in the union should pass laws that would prohibit a white girl from ever crossing a Chinaman</w:t>
      </w:r>
      <w:r w:rsidR="00661FF5" w:rsidRPr="00AD652D">
        <w:t>’</w:t>
      </w:r>
      <w:r w:rsidR="00DC21B2" w:rsidRPr="00AD652D">
        <w:t>s threshold.</w:t>
      </w:r>
      <w:r w:rsidR="00661FF5" w:rsidRPr="00AD652D">
        <w:t>”</w:t>
      </w:r>
      <w:bookmarkStart w:id="40" w:name="_Ref476406664"/>
      <w:r w:rsidR="00DC21B2" w:rsidRPr="00AD652D">
        <w:rPr>
          <w:rStyle w:val="FootnoteReference"/>
        </w:rPr>
        <w:footnoteReference w:id="156"/>
      </w:r>
      <w:bookmarkEnd w:id="40"/>
      <w:r w:rsidR="00810213" w:rsidRPr="00AD652D">
        <w:t xml:space="preserve"> </w:t>
      </w:r>
      <w:r w:rsidR="000809BD" w:rsidRPr="00AD652D">
        <w:t xml:space="preserve"> </w:t>
      </w:r>
    </w:p>
    <w:p w14:paraId="3608BAD3" w14:textId="623D261C" w:rsidR="00340BFA" w:rsidRPr="00AD652D" w:rsidRDefault="00340BFA" w:rsidP="00195169">
      <w:pPr>
        <w:spacing w:after="100" w:afterAutospacing="1"/>
      </w:pPr>
      <w:r>
        <w:tab/>
        <w:t>1. The White Women’s Labor Law</w:t>
      </w:r>
      <w:r>
        <w:tab/>
      </w:r>
    </w:p>
    <w:p w14:paraId="33E24F41" w14:textId="75BD6EFD" w:rsidR="00C4203B" w:rsidRPr="00AD652D" w:rsidRDefault="00CF21B9" w:rsidP="00195169">
      <w:pPr>
        <w:spacing w:after="100" w:afterAutospacing="1"/>
      </w:pPr>
      <w:r>
        <w:t xml:space="preserve">After the murder, there was </w:t>
      </w:r>
      <w:r w:rsidR="00170B9C">
        <w:t xml:space="preserve">a </w:t>
      </w:r>
      <w:r w:rsidR="008751DA" w:rsidRPr="00AD652D">
        <w:t>national movement</w:t>
      </w:r>
      <w:r w:rsidR="00170B9C">
        <w:t xml:space="preserve"> to keep </w:t>
      </w:r>
      <w:r>
        <w:t>women</w:t>
      </w:r>
      <w:r w:rsidR="00170B9C">
        <w:t xml:space="preserve"> out of Chinese restaurants</w:t>
      </w:r>
      <w:r w:rsidR="008751DA" w:rsidRPr="00AD652D">
        <w:t xml:space="preserve">. </w:t>
      </w:r>
      <w:r w:rsidR="006532F1" w:rsidRPr="00AD652D">
        <w:t>Arizona, Iowa, Massachusetts</w:t>
      </w:r>
      <w:r w:rsidR="00F876B4" w:rsidRPr="00AD652D">
        <w:t>, Montana,</w:t>
      </w:r>
      <w:r w:rsidR="00B3790C" w:rsidRPr="00AD652D">
        <w:t xml:space="preserve"> Oregon</w:t>
      </w:r>
      <w:r w:rsidR="00F876B4" w:rsidRPr="00AD652D">
        <w:t xml:space="preserve">, Washington, </w:t>
      </w:r>
      <w:r w:rsidR="00C95D98" w:rsidRPr="00AD652D">
        <w:t xml:space="preserve">Los Angeles, </w:t>
      </w:r>
      <w:r w:rsidR="006532F1" w:rsidRPr="00AD652D">
        <w:t>Pittsburgh</w:t>
      </w:r>
      <w:r w:rsidR="00170B9C">
        <w:t>,</w:t>
      </w:r>
      <w:r w:rsidR="00F876B4" w:rsidRPr="00AD652D">
        <w:t xml:space="preserve"> and San Francisco</w:t>
      </w:r>
      <w:r w:rsidR="006532F1" w:rsidRPr="00AD652D">
        <w:t xml:space="preserve">, </w:t>
      </w:r>
      <w:r w:rsidR="00240061" w:rsidRPr="00AD652D">
        <w:t xml:space="preserve">considered legislation </w:t>
      </w:r>
      <w:r w:rsidR="006532F1" w:rsidRPr="00AD652D">
        <w:t xml:space="preserve">or decrees </w:t>
      </w:r>
      <w:r w:rsidR="00240061" w:rsidRPr="00AD652D">
        <w:t>banning white women from patronizing Chinese restaurants or being employed there.</w:t>
      </w:r>
      <w:r w:rsidR="009B48C9">
        <w:t xml:space="preserve"> A bill also became law in Saskatchewan, Canada.</w:t>
      </w:r>
      <w:bookmarkStart w:id="41" w:name="_Ref476406681"/>
      <w:r w:rsidR="009B48C9" w:rsidRPr="00AD652D">
        <w:rPr>
          <w:rStyle w:val="FootnoteReference"/>
        </w:rPr>
        <w:footnoteReference w:id="157"/>
      </w:r>
      <w:bookmarkEnd w:id="41"/>
      <w:r w:rsidR="009B48C9" w:rsidRPr="00AD652D">
        <w:t xml:space="preserve"> </w:t>
      </w:r>
    </w:p>
    <w:p w14:paraId="4460CF6C" w14:textId="41C6B291" w:rsidR="00C16D6C" w:rsidRPr="00AD652D" w:rsidRDefault="00306AC2" w:rsidP="00195169">
      <w:pPr>
        <w:spacing w:after="100" w:afterAutospacing="1"/>
      </w:pPr>
      <w:r>
        <w:t>T</w:t>
      </w:r>
      <w:r w:rsidR="00707844" w:rsidRPr="00AD652D">
        <w:t xml:space="preserve">he </w:t>
      </w:r>
      <w:r w:rsidR="00170B9C">
        <w:t xml:space="preserve">national nature of the effort is reflected by the following resolution of the </w:t>
      </w:r>
      <w:r w:rsidR="0030670E" w:rsidRPr="00AD652D">
        <w:t>American Federation of Labor</w:t>
      </w:r>
      <w:r w:rsidR="00A606DF" w:rsidRPr="00AD652D">
        <w:t xml:space="preserve"> </w:t>
      </w:r>
      <w:r>
        <w:t>to exclude white women from Chinese and Japanese restaurants</w:t>
      </w:r>
      <w:r w:rsidR="008F0E0A">
        <w:t xml:space="preserve"> across the United States</w:t>
      </w:r>
      <w:r w:rsidR="009A75A4" w:rsidRPr="00AD652D">
        <w:t xml:space="preserve">: </w:t>
      </w:r>
    </w:p>
    <w:p w14:paraId="7CCA4E9C" w14:textId="77777777" w:rsidR="00143A1D" w:rsidRPr="00AD652D" w:rsidRDefault="009A75A4" w:rsidP="00195169">
      <w:pPr>
        <w:spacing w:after="100" w:afterAutospacing="1"/>
        <w:ind w:left="720"/>
      </w:pPr>
      <w:r w:rsidRPr="00AD652D">
        <w:t>WHEREA</w:t>
      </w:r>
      <w:r w:rsidR="00C12022" w:rsidRPr="00AD652D">
        <w:t>S</w:t>
      </w:r>
      <w:r w:rsidRPr="00AD652D">
        <w:t xml:space="preserve"> the evils arising from the employment of white </w:t>
      </w:r>
      <w:r w:rsidR="00C12022" w:rsidRPr="00AD652D">
        <w:t>w</w:t>
      </w:r>
      <w:r w:rsidRPr="00AD652D">
        <w:t>omen and girls in establishments owned or controlled by Chinese and Japanese constitute, both morall</w:t>
      </w:r>
      <w:r w:rsidR="00C12022" w:rsidRPr="00AD652D">
        <w:t>y</w:t>
      </w:r>
      <w:r w:rsidRPr="00AD652D">
        <w:t xml:space="preserve"> and eco</w:t>
      </w:r>
      <w:r w:rsidR="00C12022" w:rsidRPr="00AD652D">
        <w:t>no</w:t>
      </w:r>
      <w:r w:rsidRPr="00AD652D">
        <w:t>mically, a serious menace to society; therefore be</w:t>
      </w:r>
      <w:r w:rsidR="00C12022" w:rsidRPr="00AD652D">
        <w:t xml:space="preserve"> </w:t>
      </w:r>
      <w:r w:rsidRPr="00AD652D">
        <w:t>it</w:t>
      </w:r>
    </w:p>
    <w:p w14:paraId="55E1AF48" w14:textId="7C55E1A3" w:rsidR="009A75A4" w:rsidRPr="00AD652D" w:rsidRDefault="009A75A4" w:rsidP="00195169">
      <w:pPr>
        <w:spacing w:after="100" w:afterAutospacing="1"/>
        <w:ind w:left="720"/>
      </w:pPr>
      <w:r w:rsidRPr="00AD652D">
        <w:t>RESOLVED, T</w:t>
      </w:r>
      <w:r w:rsidR="00134FC8" w:rsidRPr="00AD652D">
        <w:t>hat the American Federation of L</w:t>
      </w:r>
      <w:r w:rsidRPr="00AD652D">
        <w:t>abor be requested to pledge its best endeavors to secure the passage of a law prohibiting the employment of white women or girls in all such establishments.</w:t>
      </w:r>
      <w:r w:rsidRPr="00AD652D">
        <w:rPr>
          <w:rStyle w:val="FootnoteReference"/>
        </w:rPr>
        <w:footnoteReference w:id="158"/>
      </w:r>
    </w:p>
    <w:p w14:paraId="4D4FD21C" w14:textId="77C7A279" w:rsidR="00492AB6" w:rsidRPr="00AD652D" w:rsidRDefault="00AD2C25" w:rsidP="00195169">
      <w:pPr>
        <w:spacing w:after="100" w:afterAutospacing="1"/>
        <w:ind w:firstLine="0"/>
      </w:pPr>
      <w:r w:rsidRPr="00AD652D">
        <w:t xml:space="preserve">Notably, the text itself </w:t>
      </w:r>
      <w:r w:rsidR="00A93BC0" w:rsidRPr="00AD652D">
        <w:t>reflected</w:t>
      </w:r>
      <w:r w:rsidRPr="00AD652D">
        <w:t xml:space="preserve"> the dual economic and moral motivation</w:t>
      </w:r>
      <w:r w:rsidR="00C4203B" w:rsidRPr="00AD652D">
        <w:t xml:space="preserve"> of the measure</w:t>
      </w:r>
      <w:r w:rsidR="004A45C6" w:rsidRPr="00AD652D">
        <w:t xml:space="preserve">.  In addition, it </w:t>
      </w:r>
      <w:r w:rsidR="00A93BC0" w:rsidRPr="00AD652D">
        <w:t>made clear</w:t>
      </w:r>
      <w:r w:rsidR="00513190" w:rsidRPr="00AD652D">
        <w:t xml:space="preserve"> that the menace was not presented by Chinese alone</w:t>
      </w:r>
      <w:r w:rsidR="00C4203B" w:rsidRPr="00AD652D">
        <w:t>; other Asians were equally worthy of regulation</w:t>
      </w:r>
      <w:r w:rsidR="00513190" w:rsidRPr="00AD652D">
        <w:t>.</w:t>
      </w:r>
      <w:r w:rsidR="007C4907" w:rsidRPr="00AD652D">
        <w:t xml:space="preserve">  </w:t>
      </w:r>
    </w:p>
    <w:p w14:paraId="063F12A4" w14:textId="1937CBCA" w:rsidR="008406D0" w:rsidRPr="00AD652D" w:rsidRDefault="00492AB6" w:rsidP="00195169">
      <w:pPr>
        <w:spacing w:after="100" w:afterAutospacing="1"/>
        <w:ind w:firstLine="0"/>
      </w:pPr>
      <w:r w:rsidRPr="00AD652D">
        <w:tab/>
      </w:r>
      <w:r w:rsidR="007C4907" w:rsidRPr="00AD652D">
        <w:t xml:space="preserve">It is </w:t>
      </w:r>
      <w:r w:rsidR="00306AC2">
        <w:t>not cl</w:t>
      </w:r>
      <w:r w:rsidR="007C4907" w:rsidRPr="00AD652D">
        <w:t>ear that the</w:t>
      </w:r>
      <w:r w:rsidR="00306AC2">
        <w:t xml:space="preserve"> ban</w:t>
      </w:r>
      <w:r w:rsidR="007C4907" w:rsidRPr="00AD652D">
        <w:t xml:space="preserve">, </w:t>
      </w:r>
      <w:r w:rsidR="00306AC2">
        <w:t>proposed</w:t>
      </w:r>
      <w:r w:rsidR="007C4907" w:rsidRPr="00AD652D">
        <w:t xml:space="preserve"> before the Nineteenth Amendment, </w:t>
      </w:r>
      <w:r w:rsidR="00123A54">
        <w:t>was</w:t>
      </w:r>
      <w:r w:rsidR="007C4907" w:rsidRPr="00AD652D">
        <w:t xml:space="preserve"> congenial to women themselves.</w:t>
      </w:r>
      <w:r w:rsidR="005056B2" w:rsidRPr="005056B2">
        <w:rPr>
          <w:vertAlign w:val="superscript"/>
        </w:rPr>
        <w:footnoteReference w:id="159"/>
      </w:r>
      <w:r w:rsidR="005056B2" w:rsidRPr="005056B2">
        <w:t xml:space="preserve"> </w:t>
      </w:r>
      <w:r w:rsidR="007C4907" w:rsidRPr="00AD652D">
        <w:t xml:space="preserve">  An article in the </w:t>
      </w:r>
      <w:r w:rsidR="007C4907" w:rsidRPr="00AD652D">
        <w:rPr>
          <w:i/>
        </w:rPr>
        <w:t>Arizona Republican</w:t>
      </w:r>
      <w:r w:rsidR="007C4907" w:rsidRPr="00AD652D">
        <w:t xml:space="preserve"> in 1916 reported that a </w:t>
      </w:r>
      <w:r w:rsidR="00BB15E9" w:rsidRPr="00AD652D">
        <w:t xml:space="preserve">wealthy </w:t>
      </w:r>
      <w:r w:rsidR="007C4907" w:rsidRPr="00AD652D">
        <w:t xml:space="preserve">woman </w:t>
      </w:r>
      <w:r w:rsidR="00661FF5" w:rsidRPr="00AD652D">
        <w:t>“</w:t>
      </w:r>
      <w:r w:rsidR="007C4907" w:rsidRPr="00AD652D">
        <w:t xml:space="preserve">advertised for a cook and in thirty </w:t>
      </w:r>
      <w:r w:rsidR="00A33688" w:rsidRPr="00AD652D">
        <w:t>days</w:t>
      </w:r>
      <w:r w:rsidR="007C4907" w:rsidRPr="00AD652D">
        <w:t xml:space="preserve"> one replied. In the same column of the</w:t>
      </w:r>
      <w:r w:rsidR="00BB15E9" w:rsidRPr="00AD652D">
        <w:t xml:space="preserve"> paper</w:t>
      </w:r>
      <w:r w:rsidR="007C4907" w:rsidRPr="00AD652D">
        <w:t xml:space="preserve"> was an ad for a girl cashier in a Chinese restaurant and forty answered in one day.</w:t>
      </w:r>
      <w:r w:rsidR="00661FF5" w:rsidRPr="00AD652D">
        <w:t>”</w:t>
      </w:r>
      <w:r w:rsidR="00BB15E9" w:rsidRPr="00AD652D">
        <w:rPr>
          <w:rStyle w:val="FootnoteReference"/>
        </w:rPr>
        <w:footnoteReference w:id="160"/>
      </w:r>
      <w:r w:rsidRPr="00AD652D">
        <w:t xml:space="preserve"> Nevertheless, t</w:t>
      </w:r>
      <w:r w:rsidR="00707844" w:rsidRPr="00AD652D">
        <w:t xml:space="preserve">he idea turned into legislation </w:t>
      </w:r>
      <w:r w:rsidR="0039688A" w:rsidRPr="00AD652D">
        <w:t xml:space="preserve">or other action </w:t>
      </w:r>
      <w:r w:rsidR="00707844" w:rsidRPr="00AD652D">
        <w:t xml:space="preserve">in a number of jurisdictions.  </w:t>
      </w:r>
    </w:p>
    <w:p w14:paraId="29464C1E" w14:textId="1DF65853" w:rsidR="00DA6333" w:rsidRPr="00AD652D" w:rsidRDefault="008406D0" w:rsidP="002646E3">
      <w:pPr>
        <w:spacing w:after="100" w:afterAutospacing="1"/>
        <w:ind w:firstLine="0"/>
      </w:pPr>
      <w:r w:rsidRPr="00AD652D">
        <w:tab/>
      </w:r>
      <w:r w:rsidR="005760FD">
        <w:t>T</w:t>
      </w:r>
      <w:r w:rsidR="005A1BBA" w:rsidRPr="00AD652D">
        <w:t xml:space="preserve">he </w:t>
      </w:r>
      <w:r w:rsidR="00DA6333" w:rsidRPr="00AD652D">
        <w:t>Pittsburg</w:t>
      </w:r>
      <w:r w:rsidR="00240061" w:rsidRPr="00AD652D">
        <w:t>h</w:t>
      </w:r>
      <w:r w:rsidR="005A1BBA" w:rsidRPr="00AD652D">
        <w:t xml:space="preserve"> City Council passed an ordinance</w:t>
      </w:r>
      <w:r w:rsidR="005760FD">
        <w:t xml:space="preserve"> in 1910</w:t>
      </w:r>
      <w:r w:rsidR="00DA6333" w:rsidRPr="00AD652D">
        <w:t xml:space="preserve"> banning all women from </w:t>
      </w:r>
      <w:r w:rsidR="00123A54">
        <w:t xml:space="preserve">Chinese restaurants </w:t>
      </w:r>
      <w:r w:rsidR="00513190" w:rsidRPr="00AD652D">
        <w:t>as patrons or employees</w:t>
      </w:r>
      <w:r w:rsidR="00123A54">
        <w:t xml:space="preserve">, and </w:t>
      </w:r>
      <w:r w:rsidR="00123A54" w:rsidRPr="00AD652D">
        <w:t>restricting the</w:t>
      </w:r>
      <w:r w:rsidR="00123A54">
        <w:t>ir</w:t>
      </w:r>
      <w:r w:rsidR="00123A54" w:rsidRPr="00AD652D">
        <w:t xml:space="preserve"> hours</w:t>
      </w:r>
      <w:r w:rsidR="009575E6">
        <w:t xml:space="preserve"> of operation</w:t>
      </w:r>
      <w:r w:rsidR="00DA6333" w:rsidRPr="00AD652D">
        <w:t>.</w:t>
      </w:r>
      <w:r w:rsidR="004B01C1" w:rsidRPr="00AD652D">
        <w:t xml:space="preserve">  </w:t>
      </w:r>
      <w:r w:rsidR="005760FD">
        <w:t xml:space="preserve">A </w:t>
      </w:r>
      <w:r w:rsidR="00123A54">
        <w:t>supporter</w:t>
      </w:r>
      <w:r w:rsidR="005760FD">
        <w:t xml:space="preserve"> argued that m</w:t>
      </w:r>
      <w:r w:rsidR="00B47341" w:rsidRPr="00AD652D">
        <w:t xml:space="preserve">any girls </w:t>
      </w:r>
      <w:r w:rsidR="00661FF5" w:rsidRPr="00AD652D">
        <w:t>“</w:t>
      </w:r>
      <w:r w:rsidR="00DA6333" w:rsidRPr="00AD652D">
        <w:t xml:space="preserve">are enticed into the restaurants on the plea of getting something to eat, and because of the novelty of the situation. </w:t>
      </w:r>
      <w:r w:rsidR="00DE23FB" w:rsidRPr="00AD652D">
        <w:t xml:space="preserve"> </w:t>
      </w:r>
      <w:r w:rsidR="00DA6333" w:rsidRPr="00AD652D">
        <w:t xml:space="preserve">Then they are persuaded to stay until it is too late for a girl to go a home, whose home rules are strict. </w:t>
      </w:r>
      <w:r w:rsidR="00DE23FB" w:rsidRPr="00AD652D">
        <w:t xml:space="preserve"> </w:t>
      </w:r>
      <w:r w:rsidR="00DA6333" w:rsidRPr="00AD652D">
        <w:t>The Chinese restaurants are only the opening wedge for worse resorts.</w:t>
      </w:r>
      <w:r w:rsidR="00661FF5" w:rsidRPr="00AD652D">
        <w:t>”</w:t>
      </w:r>
      <w:r w:rsidR="00DA6333" w:rsidRPr="00AD652D">
        <w:rPr>
          <w:vertAlign w:val="superscript"/>
        </w:rPr>
        <w:footnoteReference w:id="161"/>
      </w:r>
      <w:r w:rsidR="00DA6333" w:rsidRPr="00AD652D">
        <w:t xml:space="preserve"> </w:t>
      </w:r>
      <w:r w:rsidR="00AC5EE0" w:rsidRPr="00AD652D">
        <w:t xml:space="preserve"> </w:t>
      </w:r>
      <w:r w:rsidR="002646E3">
        <w:t>Notably, the police disagreed; t</w:t>
      </w:r>
      <w:r w:rsidR="00DA6333" w:rsidRPr="00AD652D">
        <w:t>he Captain of Detectives</w:t>
      </w:r>
      <w:r w:rsidR="00840AD5" w:rsidRPr="00AD652D">
        <w:t xml:space="preserve"> </w:t>
      </w:r>
      <w:r w:rsidR="002646E3">
        <w:t>stated:</w:t>
      </w:r>
      <w:r w:rsidR="00DA6333" w:rsidRPr="00AD652D">
        <w:t xml:space="preserve"> </w:t>
      </w:r>
      <w:r w:rsidR="00661FF5" w:rsidRPr="00AD652D">
        <w:t>“</w:t>
      </w:r>
      <w:r w:rsidR="00DA6333" w:rsidRPr="00AD652D">
        <w:t xml:space="preserve">We have never had any trouble with those restaurants. </w:t>
      </w:r>
      <w:r w:rsidR="00471D5C" w:rsidRPr="00AD652D">
        <w:t xml:space="preserve"> </w:t>
      </w:r>
      <w:r w:rsidR="00DA6333" w:rsidRPr="00AD652D">
        <w:t>The Chinese give us less trouble than any other class.</w:t>
      </w:r>
      <w:r w:rsidR="00661FF5" w:rsidRPr="00AD652D">
        <w:t>”</w:t>
      </w:r>
      <w:r w:rsidR="00DA6333" w:rsidRPr="00AD652D">
        <w:rPr>
          <w:vertAlign w:val="superscript"/>
        </w:rPr>
        <w:footnoteReference w:id="162"/>
      </w:r>
    </w:p>
    <w:p w14:paraId="6F5E60FA" w14:textId="3CE9F501" w:rsidR="00444BC8" w:rsidRPr="00AD652D" w:rsidRDefault="000A5953" w:rsidP="00195169">
      <w:pPr>
        <w:spacing w:after="100" w:afterAutospacing="1"/>
      </w:pPr>
      <w:r w:rsidRPr="00AD652D">
        <w:t xml:space="preserve">Nevertheless, </w:t>
      </w:r>
      <w:r w:rsidR="00EB0B07">
        <w:t xml:space="preserve">the City Council </w:t>
      </w:r>
      <w:r w:rsidR="00384F85">
        <w:t>passed the measure</w:t>
      </w:r>
      <w:r w:rsidR="00555906" w:rsidRPr="00AD652D">
        <w:t xml:space="preserve"> 49-2</w:t>
      </w:r>
      <w:r w:rsidR="00F53A3F" w:rsidRPr="00AD652D">
        <w:t>.</w:t>
      </w:r>
      <w:bookmarkStart w:id="42" w:name="_Ref461986201"/>
      <w:r w:rsidR="00DA6333" w:rsidRPr="00AD652D">
        <w:rPr>
          <w:vertAlign w:val="superscript"/>
        </w:rPr>
        <w:footnoteReference w:id="163"/>
      </w:r>
      <w:bookmarkEnd w:id="42"/>
      <w:r w:rsidR="00CD5E1A" w:rsidRPr="00AD652D">
        <w:t xml:space="preserve"> </w:t>
      </w:r>
      <w:r w:rsidR="009C5962" w:rsidRPr="00AD652D">
        <w:t xml:space="preserve">But </w:t>
      </w:r>
      <w:r w:rsidR="00384F85">
        <w:t>i</w:t>
      </w:r>
      <w:r w:rsidR="00444BC8" w:rsidRPr="00AD652D">
        <w:t xml:space="preserve">n a virtuoso explanation of </w:t>
      </w:r>
      <w:r w:rsidR="009575E6">
        <w:t>its</w:t>
      </w:r>
      <w:r w:rsidR="00444BC8" w:rsidRPr="00AD652D">
        <w:t xml:space="preserve"> legal </w:t>
      </w:r>
      <w:r w:rsidR="00384F85">
        <w:t xml:space="preserve">defects, the Mayor </w:t>
      </w:r>
      <w:r w:rsidR="00384F85" w:rsidRPr="00AD652D">
        <w:t>vetoed the bill</w:t>
      </w:r>
      <w:r w:rsidR="00384F85">
        <w:t>, explaining:</w:t>
      </w:r>
      <w:r w:rsidR="00384F85" w:rsidRPr="00AD652D">
        <w:rPr>
          <w:vertAlign w:val="superscript"/>
        </w:rPr>
        <w:footnoteReference w:id="164"/>
      </w:r>
    </w:p>
    <w:p w14:paraId="7DAB7685" w14:textId="725E3077" w:rsidR="00DA6333" w:rsidRPr="00AD652D" w:rsidRDefault="00DA6333" w:rsidP="00195169">
      <w:pPr>
        <w:pStyle w:val="NoSpacing"/>
        <w:spacing w:after="100" w:afterAutospacing="1"/>
      </w:pPr>
      <w:r w:rsidRPr="00AD652D">
        <w:t xml:space="preserve">While the ordinance apparently treats the </w:t>
      </w:r>
      <w:r w:rsidR="00661FF5" w:rsidRPr="00AD652D">
        <w:t>“</w:t>
      </w:r>
      <w:r w:rsidRPr="00AD652D">
        <w:t>Chinese</w:t>
      </w:r>
      <w:r w:rsidR="00661FF5" w:rsidRPr="00AD652D">
        <w:t>”</w:t>
      </w:r>
      <w:r w:rsidRPr="00AD652D">
        <w:t xml:space="preserve"> in an impersonal sense, it is plainly directed against the Chinese as a race</w:t>
      </w:r>
      <w:r w:rsidR="008F0E0A">
        <w:t xml:space="preserve"> . . . </w:t>
      </w:r>
      <w:r w:rsidRPr="00AD652D">
        <w:t>. The legal objections to this enactment are numerous and varied but I shall sum them up as to unreasonableness and discrimination as follows:</w:t>
      </w:r>
    </w:p>
    <w:p w14:paraId="35EEBD3C" w14:textId="448CA209" w:rsidR="00DA6333" w:rsidRPr="00AD652D" w:rsidRDefault="00DA6333" w:rsidP="00195169">
      <w:pPr>
        <w:pStyle w:val="NoSpacing"/>
        <w:spacing w:after="100" w:afterAutospacing="1"/>
        <w:ind w:firstLine="270"/>
      </w:pPr>
      <w:r w:rsidRPr="00AD652D">
        <w:t xml:space="preserve">First: It invests the Director of the Department of Public Safety with unlimited discretion to grant or refuse said license, because he is not to grant the same </w:t>
      </w:r>
      <w:r w:rsidR="00661FF5" w:rsidRPr="00AD652D">
        <w:t>“</w:t>
      </w:r>
      <w:r w:rsidRPr="00AD652D">
        <w:t>to any person who is not of good moral character,</w:t>
      </w:r>
      <w:r w:rsidR="00661FF5" w:rsidRPr="00AD652D">
        <w:t>”</w:t>
      </w:r>
      <w:r w:rsidRPr="00AD652D">
        <w:t xml:space="preserve"> and it need scarcely be said that what is or is not good moral character may be purely an arbitrary opinion.</w:t>
      </w:r>
    </w:p>
    <w:p w14:paraId="22DE7673" w14:textId="583CAF02" w:rsidR="00DA6333" w:rsidRPr="00AD652D" w:rsidRDefault="00DA6333" w:rsidP="00195169">
      <w:pPr>
        <w:pStyle w:val="NoSpacing"/>
        <w:spacing w:after="100" w:afterAutospacing="1"/>
        <w:ind w:firstLine="270"/>
      </w:pPr>
      <w:r w:rsidRPr="00AD652D">
        <w:t xml:space="preserve">Second: By implication it permits the Director to revoke said license in case of </w:t>
      </w:r>
      <w:r w:rsidR="00661FF5" w:rsidRPr="00AD652D">
        <w:t>“</w:t>
      </w:r>
      <w:r w:rsidRPr="00AD652D">
        <w:t>the visit of disreputable persons to said restaurant or chop suey houses,</w:t>
      </w:r>
      <w:r w:rsidR="00661FF5" w:rsidRPr="00AD652D">
        <w:t>”</w:t>
      </w:r>
      <w:r w:rsidRPr="00AD652D">
        <w:t xml:space="preserve"> and here again the right to do business is subject to an arbitrary opinion of the director.</w:t>
      </w:r>
    </w:p>
    <w:p w14:paraId="4B72D07A" w14:textId="77777777" w:rsidR="00DA6333" w:rsidRPr="00AD652D" w:rsidRDefault="00DA6333" w:rsidP="00195169">
      <w:pPr>
        <w:pStyle w:val="NoSpacing"/>
        <w:spacing w:after="100" w:afterAutospacing="1"/>
        <w:ind w:firstLine="270"/>
      </w:pPr>
      <w:r w:rsidRPr="00AD652D">
        <w:t>Third: The ordinance forbids the visit of women or girls to these restaurants, thus arbitrarily confining and limiting the business of the same.</w:t>
      </w:r>
    </w:p>
    <w:p w14:paraId="0EB4A2BA" w14:textId="77777777" w:rsidR="00DA6333" w:rsidRPr="00AD652D" w:rsidRDefault="00DA6333" w:rsidP="00195169">
      <w:pPr>
        <w:pStyle w:val="NoSpacing"/>
        <w:spacing w:after="100" w:afterAutospacing="1"/>
        <w:ind w:firstLine="270"/>
      </w:pPr>
      <w:r w:rsidRPr="00AD652D">
        <w:t>Fourth: The hours for doing business at these places is fixed from six A.M. until midnight which is a restriction not imposed on any other restaurant in the city.</w:t>
      </w:r>
    </w:p>
    <w:p w14:paraId="42A921A5" w14:textId="0314F03A" w:rsidR="00584925" w:rsidRPr="00AD652D" w:rsidRDefault="00DA6333" w:rsidP="00195169">
      <w:pPr>
        <w:pStyle w:val="NoSpacing"/>
        <w:spacing w:after="100" w:afterAutospacing="1"/>
        <w:ind w:firstLine="270"/>
      </w:pPr>
      <w:r w:rsidRPr="00AD652D">
        <w:t>In short the ordinance contains throughout provisions which are unreasonable and plain discriminations and are clearly illegal and invalid under the laws of Pennsylvania as well as under the provisions in the Federal Constitution and have been so held in the courts both Federal and State.</w:t>
      </w:r>
      <w:r w:rsidRPr="00AD652D">
        <w:rPr>
          <w:vertAlign w:val="superscript"/>
        </w:rPr>
        <w:footnoteReference w:id="165"/>
      </w:r>
    </w:p>
    <w:p w14:paraId="3DC93887" w14:textId="77AAB5A6" w:rsidR="00DA6333" w:rsidRPr="00AD652D" w:rsidRDefault="00584925" w:rsidP="00195169">
      <w:pPr>
        <w:spacing w:after="100" w:afterAutospacing="1"/>
      </w:pPr>
      <w:r w:rsidRPr="00AD652D">
        <w:t>Massachusetts</w:t>
      </w:r>
      <w:r w:rsidR="00C66A03" w:rsidRPr="00AD652D">
        <w:t xml:space="preserve"> </w:t>
      </w:r>
      <w:r w:rsidR="005539D7">
        <w:t>saw</w:t>
      </w:r>
      <w:r w:rsidR="00C66A03" w:rsidRPr="00AD652D">
        <w:t xml:space="preserve"> </w:t>
      </w:r>
      <w:r w:rsidR="0025093E" w:rsidRPr="00AD652D">
        <w:t xml:space="preserve">a protracted </w:t>
      </w:r>
      <w:r w:rsidR="00C66A03" w:rsidRPr="00AD652D">
        <w:t>effort to regulate Chinese restaurants. I</w:t>
      </w:r>
      <w:r w:rsidR="00A30E8D" w:rsidRPr="00AD652D">
        <w:t>n 1910</w:t>
      </w:r>
      <w:r w:rsidR="009C5962" w:rsidRPr="00AD652D">
        <w:t>,</w:t>
      </w:r>
      <w:r w:rsidR="00A30E8D" w:rsidRPr="00AD652D">
        <w:t xml:space="preserve"> </w:t>
      </w:r>
      <w:r w:rsidR="00A43E08" w:rsidRPr="00AD652D">
        <w:t>Representative Donovan</w:t>
      </w:r>
      <w:r w:rsidR="00BF2A68" w:rsidRPr="00AD652D">
        <w:t xml:space="preserve"> introduced the </w:t>
      </w:r>
      <w:r w:rsidR="00661FF5" w:rsidRPr="00AD652D">
        <w:t>“</w:t>
      </w:r>
      <w:r w:rsidR="00DA6333" w:rsidRPr="00AD652D">
        <w:t>yellow peril bill,</w:t>
      </w:r>
      <w:r w:rsidR="00661FF5" w:rsidRPr="00AD652D">
        <w:t>”</w:t>
      </w:r>
      <w:bookmarkStart w:id="43" w:name="_Ref461978029"/>
      <w:r w:rsidR="00DA6333" w:rsidRPr="00AD652D">
        <w:rPr>
          <w:vertAlign w:val="superscript"/>
        </w:rPr>
        <w:footnoteReference w:id="166"/>
      </w:r>
      <w:bookmarkEnd w:id="43"/>
      <w:r w:rsidR="00DA6333" w:rsidRPr="00AD652D">
        <w:t xml:space="preserve"> prohibit</w:t>
      </w:r>
      <w:r w:rsidR="009C5962" w:rsidRPr="00AD652D">
        <w:t>ing</w:t>
      </w:r>
      <w:r w:rsidR="00DA6333" w:rsidRPr="00AD652D">
        <w:t xml:space="preserve"> </w:t>
      </w:r>
      <w:r w:rsidR="007A20C8" w:rsidRPr="00AD652D">
        <w:t xml:space="preserve">all </w:t>
      </w:r>
      <w:r w:rsidR="00DA6333" w:rsidRPr="00AD652D">
        <w:t>women under 21 from entering Chinese restaurants</w:t>
      </w:r>
      <w:r w:rsidR="00627C28" w:rsidRPr="00AD652D">
        <w:t xml:space="preserve"> as patrons or employees</w:t>
      </w:r>
      <w:r w:rsidR="004E4E58" w:rsidRPr="00AD652D">
        <w:t>,</w:t>
      </w:r>
      <w:r w:rsidR="00DA6333" w:rsidRPr="00AD652D">
        <w:t xml:space="preserve"> and </w:t>
      </w:r>
      <w:r w:rsidR="00471D5C" w:rsidRPr="00AD652D">
        <w:t>requir</w:t>
      </w:r>
      <w:r w:rsidR="004E4E58" w:rsidRPr="00AD652D">
        <w:t>ing</w:t>
      </w:r>
      <w:r w:rsidR="00471D5C" w:rsidRPr="00AD652D">
        <w:t xml:space="preserve"> a</w:t>
      </w:r>
      <w:r w:rsidR="00DA6333" w:rsidRPr="00AD652D">
        <w:t xml:space="preserve"> non-Asian male </w:t>
      </w:r>
      <w:r w:rsidR="00C447D6" w:rsidRPr="00AD652D">
        <w:t xml:space="preserve">escort </w:t>
      </w:r>
      <w:r w:rsidR="007A20C8" w:rsidRPr="00AD652D">
        <w:t xml:space="preserve">for </w:t>
      </w:r>
      <w:r w:rsidR="005539D7">
        <w:t xml:space="preserve">older </w:t>
      </w:r>
      <w:r w:rsidR="007A20C8" w:rsidRPr="00AD652D">
        <w:t>women</w:t>
      </w:r>
      <w:r w:rsidR="00DA6333" w:rsidRPr="00AD652D">
        <w:t>.</w:t>
      </w:r>
      <w:r w:rsidR="00DA6333" w:rsidRPr="00AD652D">
        <w:rPr>
          <w:vertAlign w:val="superscript"/>
        </w:rPr>
        <w:footnoteReference w:id="167"/>
      </w:r>
      <w:r w:rsidR="00DA6333" w:rsidRPr="00AD652D">
        <w:t xml:space="preserve">  </w:t>
      </w:r>
      <w:r w:rsidR="00DE1DC8" w:rsidRPr="00AD652D">
        <w:t>M</w:t>
      </w:r>
      <w:r w:rsidR="00471D5C" w:rsidRPr="00AD652D">
        <w:t xml:space="preserve">any </w:t>
      </w:r>
      <w:r w:rsidR="00DE1DC8" w:rsidRPr="00AD652D">
        <w:t xml:space="preserve">legislators </w:t>
      </w:r>
      <w:r w:rsidR="008F0E0A">
        <w:t>called</w:t>
      </w:r>
      <w:r w:rsidR="00471D5C" w:rsidRPr="00AD652D">
        <w:t xml:space="preserve"> the bill</w:t>
      </w:r>
      <w:r w:rsidR="00DA6333" w:rsidRPr="00AD652D">
        <w:t xml:space="preserve"> unconstitutional</w:t>
      </w:r>
      <w:r w:rsidR="00A206E2" w:rsidRPr="00AD652D">
        <w:t>,</w:t>
      </w:r>
      <w:r w:rsidR="00DA6333" w:rsidRPr="00AD652D">
        <w:rPr>
          <w:vertAlign w:val="superscript"/>
        </w:rPr>
        <w:footnoteReference w:id="168"/>
      </w:r>
      <w:r w:rsidR="00DA6333" w:rsidRPr="00AD652D">
        <w:t xml:space="preserve"> </w:t>
      </w:r>
      <w:r w:rsidR="00A206E2" w:rsidRPr="00AD652D">
        <w:t>s</w:t>
      </w:r>
      <w:r w:rsidR="00471D5C" w:rsidRPr="00AD652D">
        <w:t xml:space="preserve">ome </w:t>
      </w:r>
      <w:r w:rsidR="004E4E58" w:rsidRPr="00AD652D">
        <w:t>not</w:t>
      </w:r>
      <w:r w:rsidR="00A206E2" w:rsidRPr="00AD652D">
        <w:t>ing</w:t>
      </w:r>
      <w:r w:rsidR="004E4E58" w:rsidRPr="00AD652D">
        <w:t xml:space="preserve"> that</w:t>
      </w:r>
      <w:r w:rsidR="00DA6333" w:rsidRPr="00AD652D">
        <w:t xml:space="preserve"> </w:t>
      </w:r>
      <w:r w:rsidR="00A206E2" w:rsidRPr="00AD652D">
        <w:t>the law</w:t>
      </w:r>
      <w:r w:rsidR="003B3B55">
        <w:t xml:space="preserve"> applied to</w:t>
      </w:r>
      <w:r w:rsidR="00DA6333" w:rsidRPr="00AD652D">
        <w:t xml:space="preserve"> Chinese women married to Chinese men</w:t>
      </w:r>
      <w:r w:rsidR="004E4E58" w:rsidRPr="00AD652D">
        <w:t>, and therefore forbade</w:t>
      </w:r>
      <w:r w:rsidR="00DA6333" w:rsidRPr="00AD652D">
        <w:t xml:space="preserve"> a Chinese woman from dining with her husband.</w:t>
      </w:r>
      <w:r w:rsidR="00DA6333" w:rsidRPr="00AD652D">
        <w:rPr>
          <w:vertAlign w:val="superscript"/>
        </w:rPr>
        <w:footnoteReference w:id="169"/>
      </w:r>
      <w:r w:rsidR="00DA6333" w:rsidRPr="00AD652D">
        <w:t xml:space="preserve"> </w:t>
      </w:r>
      <w:r w:rsidR="00336E58" w:rsidRPr="00AD652D">
        <w:t xml:space="preserve"> Nevertheless, </w:t>
      </w:r>
      <w:r w:rsidR="00947796">
        <w:t>it</w:t>
      </w:r>
      <w:r w:rsidR="00336E58" w:rsidRPr="00AD652D">
        <w:t xml:space="preserve"> passed </w:t>
      </w:r>
      <w:r w:rsidR="00771E32">
        <w:t>a first reading</w:t>
      </w:r>
      <w:r w:rsidR="00336E58" w:rsidRPr="00AD652D">
        <w:t xml:space="preserve"> 126 to 30,</w:t>
      </w:r>
      <w:r w:rsidR="00336E58" w:rsidRPr="00AD652D">
        <w:rPr>
          <w:rStyle w:val="FootnoteReference"/>
        </w:rPr>
        <w:footnoteReference w:id="170"/>
      </w:r>
      <w:r w:rsidR="00336E58" w:rsidRPr="00AD652D">
        <w:t xml:space="preserve"> and </w:t>
      </w:r>
      <w:r w:rsidR="006A4BDD" w:rsidRPr="00AD652D">
        <w:t>a second reading 111 to 80.</w:t>
      </w:r>
      <w:r w:rsidR="006A4BDD" w:rsidRPr="00AD652D">
        <w:rPr>
          <w:rStyle w:val="FootnoteReference"/>
        </w:rPr>
        <w:footnoteReference w:id="171"/>
      </w:r>
      <w:r w:rsidR="006A4BDD" w:rsidRPr="00AD652D">
        <w:t xml:space="preserve">  </w:t>
      </w:r>
      <w:r w:rsidR="00571BB6" w:rsidRPr="00AD652D">
        <w:t xml:space="preserve">But Attorney General </w:t>
      </w:r>
      <w:r w:rsidR="00561278" w:rsidRPr="00AD652D">
        <w:t xml:space="preserve">Dana Malone </w:t>
      </w:r>
      <w:r w:rsidR="0025093E" w:rsidRPr="00AD652D">
        <w:t>found</w:t>
      </w:r>
      <w:r w:rsidR="00CA0755" w:rsidRPr="00AD652D">
        <w:t xml:space="preserve"> </w:t>
      </w:r>
      <w:r w:rsidR="00571BB6" w:rsidRPr="00AD652D">
        <w:t xml:space="preserve">that the bill </w:t>
      </w:r>
      <w:r w:rsidR="00661FF5" w:rsidRPr="00AD652D">
        <w:t>“</w:t>
      </w:r>
      <w:r w:rsidR="001975E6" w:rsidRPr="00AD652D">
        <w:t>discriminates against the Chinese by reason of their nationality, and, therefore, if passed, would be unconstitutional and void.</w:t>
      </w:r>
      <w:r w:rsidR="00661FF5" w:rsidRPr="00AD652D">
        <w:t>”</w:t>
      </w:r>
      <w:r w:rsidR="00571BB6" w:rsidRPr="00AD652D">
        <w:rPr>
          <w:rStyle w:val="FootnoteReference"/>
        </w:rPr>
        <w:footnoteReference w:id="172"/>
      </w:r>
      <w:r w:rsidR="00571BB6" w:rsidRPr="00AD652D">
        <w:t xml:space="preserve">   </w:t>
      </w:r>
      <w:r w:rsidR="004E4E58" w:rsidRPr="00AD652D">
        <w:t>T</w:t>
      </w:r>
      <w:r w:rsidR="00DA6333" w:rsidRPr="00AD652D">
        <w:t>h</w:t>
      </w:r>
      <w:r w:rsidR="001975E6" w:rsidRPr="00AD652D">
        <w:t>is turned the tide; the</w:t>
      </w:r>
      <w:r w:rsidR="00DA6333" w:rsidRPr="00AD652D">
        <w:t xml:space="preserve"> House rejected </w:t>
      </w:r>
      <w:r w:rsidR="004E4E58" w:rsidRPr="00AD652D">
        <w:t>the bill 1</w:t>
      </w:r>
      <w:r w:rsidR="00DA6333" w:rsidRPr="00AD652D">
        <w:t>17 to 53.</w:t>
      </w:r>
      <w:r w:rsidR="00DA6333" w:rsidRPr="00AD652D">
        <w:rPr>
          <w:vertAlign w:val="superscript"/>
        </w:rPr>
        <w:footnoteReference w:id="173"/>
      </w:r>
      <w:r w:rsidR="00351736">
        <w:t xml:space="preserve"> After the bill was </w:t>
      </w:r>
      <w:r w:rsidR="00DA6333" w:rsidRPr="00AD652D">
        <w:t xml:space="preserve">reintroduced </w:t>
      </w:r>
      <w:r w:rsidR="00351736">
        <w:t>in</w:t>
      </w:r>
      <w:r w:rsidR="00E02607" w:rsidRPr="00AD652D">
        <w:t xml:space="preserve"> 1911</w:t>
      </w:r>
      <w:r w:rsidR="00351736">
        <w:t>,</w:t>
      </w:r>
      <w:r w:rsidR="00DA6333" w:rsidRPr="00AD652D">
        <w:rPr>
          <w:vertAlign w:val="superscript"/>
        </w:rPr>
        <w:footnoteReference w:id="174"/>
      </w:r>
      <w:r w:rsidR="00DA6333" w:rsidRPr="00AD652D">
        <w:t xml:space="preserve"> the House asked the Supreme Judicial Court for an advisory opinion</w:t>
      </w:r>
      <w:r w:rsidR="00BE240C">
        <w:t>,</w:t>
      </w:r>
      <w:r w:rsidR="00DA6333" w:rsidRPr="00AD652D">
        <w:rPr>
          <w:vertAlign w:val="superscript"/>
        </w:rPr>
        <w:footnoteReference w:id="175"/>
      </w:r>
      <w:r w:rsidR="00DA6333" w:rsidRPr="00AD652D">
        <w:t xml:space="preserve"> </w:t>
      </w:r>
      <w:r w:rsidR="00BE240C">
        <w:t>which</w:t>
      </w:r>
      <w:r w:rsidR="00DA6333" w:rsidRPr="00AD652D">
        <w:t xml:space="preserve"> unanimously found the law </w:t>
      </w:r>
      <w:r w:rsidR="00BE240C">
        <w:t>unconstitutional</w:t>
      </w:r>
      <w:r w:rsidR="00DA6333" w:rsidRPr="00AD652D">
        <w:t>.</w:t>
      </w:r>
      <w:r w:rsidR="00DA6333" w:rsidRPr="00AD652D">
        <w:rPr>
          <w:vertAlign w:val="superscript"/>
        </w:rPr>
        <w:footnoteReference w:id="176"/>
      </w:r>
      <w:r w:rsidR="00DA6333" w:rsidRPr="00AD652D">
        <w:t xml:space="preserve"> </w:t>
      </w:r>
      <w:r w:rsidR="005F7A5E" w:rsidRPr="00AD652D">
        <w:t xml:space="preserve"> </w:t>
      </w:r>
      <w:r w:rsidR="00DA6333" w:rsidRPr="00AD652D">
        <w:t xml:space="preserve">The </w:t>
      </w:r>
      <w:r w:rsidR="000D47EF" w:rsidRPr="00AD652D">
        <w:t>C</w:t>
      </w:r>
      <w:r w:rsidR="00DA6333" w:rsidRPr="00AD652D">
        <w:t>ourt stated:</w:t>
      </w:r>
    </w:p>
    <w:p w14:paraId="3477A2C9" w14:textId="06D3A9F5" w:rsidR="00DA6333" w:rsidRPr="00AD652D" w:rsidRDefault="00DA6333" w:rsidP="00195169">
      <w:pPr>
        <w:pStyle w:val="NoSpacing"/>
        <w:spacing w:after="100" w:afterAutospacing="1"/>
      </w:pPr>
      <w:r w:rsidRPr="00AD652D">
        <w:t>It subjects Chinese to an oppressive burden that deprives them of liberty which all others enjoy, and interferes with their right to carry on business, acquire property and earn a livelihood, and denies them the protection of equal laws.</w:t>
      </w:r>
      <w:r w:rsidR="00947796">
        <w:t xml:space="preserve">  </w:t>
      </w:r>
      <w:r w:rsidRPr="00AD652D">
        <w:t xml:space="preserve"> . . .</w:t>
      </w:r>
    </w:p>
    <w:p w14:paraId="3B814659" w14:textId="2AF60B95" w:rsidR="00DA6333" w:rsidRPr="00AD652D" w:rsidRDefault="00DA6333" w:rsidP="00195169">
      <w:pPr>
        <w:pStyle w:val="NoSpacing"/>
        <w:spacing w:after="100" w:afterAutospacing="1"/>
      </w:pPr>
      <w:r w:rsidRPr="00AD652D">
        <w:t>The classification of hotels and restaurants into those that are open to young women and those that are closed to young women is not founded upon a difference that has any just or proper relation to the professed purpose of the classification</w:t>
      </w:r>
      <w:r w:rsidR="00FB1ACA" w:rsidRPr="00AD652D">
        <w:t>.</w:t>
      </w:r>
      <w:r w:rsidRPr="00AD652D">
        <w:rPr>
          <w:vertAlign w:val="superscript"/>
        </w:rPr>
        <w:footnoteReference w:id="177"/>
      </w:r>
    </w:p>
    <w:p w14:paraId="69748D89" w14:textId="77AB71DA" w:rsidR="00DA6333" w:rsidRPr="00AD652D" w:rsidRDefault="000D47EF" w:rsidP="00195169">
      <w:pPr>
        <w:spacing w:after="100" w:afterAutospacing="1"/>
        <w:ind w:firstLine="0"/>
      </w:pPr>
      <w:r w:rsidRPr="00AD652D">
        <w:t>The bill was withdrawn the next day</w:t>
      </w:r>
      <w:r w:rsidR="00947796">
        <w:t>,</w:t>
      </w:r>
      <w:r w:rsidR="00DA6333" w:rsidRPr="00AD652D">
        <w:rPr>
          <w:vertAlign w:val="superscript"/>
        </w:rPr>
        <w:footnoteReference w:id="178"/>
      </w:r>
      <w:r w:rsidR="00947796">
        <w:t xml:space="preserve"> although Representative Donovan pursued the idea in Boston</w:t>
      </w:r>
      <w:r w:rsidR="006E25CA">
        <w:t xml:space="preserve"> in 1913</w:t>
      </w:r>
      <w:r w:rsidR="00947796">
        <w:t>.</w:t>
      </w:r>
      <w:r w:rsidR="008E616C">
        <w:rPr>
          <w:rStyle w:val="FootnoteReference"/>
        </w:rPr>
        <w:footnoteReference w:id="179"/>
      </w:r>
      <w:r w:rsidR="00DA6333" w:rsidRPr="00AD652D">
        <w:t xml:space="preserve"> </w:t>
      </w:r>
    </w:p>
    <w:p w14:paraId="14D02F06" w14:textId="099BD3FF" w:rsidR="00A278B9" w:rsidRPr="00AD652D" w:rsidRDefault="008E616C" w:rsidP="00A278B9">
      <w:pPr>
        <w:spacing w:after="100" w:afterAutospacing="1"/>
        <w:ind w:firstLine="0"/>
      </w:pPr>
      <w:r>
        <w:tab/>
      </w:r>
      <w:r w:rsidR="00E17377" w:rsidRPr="00AD652D">
        <w:t xml:space="preserve">Serious attention was given to the idea in other jurisdictions. </w:t>
      </w:r>
      <w:r w:rsidR="00A278B9" w:rsidRPr="00AD652D">
        <w:t xml:space="preserve">In September, 1912, the </w:t>
      </w:r>
      <w:r w:rsidR="00A278B9" w:rsidRPr="00AD652D">
        <w:rPr>
          <w:i/>
        </w:rPr>
        <w:t>Los Angeles Times</w:t>
      </w:r>
      <w:r w:rsidR="00A278B9" w:rsidRPr="00AD652D">
        <w:t xml:space="preserve"> reported that police chief and future Mayor Charles E. Sebastian “says he will recommend to the Police Commission that an order be issued barring all white female help from oriental eating places, with the penalty that if the order is not instantly complied with that their license be revoked.”</w:t>
      </w:r>
      <w:bookmarkStart w:id="44" w:name="_Ref461976950"/>
      <w:r w:rsidR="00A278B9" w:rsidRPr="00AD652D">
        <w:rPr>
          <w:rStyle w:val="FootnoteReference"/>
        </w:rPr>
        <w:footnoteReference w:id="180"/>
      </w:r>
      <w:bookmarkEnd w:id="44"/>
      <w:r w:rsidR="00A278B9" w:rsidRPr="00AD652D">
        <w:t xml:space="preserve"> Two years later, the </w:t>
      </w:r>
      <w:r w:rsidR="00A278B9" w:rsidRPr="00AD652D">
        <w:rPr>
          <w:i/>
        </w:rPr>
        <w:t>Los Angeles Herald</w:t>
      </w:r>
      <w:r w:rsidR="00A278B9" w:rsidRPr="00AD652D">
        <w:t xml:space="preserve"> reported that “[t]he police commission gave its unanimous approval today to the plan of Chief of Police Sebastian to exclude white girls as cashiers or waitresses from restaurants and cafes run by Japanese or Chinese.”</w:t>
      </w:r>
      <w:bookmarkStart w:id="45" w:name="_Ref461976959"/>
      <w:r w:rsidR="00A278B9" w:rsidRPr="00AD652D">
        <w:rPr>
          <w:rStyle w:val="FootnoteReference"/>
        </w:rPr>
        <w:footnoteReference w:id="181"/>
      </w:r>
      <w:bookmarkEnd w:id="45"/>
    </w:p>
    <w:p w14:paraId="58925528" w14:textId="0FA5291D" w:rsidR="00E17377" w:rsidRPr="00AD652D" w:rsidRDefault="00E17377" w:rsidP="00195169">
      <w:pPr>
        <w:spacing w:after="100" w:afterAutospacing="1"/>
      </w:pPr>
      <w:r w:rsidRPr="00AD652D">
        <w:t xml:space="preserve"> San Francisco officials </w:t>
      </w:r>
      <w:r w:rsidR="008F0E0A">
        <w:t>considered</w:t>
      </w:r>
      <w:r w:rsidRPr="00AD652D">
        <w:t xml:space="preserve"> legislation preventing white women for working in Chinese </w:t>
      </w:r>
      <w:r w:rsidR="00763F11">
        <w:t xml:space="preserve">and Greek </w:t>
      </w:r>
      <w:r w:rsidRPr="00AD652D">
        <w:t>restaurants.</w:t>
      </w:r>
      <w:r w:rsidRPr="00AD652D">
        <w:rPr>
          <w:vertAlign w:val="superscript"/>
        </w:rPr>
        <w:footnoteReference w:id="182"/>
      </w:r>
      <w:r w:rsidRPr="00AD652D">
        <w:t xml:space="preserve"> The City Attorney declared that while the legislation aimed at Greek restaurants amounted to </w:t>
      </w:r>
      <w:r w:rsidR="00661FF5" w:rsidRPr="00AD652D">
        <w:t>“</w:t>
      </w:r>
      <w:r w:rsidRPr="00AD652D">
        <w:t>class legislation</w:t>
      </w:r>
      <w:r w:rsidR="00661FF5" w:rsidRPr="00AD652D">
        <w:t>”</w:t>
      </w:r>
      <w:r w:rsidRPr="00AD652D">
        <w:t xml:space="preserve"> and thus would be unconstitutional, </w:t>
      </w:r>
      <w:r w:rsidR="00563F1E" w:rsidRPr="00AD652D">
        <w:t>validity of</w:t>
      </w:r>
      <w:r w:rsidRPr="00AD652D">
        <w:t xml:space="preserve"> legislation aimed at Chinese restaurants </w:t>
      </w:r>
      <w:r w:rsidR="00661FF5" w:rsidRPr="00AD652D">
        <w:t>“</w:t>
      </w:r>
      <w:r w:rsidRPr="00AD652D">
        <w:t>was a debatable question.</w:t>
      </w:r>
      <w:r w:rsidR="00661FF5" w:rsidRPr="00AD652D">
        <w:t>”</w:t>
      </w:r>
      <w:r w:rsidRPr="00AD652D">
        <w:rPr>
          <w:vertAlign w:val="superscript"/>
        </w:rPr>
        <w:footnoteReference w:id="183"/>
      </w:r>
      <w:r w:rsidRPr="00AD652D">
        <w:t xml:space="preserve">  He reasoned that </w:t>
      </w:r>
      <w:r w:rsidR="00661FF5" w:rsidRPr="00AD652D">
        <w:t>“</w:t>
      </w:r>
      <w:r w:rsidRPr="00AD652D">
        <w:t>if such places as generally operated are against the welfare of white women, it is more than probable that the constitutionality of the legislation as to them would be upheld on the ground of a reasonable exercise of the police power.</w:t>
      </w:r>
      <w:r w:rsidR="00661FF5" w:rsidRPr="00AD652D">
        <w:t>”</w:t>
      </w:r>
      <w:r w:rsidRPr="00AD652D">
        <w:rPr>
          <w:vertAlign w:val="superscript"/>
        </w:rPr>
        <w:footnoteReference w:id="184"/>
      </w:r>
      <w:r w:rsidRPr="00AD652D">
        <w:t xml:space="preserve"> </w:t>
      </w:r>
      <w:r w:rsidR="008E616C">
        <w:t xml:space="preserve">It does not appear that legislation was </w:t>
      </w:r>
      <w:r w:rsidR="00A87888">
        <w:t>enact</w:t>
      </w:r>
      <w:r w:rsidR="008E616C">
        <w:t>ed.</w:t>
      </w:r>
    </w:p>
    <w:p w14:paraId="00D9B9E6" w14:textId="04443160" w:rsidR="00E17377" w:rsidRPr="00AD652D" w:rsidRDefault="0038503C" w:rsidP="00195169">
      <w:pPr>
        <w:spacing w:after="100" w:afterAutospacing="1"/>
      </w:pPr>
      <w:r>
        <w:t>T</w:t>
      </w:r>
      <w:r w:rsidR="00E17377" w:rsidRPr="00AD652D">
        <w:t>he Montana State Federation of Labor</w:t>
      </w:r>
      <w:r w:rsidR="00E35BD5" w:rsidRPr="00AD652D">
        <w:t xml:space="preserve"> </w:t>
      </w:r>
      <w:r>
        <w:t xml:space="preserve">at its 1915 </w:t>
      </w:r>
      <w:r w:rsidR="00A87888">
        <w:t>convention proposed</w:t>
      </w:r>
      <w:r>
        <w:t xml:space="preserve"> </w:t>
      </w:r>
      <w:r w:rsidR="00661FF5" w:rsidRPr="00AD652D">
        <w:t>“</w:t>
      </w:r>
      <w:r w:rsidR="00E17377" w:rsidRPr="00AD652D">
        <w:t>to prohibit the employment of white women with, by or for males of the Chinese or Japanese races.</w:t>
      </w:r>
      <w:r w:rsidR="00661FF5" w:rsidRPr="00AD652D">
        <w:t>”</w:t>
      </w:r>
      <w:r w:rsidR="00E17377" w:rsidRPr="00AD652D">
        <w:rPr>
          <w:vertAlign w:val="superscript"/>
        </w:rPr>
        <w:footnoteReference w:id="185"/>
      </w:r>
      <w:r w:rsidR="00E17377" w:rsidRPr="00AD652D">
        <w:t xml:space="preserve"> The delegates emphasized the </w:t>
      </w:r>
      <w:r w:rsidR="00F00F90" w:rsidRPr="00AD652D">
        <w:t>proposal</w:t>
      </w:r>
      <w:r w:rsidR="00661FF5" w:rsidRPr="00AD652D">
        <w:t>’</w:t>
      </w:r>
      <w:r w:rsidR="00F00F90" w:rsidRPr="00AD652D">
        <w:t xml:space="preserve">s </w:t>
      </w:r>
      <w:r w:rsidR="002D7F45" w:rsidRPr="00AD652D">
        <w:t xml:space="preserve">economic </w:t>
      </w:r>
      <w:r w:rsidR="00F00F90" w:rsidRPr="00AD652D">
        <w:t>impact</w:t>
      </w:r>
      <w:r w:rsidR="002D7F45" w:rsidRPr="00AD652D">
        <w:t>, noting:</w:t>
      </w:r>
      <w:r w:rsidR="00E17377" w:rsidRPr="00AD652D">
        <w:t xml:space="preserve"> </w:t>
      </w:r>
      <w:r w:rsidR="00661FF5" w:rsidRPr="00AD652D">
        <w:t>“</w:t>
      </w:r>
      <w:r w:rsidR="00E17377" w:rsidRPr="00AD652D">
        <w:t>this bill, if enacted into law, will go a long way towards decreasing the popularity of the Chinese restaurants in the State.</w:t>
      </w:r>
      <w:r w:rsidR="00661FF5" w:rsidRPr="00AD652D">
        <w:t>”</w:t>
      </w:r>
      <w:r w:rsidR="00E17377" w:rsidRPr="00AD652D">
        <w:rPr>
          <w:vertAlign w:val="superscript"/>
        </w:rPr>
        <w:footnoteReference w:id="186"/>
      </w:r>
      <w:r w:rsidR="00E17377" w:rsidRPr="00AD652D">
        <w:t xml:space="preserve">  </w:t>
      </w:r>
      <w:r>
        <w:t>A bil</w:t>
      </w:r>
      <w:r w:rsidR="00690336">
        <w:t xml:space="preserve">l was introduced making it </w:t>
      </w:r>
      <w:r w:rsidR="00661FF5" w:rsidRPr="00AD652D">
        <w:t>“</w:t>
      </w:r>
      <w:r w:rsidR="00E17377" w:rsidRPr="00AD652D">
        <w:t xml:space="preserve">unlawful for any person </w:t>
      </w:r>
      <w:r w:rsidR="008F0E0A">
        <w:t>. . .</w:t>
      </w:r>
      <w:r w:rsidR="00E17377" w:rsidRPr="00AD652D">
        <w:t xml:space="preserve"> to employ in any restaurant, eating house, laundry or other occupations owned, conducted or controlled by persons of the Asiatic race, any female as a servant, waitress or employee therein within the State of Montana, except females of the Asiatic race.</w:t>
      </w:r>
      <w:r w:rsidR="00661FF5" w:rsidRPr="00AD652D">
        <w:t>”</w:t>
      </w:r>
      <w:r w:rsidR="00E17377" w:rsidRPr="00AD652D">
        <w:rPr>
          <w:vertAlign w:val="superscript"/>
        </w:rPr>
        <w:footnoteReference w:id="187"/>
      </w:r>
    </w:p>
    <w:p w14:paraId="3BBD6247" w14:textId="3B6DAC13" w:rsidR="00E17377" w:rsidRPr="00AD652D" w:rsidRDefault="00E17377" w:rsidP="00195169">
      <w:pPr>
        <w:spacing w:after="100" w:afterAutospacing="1"/>
        <w:ind w:firstLine="0"/>
      </w:pPr>
      <w:r w:rsidRPr="00AD652D">
        <w:tab/>
      </w:r>
      <w:r w:rsidR="00690336">
        <w:t xml:space="preserve">The </w:t>
      </w:r>
      <w:r w:rsidRPr="00AD652D">
        <w:t xml:space="preserve">Montana Senate </w:t>
      </w:r>
      <w:r w:rsidR="00690336">
        <w:t>approved the bill</w:t>
      </w:r>
      <w:r w:rsidR="007807A2">
        <w:t>, entitled “An act to prevent the employment of females in restaurants, eating houses, laundries, and other similar occupations controlled, or conducted by persons of the Asiatic race”</w:t>
      </w:r>
      <w:r w:rsidR="00690336">
        <w:t xml:space="preserve"> </w:t>
      </w:r>
      <w:r w:rsidRPr="00AD652D">
        <w:t>31-0 with nine abstentions.</w:t>
      </w:r>
      <w:bookmarkStart w:id="46" w:name="_Ref487043281"/>
      <w:r w:rsidRPr="00AD652D">
        <w:rPr>
          <w:vertAlign w:val="superscript"/>
        </w:rPr>
        <w:footnoteReference w:id="188"/>
      </w:r>
      <w:bookmarkEnd w:id="46"/>
      <w:r w:rsidRPr="00AD652D">
        <w:t xml:space="preserve">  </w:t>
      </w:r>
      <w:r w:rsidR="0019413B">
        <w:t>The</w:t>
      </w:r>
      <w:r w:rsidR="00430858">
        <w:t xml:space="preserve"> House</w:t>
      </w:r>
      <w:r w:rsidR="0019413B">
        <w:t xml:space="preserve"> Committee on Corporations other than Municipal recommended concurrence in the Senate bill on March 2, </w:t>
      </w:r>
      <w:r w:rsidR="00014D1A">
        <w:t>19</w:t>
      </w:r>
      <w:r w:rsidR="0019413B">
        <w:t>15</w:t>
      </w:r>
      <w:r w:rsidR="002357E2">
        <w:t>.</w:t>
      </w:r>
      <w:r w:rsidR="00430858" w:rsidRPr="00AD652D">
        <w:rPr>
          <w:vertAlign w:val="superscript"/>
        </w:rPr>
        <w:footnoteReference w:id="189"/>
      </w:r>
      <w:r w:rsidR="00014D1A">
        <w:t xml:space="preserve"> </w:t>
      </w:r>
      <w:r w:rsidR="002357E2">
        <w:t xml:space="preserve">However, </w:t>
      </w:r>
      <w:r w:rsidR="00014D1A">
        <w:t xml:space="preserve">on March 3, the House reported </w:t>
      </w:r>
      <w:r w:rsidR="002357E2">
        <w:t xml:space="preserve">back to the Senate that on that day the Committee recommended </w:t>
      </w:r>
      <w:r w:rsidR="00014D1A">
        <w:t xml:space="preserve">that </w:t>
      </w:r>
      <w:r w:rsidR="002357E2">
        <w:t>the bill be rejected and the House agreed.</w:t>
      </w:r>
      <w:r w:rsidR="002357E2">
        <w:rPr>
          <w:rStyle w:val="FootnoteReference"/>
        </w:rPr>
        <w:footnoteReference w:id="190"/>
      </w:r>
      <w:r w:rsidR="002357E2">
        <w:t xml:space="preserve">  on Marc</w:t>
      </w:r>
      <w:r w:rsidR="00430858">
        <w:t xml:space="preserve"> </w:t>
      </w:r>
      <w:r w:rsidRPr="00AD652D">
        <w:t>However, the U.S. Secretary of State William Jennings Bryan</w:t>
      </w:r>
      <w:r w:rsidR="00A87888">
        <w:t xml:space="preserve"> wrote to the House opposing the bill.</w:t>
      </w:r>
      <w:bookmarkStart w:id="47" w:name="_Ref476063801"/>
      <w:r w:rsidRPr="00AD652D">
        <w:rPr>
          <w:vertAlign w:val="superscript"/>
        </w:rPr>
        <w:footnoteReference w:id="191"/>
      </w:r>
      <w:bookmarkEnd w:id="47"/>
      <w:r w:rsidRPr="00AD652D">
        <w:t xml:space="preserve">  In April 1915 report </w:t>
      </w:r>
      <w:r w:rsidR="008F0E0A">
        <w:t>in</w:t>
      </w:r>
      <w:r w:rsidRPr="00AD652D">
        <w:t xml:space="preserve"> the </w:t>
      </w:r>
      <w:r w:rsidRPr="00AD652D">
        <w:rPr>
          <w:i/>
        </w:rPr>
        <w:t>Mixer and Server</w:t>
      </w:r>
      <w:r w:rsidRPr="00AD652D">
        <w:t xml:space="preserve"> explained</w:t>
      </w:r>
      <w:r w:rsidR="00632086">
        <w:t>:</w:t>
      </w:r>
    </w:p>
    <w:p w14:paraId="6B7020B2" w14:textId="5A5C88FF" w:rsidR="00E17377" w:rsidRPr="00AD652D" w:rsidRDefault="00E17377" w:rsidP="00195169">
      <w:pPr>
        <w:pStyle w:val="NoSpacing"/>
        <w:spacing w:after="100" w:afterAutospacing="1"/>
      </w:pPr>
      <w:r w:rsidRPr="00AD652D">
        <w:t xml:space="preserve">The bill passed the senate, but no sooner was it turned over to its proper committee in the house than the wheels of opposition began to turn, and they did not stop until they reached the </w:t>
      </w:r>
      <w:r w:rsidR="00661FF5" w:rsidRPr="00AD652D">
        <w:t>‘</w:t>
      </w:r>
      <w:r w:rsidRPr="00AD652D">
        <w:t>big house</w:t>
      </w:r>
      <w:r w:rsidR="00661FF5" w:rsidRPr="00AD652D">
        <w:t>’</w:t>
      </w:r>
      <w:r w:rsidRPr="00AD652D">
        <w:t xml:space="preserve"> in Washington, D. C., from whence returned an administration mandate signed by </w:t>
      </w:r>
      <w:r w:rsidR="00661FF5" w:rsidRPr="00AD652D">
        <w:t>‘</w:t>
      </w:r>
      <w:r w:rsidRPr="00AD652D">
        <w:t>Grape Juice</w:t>
      </w:r>
      <w:r w:rsidR="00661FF5" w:rsidRPr="00AD652D">
        <w:t>’</w:t>
      </w:r>
      <w:r w:rsidRPr="00AD652D">
        <w:t xml:space="preserve"> Bryan, to the effect </w:t>
      </w:r>
      <w:r w:rsidR="00661FF5" w:rsidRPr="00AD652D">
        <w:t>‘</w:t>
      </w:r>
      <w:r w:rsidRPr="00AD652D">
        <w:t xml:space="preserve">That legislation of that character was very objectionable to the </w:t>
      </w:r>
      <w:r w:rsidR="00661FF5" w:rsidRPr="00AD652D">
        <w:t>‘</w:t>
      </w:r>
      <w:r w:rsidRPr="00AD652D">
        <w:t>royal</w:t>
      </w:r>
      <w:r w:rsidR="00661FF5" w:rsidRPr="00AD652D">
        <w:t>’</w:t>
      </w:r>
      <w:r w:rsidRPr="00AD652D">
        <w:t xml:space="preserve"> dignitaries from the Orient,</w:t>
      </w:r>
      <w:r w:rsidR="00661FF5" w:rsidRPr="00AD652D">
        <w:t>’</w:t>
      </w:r>
      <w:r w:rsidRPr="00AD652D">
        <w:t xml:space="preserve"> also, that the Secretary of State of the United States, was very much opposed to the passage of the bill.</w:t>
      </w:r>
      <w:r w:rsidRPr="00AD652D">
        <w:rPr>
          <w:vertAlign w:val="superscript"/>
        </w:rPr>
        <w:footnoteReference w:id="192"/>
      </w:r>
    </w:p>
    <w:p w14:paraId="4508034C" w14:textId="5096DBDA" w:rsidR="0067281E" w:rsidRDefault="00E17377" w:rsidP="00195169">
      <w:pPr>
        <w:spacing w:after="100" w:afterAutospacing="1"/>
      </w:pPr>
      <w:r w:rsidRPr="00AD652D">
        <w:t xml:space="preserve">In 1919, </w:t>
      </w:r>
      <w:r w:rsidR="00DC3DF2">
        <w:t xml:space="preserve">the </w:t>
      </w:r>
      <w:r w:rsidRPr="00AD652D">
        <w:t>Oregon Senat</w:t>
      </w:r>
      <w:r w:rsidR="00DC3DF2">
        <w:t>e considered</w:t>
      </w:r>
      <w:r w:rsidRPr="00AD652D">
        <w:t xml:space="preserve"> S.B. 183, prohibiting the </w:t>
      </w:r>
      <w:r w:rsidR="00661FF5" w:rsidRPr="00AD652D">
        <w:t>“</w:t>
      </w:r>
      <w:r w:rsidRPr="00AD652D">
        <w:t>employment of white help in Chinese restaurants.</w:t>
      </w:r>
      <w:r w:rsidR="00661FF5" w:rsidRPr="00AD652D">
        <w:t>”</w:t>
      </w:r>
      <w:bookmarkStart w:id="48" w:name="_Ref461976355"/>
      <w:r w:rsidRPr="00AD652D">
        <w:rPr>
          <w:vertAlign w:val="superscript"/>
        </w:rPr>
        <w:footnoteReference w:id="193"/>
      </w:r>
      <w:bookmarkEnd w:id="48"/>
      <w:r w:rsidRPr="00AD652D">
        <w:t xml:space="preserve">  The bill failed</w:t>
      </w:r>
      <w:r w:rsidR="00DC3DF2">
        <w:t>,</w:t>
      </w:r>
      <w:r w:rsidRPr="00AD652D">
        <w:t xml:space="preserve"> 13-14.</w:t>
      </w:r>
      <w:r w:rsidRPr="00AD652D">
        <w:rPr>
          <w:vertAlign w:val="superscript"/>
        </w:rPr>
        <w:footnoteReference w:id="194"/>
      </w:r>
      <w:r w:rsidR="006E25CA" w:rsidRPr="006E25CA">
        <w:t xml:space="preserve"> </w:t>
      </w:r>
      <w:r w:rsidR="008F0E0A">
        <w:t>Members of t</w:t>
      </w:r>
      <w:r w:rsidR="006E25CA" w:rsidRPr="00AD652D">
        <w:t xml:space="preserve">he Arizona legislature reportedly considered </w:t>
      </w:r>
      <w:r w:rsidR="008F0E0A">
        <w:t xml:space="preserve">introducing legislation </w:t>
      </w:r>
      <w:r w:rsidR="006E25CA" w:rsidRPr="00AD652D">
        <w:t>prohibiting white girls from</w:t>
      </w:r>
      <w:bookmarkStart w:id="49" w:name="_Ref461976716"/>
      <w:r w:rsidR="006E25CA" w:rsidRPr="00AD652D">
        <w:t xml:space="preserve"> working in Chinese restaurants,</w:t>
      </w:r>
      <w:r w:rsidR="006E25CA" w:rsidRPr="00AD652D">
        <w:rPr>
          <w:vertAlign w:val="superscript"/>
        </w:rPr>
        <w:footnoteReference w:id="195"/>
      </w:r>
      <w:bookmarkEnd w:id="49"/>
      <w:r w:rsidR="006E25CA" w:rsidRPr="00AD652D">
        <w:t xml:space="preserve"> but </w:t>
      </w:r>
      <w:r w:rsidR="00C6705E">
        <w:t>it does not appear that a bill was introduced</w:t>
      </w:r>
      <w:r w:rsidR="006E25CA" w:rsidRPr="00AD652D">
        <w:t>.  In January, 1913, the outgoing Governor of Washington recommended the prohibition of white female help in all Chinese and Japanese restaurants;</w:t>
      </w:r>
      <w:r w:rsidR="006E25CA" w:rsidRPr="00AD652D">
        <w:rPr>
          <w:vertAlign w:val="superscript"/>
        </w:rPr>
        <w:footnoteReference w:id="196"/>
      </w:r>
      <w:r w:rsidR="006E25CA" w:rsidRPr="00AD652D">
        <w:t xml:space="preserve"> a bill was introduced in the Washington Senate but did not get out of committee.</w:t>
      </w:r>
      <w:r w:rsidR="006E25CA" w:rsidRPr="00AD652D">
        <w:rPr>
          <w:rStyle w:val="FootnoteReference"/>
        </w:rPr>
        <w:footnoteReference w:id="197"/>
      </w:r>
      <w:r w:rsidR="006E25CA" w:rsidRPr="00AD652D">
        <w:t xml:space="preserve">  </w:t>
      </w:r>
    </w:p>
    <w:p w14:paraId="6EA45E1B" w14:textId="0F92A662" w:rsidR="00A30E8D" w:rsidRPr="00AD652D" w:rsidRDefault="0067281E" w:rsidP="00195169">
      <w:pPr>
        <w:spacing w:after="100" w:afterAutospacing="1"/>
      </w:pPr>
      <w:r>
        <w:t xml:space="preserve">There is one report of a ban imposed by judicial action.  </w:t>
      </w:r>
      <w:r w:rsidR="00690336">
        <w:t>Iowa District Court</w:t>
      </w:r>
      <w:r w:rsidR="00A30E8D" w:rsidRPr="00AD652D">
        <w:t xml:space="preserve"> </w:t>
      </w:r>
      <w:r w:rsidR="00DA5674" w:rsidRPr="00AD652D">
        <w:t xml:space="preserve">Judge De Graff </w:t>
      </w:r>
      <w:r w:rsidR="00690336">
        <w:t>reportedly</w:t>
      </w:r>
      <w:r w:rsidR="00DA5674" w:rsidRPr="00AD652D">
        <w:t xml:space="preserve"> </w:t>
      </w:r>
      <w:r w:rsidR="00A30E8D" w:rsidRPr="00AD652D">
        <w:t>issu</w:t>
      </w:r>
      <w:r w:rsidR="00DA5674" w:rsidRPr="00AD652D">
        <w:t>ed</w:t>
      </w:r>
      <w:r w:rsidR="00A30E8D" w:rsidRPr="00AD652D">
        <w:t xml:space="preserve"> an order enjoining the owner of a Chinese restaurant from serving women</w:t>
      </w:r>
      <w:r w:rsidR="00DA5674" w:rsidRPr="00AD652D">
        <w:t>.  However, he quickly</w:t>
      </w:r>
      <w:r w:rsidR="00A30E8D" w:rsidRPr="00AD652D">
        <w:t xml:space="preserve"> reversed himself</w:t>
      </w:r>
      <w:r w:rsidR="00DA5674" w:rsidRPr="00AD652D">
        <w:t xml:space="preserve">, finding </w:t>
      </w:r>
      <w:r w:rsidR="00A30E8D" w:rsidRPr="00AD652D">
        <w:t xml:space="preserve">that it was </w:t>
      </w:r>
      <w:r w:rsidR="00661FF5" w:rsidRPr="00AD652D">
        <w:t>“</w:t>
      </w:r>
      <w:r w:rsidR="00A30E8D" w:rsidRPr="00AD652D">
        <w:t>not equitable to enjoin the owner of a chop suey restaurant to prevent women from going to the restaurants.</w:t>
      </w:r>
      <w:r w:rsidR="00661FF5" w:rsidRPr="00AD652D">
        <w:t>”</w:t>
      </w:r>
      <w:r w:rsidR="00A30E8D" w:rsidRPr="00AD652D">
        <w:rPr>
          <w:vertAlign w:val="superscript"/>
        </w:rPr>
        <w:footnoteReference w:id="198"/>
      </w:r>
      <w:r w:rsidR="00A30E8D" w:rsidRPr="00AD652D">
        <w:t xml:space="preserve">  Despite complaints from the saloonkeeper in the story below the restaurant about the </w:t>
      </w:r>
      <w:r w:rsidR="00661FF5" w:rsidRPr="00AD652D">
        <w:t>“</w:t>
      </w:r>
      <w:r w:rsidR="00A30E8D" w:rsidRPr="00AD652D">
        <w:t>rough house</w:t>
      </w:r>
      <w:r w:rsidR="00661FF5" w:rsidRPr="00AD652D">
        <w:t>”</w:t>
      </w:r>
      <w:r w:rsidR="00A30E8D" w:rsidRPr="00AD652D">
        <w:t xml:space="preserve"> caused by women upstairs, the judge found that it </w:t>
      </w:r>
      <w:r w:rsidR="00661FF5" w:rsidRPr="00AD652D">
        <w:t>“</w:t>
      </w:r>
      <w:r w:rsidR="00A30E8D" w:rsidRPr="00AD652D">
        <w:t>was not fair</w:t>
      </w:r>
      <w:r w:rsidR="00661FF5" w:rsidRPr="00AD652D">
        <w:t>”</w:t>
      </w:r>
      <w:r w:rsidR="00A30E8D" w:rsidRPr="00AD652D">
        <w:t xml:space="preserve"> to exclude the women </w:t>
      </w:r>
      <w:r w:rsidR="00F75DD6" w:rsidRPr="00AD652D">
        <w:t>from</w:t>
      </w:r>
      <w:r w:rsidR="00A30E8D" w:rsidRPr="00AD652D">
        <w:t xml:space="preserve"> the restaurant </w:t>
      </w:r>
      <w:r w:rsidR="00F75DD6" w:rsidRPr="00AD652D">
        <w:t>when men were permitted to dine</w:t>
      </w:r>
      <w:r w:rsidR="00A30E8D" w:rsidRPr="00AD652D">
        <w:t>.</w:t>
      </w:r>
      <w:r w:rsidR="00A30E8D" w:rsidRPr="00AD652D">
        <w:rPr>
          <w:vertAlign w:val="superscript"/>
        </w:rPr>
        <w:footnoteReference w:id="199"/>
      </w:r>
      <w:r w:rsidR="00A30E8D" w:rsidRPr="00AD652D">
        <w:t xml:space="preserve"> </w:t>
      </w:r>
    </w:p>
    <w:p w14:paraId="1139BBA3" w14:textId="6093099F" w:rsidR="00156C92" w:rsidRPr="00AD652D" w:rsidRDefault="00DF5F4C" w:rsidP="00195169">
      <w:pPr>
        <w:spacing w:after="100" w:afterAutospacing="1"/>
      </w:pPr>
      <w:r w:rsidRPr="00AD652D">
        <w:t xml:space="preserve">By the 1920s, it seemed clear that legislation targeting Chinese restaurants </w:t>
      </w:r>
      <w:r w:rsidR="008C7185">
        <w:t>as such</w:t>
      </w:r>
      <w:r w:rsidRPr="00AD652D">
        <w:t xml:space="preserve"> </w:t>
      </w:r>
      <w:r w:rsidR="00632086">
        <w:t>was unconstitutional</w:t>
      </w:r>
      <w:r w:rsidRPr="00AD652D">
        <w:t>.</w:t>
      </w:r>
      <w:r w:rsidR="001971DD" w:rsidRPr="00AD652D">
        <w:t xml:space="preserve">  Harvard Profes</w:t>
      </w:r>
      <w:r w:rsidR="00FB367E" w:rsidRPr="00AD652D">
        <w:t>sor William Bennett Munro wrote</w:t>
      </w:r>
      <w:r w:rsidR="007419E2">
        <w:t>:</w:t>
      </w:r>
      <w:r w:rsidR="001971DD" w:rsidRPr="00AD652D">
        <w:t xml:space="preserve"> </w:t>
      </w:r>
    </w:p>
    <w:p w14:paraId="39D85511" w14:textId="6EE01D7A" w:rsidR="00864B0A" w:rsidRDefault="00864B0A" w:rsidP="00195169">
      <w:pPr>
        <w:spacing w:after="100" w:afterAutospacing="1"/>
        <w:ind w:left="720" w:firstLine="0"/>
      </w:pPr>
      <w:r w:rsidRPr="00AD652D">
        <w:t>The provisions of an ordinance must apply equally to all persons in the same category. For example, it would not be a discrimination to provide that all restaurants shall be closed on Sundays while hotel dining rooms are permitted to remain open for the use of bona fide guests; but to stipulate that all Chinese restaurants shall remain closed  while other restaurants are privileged to remain open would be a clear case of discrimination.</w:t>
      </w:r>
      <w:r w:rsidR="001971DD" w:rsidRPr="00AD652D">
        <w:rPr>
          <w:rStyle w:val="FootnoteReference"/>
        </w:rPr>
        <w:footnoteReference w:id="200"/>
      </w:r>
    </w:p>
    <w:p w14:paraId="21D2DD05" w14:textId="469918E6" w:rsidR="00AC7BCC" w:rsidRDefault="00AC7BCC" w:rsidP="00AC7BCC">
      <w:pPr>
        <w:spacing w:after="100" w:afterAutospacing="1"/>
        <w:ind w:firstLine="0"/>
      </w:pPr>
      <w:r>
        <w:t>The same logic suggest</w:t>
      </w:r>
      <w:r w:rsidR="00C6705E">
        <w:t>s</w:t>
      </w:r>
      <w:r>
        <w:t xml:space="preserve"> that women may patronize restaurants without discrimination.</w:t>
      </w:r>
    </w:p>
    <w:p w14:paraId="0EC1B89B" w14:textId="1ED2F6B5" w:rsidR="008A1F15" w:rsidRPr="00AD652D" w:rsidRDefault="008A1F15" w:rsidP="008A1F15">
      <w:pPr>
        <w:spacing w:after="100" w:afterAutospacing="1"/>
      </w:pPr>
      <w:r>
        <w:t xml:space="preserve">But if </w:t>
      </w:r>
      <w:r w:rsidR="00C6705E">
        <w:t>blat</w:t>
      </w:r>
      <w:r w:rsidR="00632086">
        <w:t>a</w:t>
      </w:r>
      <w:r w:rsidR="00C6705E">
        <w:t xml:space="preserve">ntly </w:t>
      </w:r>
      <w:r>
        <w:t xml:space="preserve">discriminatory laws were prohibited, facially neutral ones had a better chance of succeeding.  </w:t>
      </w:r>
      <w:r w:rsidRPr="00AD652D">
        <w:t xml:space="preserve">In Connecticut, the unions succeeded in passing a facially neutral law apparently aimed at suppressing Chinese restaurants.  A </w:t>
      </w:r>
      <w:r w:rsidRPr="00AD652D">
        <w:rPr>
          <w:i/>
        </w:rPr>
        <w:t xml:space="preserve">Mixer and Server </w:t>
      </w:r>
      <w:r w:rsidR="00807C0E" w:rsidRPr="00807C0E">
        <w:t xml:space="preserve">report </w:t>
      </w:r>
      <w:r w:rsidRPr="00AD652D">
        <w:t>stated:</w:t>
      </w:r>
    </w:p>
    <w:p w14:paraId="33093725" w14:textId="44754C55" w:rsidR="008A1F15" w:rsidRPr="00AD652D" w:rsidRDefault="008A1F15" w:rsidP="00941278">
      <w:pPr>
        <w:pStyle w:val="NoSpacing"/>
        <w:spacing w:after="100" w:afterAutospacing="1"/>
      </w:pPr>
      <w:r w:rsidRPr="00AD652D">
        <w:t>We are also putting up a fight against the Chinese restaurants, of which there is a large number established in the city of Hartford — considering the size of the city — and are well patronized by the working class. It is going to take some time and energy to educate the union men and women that no white man can compete with the Chinese restaurants as their mode of living, the low wages and the long hours and other conditions prevailing in their establishments they can afford to sell at a lower price than a white man. It is to be regretted to see union men, sneaking in the side doors of Chinese restaurants.</w:t>
      </w:r>
      <w:r w:rsidRPr="00AD652D">
        <w:rPr>
          <w:vertAlign w:val="superscript"/>
        </w:rPr>
        <w:footnoteReference w:id="201"/>
      </w:r>
    </w:p>
    <w:p w14:paraId="039552B9" w14:textId="0A14868B" w:rsidR="008A1F15" w:rsidRDefault="008A1F15" w:rsidP="008A1F15">
      <w:pPr>
        <w:spacing w:after="100" w:afterAutospacing="1"/>
        <w:ind w:firstLine="0"/>
      </w:pPr>
      <w:r w:rsidRPr="00AD652D">
        <w:t xml:space="preserve">The Connecticut Legislature passed a law limiting the hours </w:t>
      </w:r>
      <w:r w:rsidR="00C6705E">
        <w:t xml:space="preserve">of </w:t>
      </w:r>
      <w:r w:rsidRPr="00AD652D">
        <w:t>women and children in hair dressing and manicuring establishments, photograph galleries, restaurants, cafes, and barber shops, and prohibit</w:t>
      </w:r>
      <w:r w:rsidR="00C6705E">
        <w:t xml:space="preserve"> their employment </w:t>
      </w:r>
      <w:r w:rsidRPr="00AD652D">
        <w:t xml:space="preserve">between </w:t>
      </w:r>
      <w:r w:rsidR="00941278">
        <w:t xml:space="preserve">10:00 </w:t>
      </w:r>
      <w:r w:rsidRPr="00AD652D">
        <w:t xml:space="preserve">p.m. and </w:t>
      </w:r>
      <w:r w:rsidR="00941278">
        <w:t xml:space="preserve">6:00 </w:t>
      </w:r>
      <w:r w:rsidRPr="00AD652D">
        <w:t>a.m.</w:t>
      </w:r>
      <w:r w:rsidRPr="00AD652D">
        <w:rPr>
          <w:vertAlign w:val="superscript"/>
        </w:rPr>
        <w:footnoteReference w:id="202"/>
      </w:r>
      <w:r w:rsidRPr="00AD652D">
        <w:t xml:space="preserve">  </w:t>
      </w:r>
      <w:r w:rsidR="00C6705E">
        <w:t>A</w:t>
      </w:r>
      <w:r w:rsidR="00941278">
        <w:t xml:space="preserve">uthorities reported that </w:t>
      </w:r>
      <w:r w:rsidRPr="00AD652D">
        <w:t>“</w:t>
      </w:r>
      <w:r w:rsidR="00941278">
        <w:t>[a]</w:t>
      </w:r>
      <w:r w:rsidRPr="00AD652D">
        <w:t>s a practical proposition, the law affected the restaurants only . . . [and] with the exception of the Chinese restaurants, there were very few where women were employed at night</w:t>
      </w:r>
      <w:r w:rsidR="00C6705E">
        <w:t>,</w:t>
      </w:r>
      <w:r w:rsidRPr="00AD652D">
        <w:t xml:space="preserve">” </w:t>
      </w:r>
      <w:r w:rsidR="00C6705E">
        <w:t xml:space="preserve">and </w:t>
      </w:r>
      <w:r w:rsidR="00C35173">
        <w:t>concluded that</w:t>
      </w:r>
      <w:r w:rsidRPr="00AD652D">
        <w:t xml:space="preserve"> “[t]he effect of the law has been salutary and has justified the expectations of those in favor of it.”</w:t>
      </w:r>
      <w:bookmarkStart w:id="50" w:name="_Ref476406707"/>
      <w:r w:rsidR="00C6705E" w:rsidRPr="00AD652D">
        <w:rPr>
          <w:vertAlign w:val="superscript"/>
        </w:rPr>
        <w:footnoteReference w:id="203"/>
      </w:r>
      <w:bookmarkEnd w:id="50"/>
      <w:r w:rsidRPr="00AD652D">
        <w:tab/>
      </w:r>
    </w:p>
    <w:p w14:paraId="26940ACE" w14:textId="5D6CA370" w:rsidR="00B353EA" w:rsidRDefault="00340BFA" w:rsidP="00195169">
      <w:pPr>
        <w:spacing w:after="100" w:afterAutospacing="1"/>
        <w:ind w:left="720" w:firstLine="0"/>
      </w:pPr>
      <w:r>
        <w:t xml:space="preserve"> </w:t>
      </w:r>
      <w:r>
        <w:tab/>
      </w:r>
      <w:r w:rsidR="00C35173">
        <w:t>2</w:t>
      </w:r>
      <w:r w:rsidR="008C7185">
        <w:t xml:space="preserve">. Emergency </w:t>
      </w:r>
      <w:r w:rsidR="00266FC5">
        <w:t>Police Authority</w:t>
      </w:r>
      <w:r>
        <w:t xml:space="preserve"> to Protect White Women</w:t>
      </w:r>
    </w:p>
    <w:p w14:paraId="36EA6199" w14:textId="0DCCB11A" w:rsidR="001A2DBC" w:rsidRPr="00AD652D" w:rsidRDefault="00DD689A" w:rsidP="00195169">
      <w:pPr>
        <w:spacing w:after="100" w:afterAutospacing="1"/>
      </w:pPr>
      <w:r>
        <w:t xml:space="preserve">For the reasons </w:t>
      </w:r>
      <w:r w:rsidR="00C6705E">
        <w:t>articulated</w:t>
      </w:r>
      <w:r>
        <w:t xml:space="preserve"> by the Mayor of Pittsburgh, the Massachusetts Supreme Judic</w:t>
      </w:r>
      <w:r w:rsidR="00C35173">
        <w:t>i</w:t>
      </w:r>
      <w:r>
        <w:t xml:space="preserve">al Court, and Harvard’s Professor Monroe, discriminatory legislation targeting Chinese restaurants by name </w:t>
      </w:r>
      <w:r w:rsidR="00835896">
        <w:t xml:space="preserve">was </w:t>
      </w:r>
      <w:r w:rsidR="00C6705E">
        <w:t xml:space="preserve">legally </w:t>
      </w:r>
      <w:r w:rsidR="00835896">
        <w:t>problematic.  Nevertheless, the law kept white women from patronizing or working in Chinese restaurants.  The tool was emergency police authority, which was apparently more potent than legislat</w:t>
      </w:r>
      <w:r w:rsidR="0060485B">
        <w:t>i</w:t>
      </w:r>
      <w:r w:rsidR="00835896">
        <w:t>o</w:t>
      </w:r>
      <w:r w:rsidR="0060485B">
        <w:t>n</w:t>
      </w:r>
      <w:r w:rsidR="00835896">
        <w:t xml:space="preserve">.  </w:t>
      </w:r>
    </w:p>
    <w:p w14:paraId="14C2E1F2" w14:textId="5244462F" w:rsidR="00373A96" w:rsidRPr="00AD652D" w:rsidRDefault="007B1953" w:rsidP="00195169">
      <w:pPr>
        <w:spacing w:after="100" w:afterAutospacing="1"/>
      </w:pPr>
      <w:r w:rsidRPr="00AD652D">
        <w:t xml:space="preserve">Most prominently </w:t>
      </w:r>
      <w:r w:rsidR="004C3EBD" w:rsidRPr="00AD652D">
        <w:t>in the wake of the Sigel murder but also on other occasions,</w:t>
      </w:r>
      <w:r w:rsidRPr="00AD652D">
        <w:t xml:space="preserve"> police </w:t>
      </w:r>
      <w:r w:rsidR="00C6705E">
        <w:t xml:space="preserve">simply </w:t>
      </w:r>
      <w:r w:rsidRPr="00AD652D">
        <w:t>ordered white women and girls out of Chinese restaurants</w:t>
      </w:r>
      <w:r w:rsidR="004C3EBD" w:rsidRPr="00AD652D">
        <w:t xml:space="preserve"> or neighborhoods</w:t>
      </w:r>
      <w:r w:rsidRPr="00AD652D">
        <w:t xml:space="preserve">.  </w:t>
      </w:r>
      <w:r w:rsidR="00B041EB" w:rsidRPr="00AD652D">
        <w:t>The head of the Washington</w:t>
      </w:r>
      <w:r w:rsidR="00EE5B81">
        <w:t>, D.C.</w:t>
      </w:r>
      <w:r w:rsidR="00B041EB" w:rsidRPr="00AD652D">
        <w:t xml:space="preserve"> Police Department issued orders forbidding all </w:t>
      </w:r>
      <w:r w:rsidR="00661FF5" w:rsidRPr="00AD652D">
        <w:t>“</w:t>
      </w:r>
      <w:r w:rsidR="00B041EB" w:rsidRPr="00AD652D">
        <w:t>young white girls</w:t>
      </w:r>
      <w:r w:rsidR="00661FF5" w:rsidRPr="00AD652D">
        <w:t>”</w:t>
      </w:r>
      <w:r w:rsidR="00B041EB" w:rsidRPr="00AD652D">
        <w:t xml:space="preserve"> from entering Chinese restaurants.</w:t>
      </w:r>
      <w:bookmarkStart w:id="51" w:name="_Ref476406729"/>
      <w:r w:rsidR="00B041EB" w:rsidRPr="00AD652D">
        <w:rPr>
          <w:vertAlign w:val="superscript"/>
        </w:rPr>
        <w:footnoteReference w:id="204"/>
      </w:r>
      <w:bookmarkEnd w:id="51"/>
      <w:r w:rsidR="00B041EB" w:rsidRPr="00AD652D">
        <w:t xml:space="preserve">  </w:t>
      </w:r>
      <w:r w:rsidR="00373A96" w:rsidRPr="00AD652D">
        <w:t xml:space="preserve"> </w:t>
      </w:r>
      <w:r w:rsidR="00EE5B81" w:rsidRPr="00AD652D">
        <w:t>In 1909, the probation officer of Kal</w:t>
      </w:r>
      <w:r w:rsidR="003F494B">
        <w:t>i</w:t>
      </w:r>
      <w:r w:rsidR="00EE5B81" w:rsidRPr="00AD652D">
        <w:t>spell, Montana ordered that “all white girls under twenty years of age working in Chinese restaurants of the city surrender their positions.”</w:t>
      </w:r>
      <w:r w:rsidR="00EE5B81" w:rsidRPr="00AD652D">
        <w:rPr>
          <w:rStyle w:val="FootnoteReference"/>
        </w:rPr>
        <w:footnoteReference w:id="205"/>
      </w:r>
    </w:p>
    <w:p w14:paraId="0AFE0DBA" w14:textId="6CD14CA2" w:rsidR="00653E4D" w:rsidRPr="00AD652D" w:rsidRDefault="00373A96" w:rsidP="00195169">
      <w:pPr>
        <w:spacing w:after="100" w:afterAutospacing="1"/>
      </w:pPr>
      <w:r w:rsidRPr="00AD652D">
        <w:t xml:space="preserve">Not surprisingly, New York saw </w:t>
      </w:r>
      <w:r w:rsidR="00B8232C" w:rsidRPr="00AD652D">
        <w:t>an</w:t>
      </w:r>
      <w:r w:rsidRPr="00AD652D">
        <w:t xml:space="preserve"> intense police reaction.  Police vowed to end the </w:t>
      </w:r>
      <w:r w:rsidR="00661FF5" w:rsidRPr="00AD652D">
        <w:t>“</w:t>
      </w:r>
      <w:r w:rsidRPr="00AD652D">
        <w:t>slumming</w:t>
      </w:r>
      <w:r w:rsidR="00661FF5" w:rsidRPr="00AD652D">
        <w:t>”</w:t>
      </w:r>
      <w:r w:rsidRPr="00AD652D">
        <w:t xml:space="preserve"> expeditions and the tourist attractions of Chinatown.</w:t>
      </w:r>
      <w:r w:rsidRPr="00AD652D">
        <w:rPr>
          <w:vertAlign w:val="superscript"/>
        </w:rPr>
        <w:footnoteReference w:id="206"/>
      </w:r>
      <w:r w:rsidRPr="00AD652D">
        <w:t xml:space="preserve">  </w:t>
      </w:r>
      <w:r w:rsidR="004A5934" w:rsidRPr="00AD652D">
        <w:t xml:space="preserve">In 1910, </w:t>
      </w:r>
      <w:r w:rsidR="00A6304B" w:rsidRPr="00AD652D">
        <w:t xml:space="preserve">New York Deputy Police Commissioner Driscoll announced that he was going to </w:t>
      </w:r>
      <w:r w:rsidR="00661FF5" w:rsidRPr="00AD652D">
        <w:t>“</w:t>
      </w:r>
      <w:r w:rsidR="00A6304B" w:rsidRPr="00AD652D">
        <w:t>force white women away from Chinatown and keep them away.</w:t>
      </w:r>
      <w:r w:rsidR="00661FF5" w:rsidRPr="00AD652D">
        <w:t>”</w:t>
      </w:r>
      <w:r w:rsidR="00A6304B" w:rsidRPr="00AD652D">
        <w:rPr>
          <w:vertAlign w:val="superscript"/>
        </w:rPr>
        <w:footnoteReference w:id="207"/>
      </w:r>
      <w:r w:rsidR="00A6304B" w:rsidRPr="00AD652D">
        <w:t xml:space="preserve">  </w:t>
      </w:r>
      <w:r w:rsidR="004A5934" w:rsidRPr="00AD652D">
        <w:t>He</w:t>
      </w:r>
      <w:r w:rsidR="00653E4D" w:rsidRPr="00AD652D">
        <w:t xml:space="preserve"> went after the fraudulent opium joints where tourists </w:t>
      </w:r>
      <w:r w:rsidR="00661FF5" w:rsidRPr="00AD652D">
        <w:t>“</w:t>
      </w:r>
      <w:r w:rsidR="00653E4D" w:rsidRPr="00AD652D">
        <w:t>were taken to be shown white women rolling opium pills in company with decrepit Chinese</w:t>
      </w:r>
      <w:r w:rsidR="00C6705E">
        <w:t>,</w:t>
      </w:r>
      <w:r w:rsidR="00661FF5" w:rsidRPr="00AD652D">
        <w:t>”</w:t>
      </w:r>
      <w:r w:rsidR="00653E4D" w:rsidRPr="00AD652D">
        <w:rPr>
          <w:vertAlign w:val="superscript"/>
        </w:rPr>
        <w:footnoteReference w:id="208"/>
      </w:r>
      <w:r w:rsidR="00653E4D" w:rsidRPr="00AD652D">
        <w:t xml:space="preserve">  </w:t>
      </w:r>
      <w:r w:rsidR="00C6705E">
        <w:t>and</w:t>
      </w:r>
      <w:r w:rsidR="00653E4D" w:rsidRPr="00AD652D">
        <w:t xml:space="preserve"> a </w:t>
      </w:r>
      <w:r w:rsidR="00661FF5" w:rsidRPr="00AD652D">
        <w:t>“</w:t>
      </w:r>
      <w:r w:rsidR="00653E4D" w:rsidRPr="00AD652D">
        <w:t>chop suey restaurant where white girls ate in company with Chinese residents of the community.</w:t>
      </w:r>
      <w:r w:rsidR="00661FF5" w:rsidRPr="00AD652D">
        <w:t>”</w:t>
      </w:r>
      <w:r w:rsidR="00653E4D" w:rsidRPr="00AD652D">
        <w:rPr>
          <w:vertAlign w:val="superscript"/>
        </w:rPr>
        <w:footnoteReference w:id="209"/>
      </w:r>
      <w:r w:rsidR="00653E4D" w:rsidRPr="00AD652D">
        <w:t xml:space="preserve">  Officers also </w:t>
      </w:r>
      <w:r w:rsidR="00DB1DB7">
        <w:t>noted</w:t>
      </w:r>
      <w:r w:rsidR="00653E4D" w:rsidRPr="00AD652D">
        <w:t xml:space="preserve"> white women resid</w:t>
      </w:r>
      <w:r w:rsidR="00DB1DB7">
        <w:t>ing</w:t>
      </w:r>
      <w:r w:rsidR="00653E4D" w:rsidRPr="00AD652D">
        <w:t xml:space="preserve"> with Chinese</w:t>
      </w:r>
      <w:r w:rsidR="00DB1DB7">
        <w:t xml:space="preserve"> men</w:t>
      </w:r>
      <w:r w:rsidR="00653E4D" w:rsidRPr="00AD652D">
        <w:t xml:space="preserve"> </w:t>
      </w:r>
      <w:r w:rsidR="00DB1DB7">
        <w:t>and prepared a list for</w:t>
      </w:r>
      <w:r w:rsidR="00653E4D" w:rsidRPr="00AD652D">
        <w:t xml:space="preserve"> </w:t>
      </w:r>
      <w:r w:rsidR="00661FF5" w:rsidRPr="00AD652D">
        <w:t>“</w:t>
      </w:r>
      <w:r w:rsidR="00653E4D" w:rsidRPr="00AD652D">
        <w:t>Tenement House Inspectors</w:t>
      </w:r>
      <w:r w:rsidR="00C6705E">
        <w:t>.</w:t>
      </w:r>
      <w:r w:rsidR="00661FF5" w:rsidRPr="00AD652D">
        <w:t>”</w:t>
      </w:r>
      <w:r w:rsidR="00653E4D" w:rsidRPr="00AD652D">
        <w:rPr>
          <w:vertAlign w:val="superscript"/>
        </w:rPr>
        <w:footnoteReference w:id="210"/>
      </w:r>
      <w:r w:rsidR="00653E4D" w:rsidRPr="00AD652D">
        <w:t xml:space="preserve">  </w:t>
      </w:r>
    </w:p>
    <w:p w14:paraId="58BDA19A" w14:textId="1D338F4E" w:rsidR="0021710E" w:rsidRPr="00AD652D" w:rsidRDefault="00653E4D" w:rsidP="00195169">
      <w:pPr>
        <w:spacing w:after="100" w:afterAutospacing="1"/>
      </w:pPr>
      <w:r w:rsidRPr="00AD652D">
        <w:t xml:space="preserve">The New York police commissioner also reinstated a former rule </w:t>
      </w:r>
      <w:r w:rsidR="00661FF5" w:rsidRPr="00AD652D">
        <w:t>“</w:t>
      </w:r>
      <w:r w:rsidRPr="00AD652D">
        <w:t>that all whites are to be driven out of [Chinese quarter] and the restaurants and other places kept by Chinese are to be closed at midnight.</w:t>
      </w:r>
      <w:r w:rsidR="00661FF5" w:rsidRPr="00AD652D">
        <w:t>”</w:t>
      </w:r>
      <w:r w:rsidRPr="00AD652D">
        <w:rPr>
          <w:vertAlign w:val="superscript"/>
        </w:rPr>
        <w:footnoteReference w:id="211"/>
      </w:r>
      <w:r w:rsidRPr="00AD652D">
        <w:t xml:space="preserve">  With policeman patrolling each block, all visitors were asked where they were going.</w:t>
      </w:r>
      <w:r w:rsidRPr="00AD652D">
        <w:rPr>
          <w:vertAlign w:val="superscript"/>
        </w:rPr>
        <w:footnoteReference w:id="212"/>
      </w:r>
      <w:r w:rsidRPr="00AD652D">
        <w:t xml:space="preserve">  Unless the visitor had a satisfactory explanation, they were asked to leave.</w:t>
      </w:r>
      <w:r w:rsidRPr="00AD652D">
        <w:rPr>
          <w:vertAlign w:val="superscript"/>
        </w:rPr>
        <w:footnoteReference w:id="213"/>
      </w:r>
      <w:r w:rsidRPr="00AD652D">
        <w:t xml:space="preserve">    </w:t>
      </w:r>
    </w:p>
    <w:p w14:paraId="5D3DDBDA" w14:textId="0BE4E0E0" w:rsidR="00653E4D" w:rsidRPr="00AD652D" w:rsidRDefault="0021710E" w:rsidP="00B17586">
      <w:pPr>
        <w:spacing w:after="100" w:afterAutospacing="1"/>
      </w:pPr>
      <w:r w:rsidRPr="00AD652D">
        <w:t>Newspapers reported that o</w:t>
      </w:r>
      <w:r w:rsidR="00653E4D" w:rsidRPr="00AD652D">
        <w:t>n April 14, 1918</w:t>
      </w:r>
      <w:r w:rsidRPr="00AD652D">
        <w:t xml:space="preserve"> </w:t>
      </w:r>
      <w:r w:rsidR="00872793">
        <w:t>the NYPD</w:t>
      </w:r>
      <w:r w:rsidR="00E54876" w:rsidRPr="00AD652D">
        <w:t xml:space="preserve"> carried out</w:t>
      </w:r>
      <w:r w:rsidRPr="00AD652D">
        <w:t xml:space="preserve"> </w:t>
      </w:r>
      <w:r w:rsidR="00661FF5" w:rsidRPr="00AD652D">
        <w:t>“</w:t>
      </w:r>
      <w:r w:rsidRPr="00AD652D">
        <w:t>chop suey raids</w:t>
      </w:r>
      <w:r w:rsidR="00661FF5" w:rsidRPr="00AD652D">
        <w:t>”</w:t>
      </w:r>
      <w:r w:rsidRPr="00AD652D">
        <w:t xml:space="preserve"> all over </w:t>
      </w:r>
      <w:r w:rsidR="00DB1DB7">
        <w:t>the city</w:t>
      </w:r>
      <w:r w:rsidR="00653E4D" w:rsidRPr="00AD652D">
        <w:t>.</w:t>
      </w:r>
      <w:r w:rsidR="00653E4D" w:rsidRPr="00AD652D">
        <w:rPr>
          <w:vertAlign w:val="superscript"/>
        </w:rPr>
        <w:footnoteReference w:id="214"/>
      </w:r>
      <w:r w:rsidR="00653E4D" w:rsidRPr="00AD652D">
        <w:t xml:space="preserve">  The </w:t>
      </w:r>
      <w:r w:rsidR="00653E4D" w:rsidRPr="00AD652D">
        <w:rPr>
          <w:i/>
        </w:rPr>
        <w:t xml:space="preserve">Washington Herald </w:t>
      </w:r>
      <w:r w:rsidR="00653E4D" w:rsidRPr="00AD652D">
        <w:t xml:space="preserve">reported: </w:t>
      </w:r>
      <w:r w:rsidR="00661FF5" w:rsidRPr="00AD652D">
        <w:t>“</w:t>
      </w:r>
      <w:r w:rsidR="00653E4D" w:rsidRPr="00AD652D">
        <w:t>Thirty chop suey restaurants in New York</w:t>
      </w:r>
      <w:r w:rsidR="00661FF5" w:rsidRPr="00AD652D">
        <w:t>’</w:t>
      </w:r>
      <w:r w:rsidR="00653E4D" w:rsidRPr="00AD652D">
        <w:t>s tenderloin, from Broadway and Forty-second streets, through the upper West Side as far north as 110</w:t>
      </w:r>
      <w:r w:rsidR="00653E4D" w:rsidRPr="00AD652D">
        <w:rPr>
          <w:vertAlign w:val="superscript"/>
        </w:rPr>
        <w:t>th</w:t>
      </w:r>
      <w:r w:rsidR="00653E4D" w:rsidRPr="00AD652D">
        <w:t xml:space="preserve"> street, were entered early today by scores of police and detectives in one of the most spectacular raids ever made here.</w:t>
      </w:r>
      <w:r w:rsidR="00661FF5" w:rsidRPr="00AD652D">
        <w:t>”</w:t>
      </w:r>
      <w:r w:rsidR="00653E4D" w:rsidRPr="00AD652D">
        <w:rPr>
          <w:vertAlign w:val="superscript"/>
        </w:rPr>
        <w:footnoteReference w:id="215"/>
      </w:r>
      <w:r w:rsidR="00653E4D" w:rsidRPr="00AD652D">
        <w:t xml:space="preserve">  The restaurant doors were blocked,</w:t>
      </w:r>
      <w:bookmarkStart w:id="52" w:name="_Ref476492674"/>
      <w:r w:rsidR="00653E4D" w:rsidRPr="00AD652D">
        <w:rPr>
          <w:vertAlign w:val="superscript"/>
        </w:rPr>
        <w:footnoteReference w:id="216"/>
      </w:r>
      <w:bookmarkEnd w:id="52"/>
      <w:r w:rsidR="00653E4D" w:rsidRPr="00AD652D">
        <w:t xml:space="preserve"> </w:t>
      </w:r>
      <w:r w:rsidR="00DB1DB7">
        <w:t>and o</w:t>
      </w:r>
      <w:r w:rsidR="00653E4D" w:rsidRPr="00AD652D">
        <w:t>fficers asked approximately 1000 people why they were in Chinese restaurants</w:t>
      </w:r>
      <w:bookmarkStart w:id="53" w:name="_Ref476156122"/>
      <w:r w:rsidR="00FA1ABF">
        <w:t>.</w:t>
      </w:r>
      <w:r w:rsidR="00653E4D" w:rsidRPr="00AD652D">
        <w:rPr>
          <w:vertAlign w:val="superscript"/>
        </w:rPr>
        <w:footnoteReference w:id="217"/>
      </w:r>
      <w:bookmarkEnd w:id="53"/>
      <w:r w:rsidR="00653E4D" w:rsidRPr="00AD652D">
        <w:t xml:space="preserve"> Of those questioned, 178 were ordered to the police station for further </w:t>
      </w:r>
      <w:r w:rsidR="00861582">
        <w:t>investigation</w:t>
      </w:r>
      <w:r w:rsidR="00B17586">
        <w:t>,</w:t>
      </w:r>
      <w:r w:rsidR="00653E4D" w:rsidRPr="00AD652D">
        <w:rPr>
          <w:vertAlign w:val="superscript"/>
        </w:rPr>
        <w:footnoteReference w:id="218"/>
      </w:r>
      <w:r w:rsidR="00653E4D" w:rsidRPr="00AD652D">
        <w:t xml:space="preserve"> </w:t>
      </w:r>
      <w:r w:rsidR="00B17586">
        <w:t>including w</w:t>
      </w:r>
      <w:r w:rsidR="00B17586" w:rsidRPr="00AD652D">
        <w:t xml:space="preserve">omen </w:t>
      </w:r>
      <w:r w:rsidR="00B17586">
        <w:t xml:space="preserve">failing to </w:t>
      </w:r>
      <w:r w:rsidR="00B17586" w:rsidRPr="00AD652D">
        <w:t>show a wedding ring to prove they were married to their male companions.</w:t>
      </w:r>
      <w:r w:rsidR="00B17586" w:rsidRPr="00AD652D">
        <w:rPr>
          <w:vertAlign w:val="superscript"/>
        </w:rPr>
        <w:footnoteReference w:id="219"/>
      </w:r>
      <w:r w:rsidR="00B17586">
        <w:t xml:space="preserve">  </w:t>
      </w:r>
      <w:r w:rsidR="0037609C" w:rsidRPr="00AD652D">
        <w:t>The price of freedom was a</w:t>
      </w:r>
      <w:r w:rsidR="00653E4D" w:rsidRPr="00AD652D">
        <w:t xml:space="preserve"> promise that </w:t>
      </w:r>
      <w:r w:rsidR="00661FF5" w:rsidRPr="00AD652D">
        <w:t>“</w:t>
      </w:r>
      <w:r w:rsidR="00653E4D" w:rsidRPr="00AD652D">
        <w:t>he or she would not be found in a Chinese restaurant after hours.</w:t>
      </w:r>
      <w:r w:rsidR="00661FF5" w:rsidRPr="00AD652D">
        <w:t>”</w:t>
      </w:r>
      <w:r w:rsidR="00653E4D" w:rsidRPr="00AD652D">
        <w:rPr>
          <w:vertAlign w:val="superscript"/>
        </w:rPr>
        <w:footnoteReference w:id="220"/>
      </w:r>
      <w:r w:rsidR="00653E4D" w:rsidRPr="00AD652D">
        <w:t xml:space="preserve">  District Attorney Smith claimed that he realized that the </w:t>
      </w:r>
      <w:r w:rsidR="00661FF5" w:rsidRPr="00AD652D">
        <w:t>“</w:t>
      </w:r>
      <w:r w:rsidR="00653E4D" w:rsidRPr="00AD652D">
        <w:t>chop suey places are the worst dives in the city</w:t>
      </w:r>
      <w:r w:rsidR="00661FF5" w:rsidRPr="00AD652D">
        <w:t>”</w:t>
      </w:r>
      <w:r w:rsidR="00653E4D" w:rsidRPr="00AD652D">
        <w:t xml:space="preserve"> and that he didn</w:t>
      </w:r>
      <w:r w:rsidR="00661FF5" w:rsidRPr="00AD652D">
        <w:t>’</w:t>
      </w:r>
      <w:r w:rsidR="00653E4D" w:rsidRPr="00AD652D">
        <w:t xml:space="preserve">t </w:t>
      </w:r>
      <w:r w:rsidR="00661FF5" w:rsidRPr="00AD652D">
        <w:t>“</w:t>
      </w:r>
      <w:r w:rsidR="00653E4D" w:rsidRPr="00AD652D">
        <w:t>care a snap about the protest that may be made after these raids.</w:t>
      </w:r>
      <w:r w:rsidR="00661FF5" w:rsidRPr="00AD652D">
        <w:t>”</w:t>
      </w:r>
      <w:r w:rsidR="00653E4D" w:rsidRPr="00AD652D">
        <w:rPr>
          <w:vertAlign w:val="superscript"/>
        </w:rPr>
        <w:footnoteReference w:id="221"/>
      </w:r>
      <w:r w:rsidR="00653E4D" w:rsidRPr="00AD652D">
        <w:t xml:space="preserve">  The raid led to no </w:t>
      </w:r>
      <w:r w:rsidR="00861582">
        <w:t>arrests; Smith</w:t>
      </w:r>
      <w:r w:rsidR="00653E4D" w:rsidRPr="00AD652D">
        <w:t xml:space="preserve"> wanted to collect evidence to prosecute </w:t>
      </w:r>
      <w:r w:rsidR="00661FF5" w:rsidRPr="00AD652D">
        <w:t>“</w:t>
      </w:r>
      <w:r w:rsidR="00653E4D" w:rsidRPr="00AD652D">
        <w:t>the real owners of certain Chinese restaurants.</w:t>
      </w:r>
      <w:r w:rsidR="00661FF5" w:rsidRPr="00AD652D">
        <w:t>”</w:t>
      </w:r>
      <w:r w:rsidR="00653E4D" w:rsidRPr="00AD652D">
        <w:rPr>
          <w:vertAlign w:val="superscript"/>
        </w:rPr>
        <w:footnoteReference w:id="222"/>
      </w:r>
      <w:r w:rsidR="00653E4D" w:rsidRPr="00AD652D">
        <w:t xml:space="preserve"> </w:t>
      </w:r>
      <w:r w:rsidR="005D066A" w:rsidRPr="00AD652D">
        <w:t xml:space="preserve"> </w:t>
      </w:r>
      <w:r w:rsidR="00653E4D" w:rsidRPr="00AD652D">
        <w:t xml:space="preserve">Smith claimed that parents of the community called him to action by sending over 100 letters claiming that their daughters had </w:t>
      </w:r>
      <w:r w:rsidR="00661FF5" w:rsidRPr="00AD652D">
        <w:t>“</w:t>
      </w:r>
      <w:r w:rsidR="00653E4D" w:rsidRPr="00AD652D">
        <w:t>been lured to chop suey houses and have been evilly treated or menaced.</w:t>
      </w:r>
      <w:r w:rsidR="00661FF5" w:rsidRPr="00AD652D">
        <w:t>”</w:t>
      </w:r>
      <w:r w:rsidR="00653E4D" w:rsidRPr="00AD652D">
        <w:rPr>
          <w:vertAlign w:val="superscript"/>
        </w:rPr>
        <w:footnoteReference w:id="223"/>
      </w:r>
      <w:r w:rsidR="00653E4D" w:rsidRPr="00AD652D">
        <w:t xml:space="preserve"> </w:t>
      </w:r>
    </w:p>
    <w:p w14:paraId="29281F93" w14:textId="3FD0B8AA" w:rsidR="00653E4D" w:rsidRPr="00AD652D" w:rsidRDefault="00653E4D" w:rsidP="00195169">
      <w:pPr>
        <w:spacing w:after="100" w:afterAutospacing="1"/>
      </w:pPr>
      <w:r w:rsidRPr="00AD652D">
        <w:t xml:space="preserve">By April, 16, 1918, the Chinese restaurant owners </w:t>
      </w:r>
      <w:r w:rsidR="00861582">
        <w:t>retained counsel</w:t>
      </w:r>
      <w:r w:rsidRPr="00AD652D">
        <w:t>.</w:t>
      </w:r>
      <w:bookmarkStart w:id="54" w:name="_Ref476492751"/>
      <w:r w:rsidRPr="00AD652D">
        <w:rPr>
          <w:vertAlign w:val="superscript"/>
        </w:rPr>
        <w:footnoteReference w:id="224"/>
      </w:r>
      <w:bookmarkEnd w:id="54"/>
      <w:r w:rsidRPr="00AD652D">
        <w:t xml:space="preserve"> According the </w:t>
      </w:r>
      <w:r w:rsidRPr="00AD652D">
        <w:rPr>
          <w:i/>
        </w:rPr>
        <w:t>New York Sun</w:t>
      </w:r>
      <w:r w:rsidRPr="00AD652D">
        <w:t>:</w:t>
      </w:r>
    </w:p>
    <w:p w14:paraId="03501B07" w14:textId="265DC994" w:rsidR="00653E4D" w:rsidRPr="00AD652D" w:rsidRDefault="00653E4D" w:rsidP="00195169">
      <w:pPr>
        <w:pStyle w:val="NoSpacing"/>
        <w:spacing w:after="100" w:afterAutospacing="1"/>
      </w:pPr>
      <w:r w:rsidRPr="00AD652D">
        <w:t>An up to date tong war seems to be brewing between the allied Chinese restaurants proprietors of New York and the District Attorney</w:t>
      </w:r>
      <w:r w:rsidR="00661FF5" w:rsidRPr="00AD652D">
        <w:t>’</w:t>
      </w:r>
      <w:r w:rsidRPr="00AD652D">
        <w:t>s office. Four of the most prosperous chop suey dispensers indicated through their counsel yesterday they propose to make a stand against the authorities for the raids on Sunday morning, which they consider unwarranted and illegal.</w:t>
      </w:r>
    </w:p>
    <w:p w14:paraId="5EEFE701" w14:textId="77777777" w:rsidR="00653E4D" w:rsidRPr="00AD652D" w:rsidRDefault="00653E4D" w:rsidP="00195169">
      <w:pPr>
        <w:pStyle w:val="NoSpacing"/>
        <w:spacing w:after="100" w:afterAutospacing="1"/>
      </w:pPr>
      <w:r w:rsidRPr="00AD652D">
        <w:t>At the same time James E. Smith, Assistant District Attorney, who conducted the visiting parties to thirty establishments, took the first step against the proprietors by applying for the names of the owners of each of the buildings in which the restaurants are situated. When he obtains these names from the city records he will ascertain who owns the restaurants. Later, it is understood, the proprietors will be subpoenaed to the Criminal Courts Building. . . . District Attorney Swann replied last night to the statement that his raid on the chop suey places was illegal by one of his mysterious, uncommunicative smiles.</w:t>
      </w:r>
      <w:r w:rsidRPr="00AD652D">
        <w:rPr>
          <w:vertAlign w:val="superscript"/>
        </w:rPr>
        <w:footnoteReference w:id="225"/>
      </w:r>
    </w:p>
    <w:p w14:paraId="13B97D61" w14:textId="39BC8DC1" w:rsidR="00123A0D" w:rsidRDefault="00653E4D" w:rsidP="00195169">
      <w:pPr>
        <w:spacing w:after="100" w:afterAutospacing="1"/>
        <w:ind w:firstLine="0"/>
      </w:pPr>
      <w:r w:rsidRPr="00AD652D">
        <w:t xml:space="preserve">The attorney for the restaurants protested: </w:t>
      </w:r>
      <w:r w:rsidR="00661FF5" w:rsidRPr="00AD652D">
        <w:t>“</w:t>
      </w:r>
      <w:r w:rsidRPr="00AD652D">
        <w:t>It was illegal to order persons that were dining who were dining peaceably in these restaurants to leave.</w:t>
      </w:r>
      <w:r w:rsidR="00661FF5" w:rsidRPr="00AD652D">
        <w:t>”</w:t>
      </w:r>
      <w:r w:rsidRPr="00AD652D">
        <w:rPr>
          <w:vertAlign w:val="superscript"/>
        </w:rPr>
        <w:footnoteReference w:id="226"/>
      </w:r>
      <w:r w:rsidRPr="00AD652D">
        <w:t xml:space="preserve">  </w:t>
      </w:r>
      <w:r w:rsidR="000C7719">
        <w:t>Prosecutors</w:t>
      </w:r>
      <w:r w:rsidRPr="00AD652D">
        <w:t xml:space="preserve"> planned to charge </w:t>
      </w:r>
      <w:r w:rsidR="00861582">
        <w:t xml:space="preserve">each </w:t>
      </w:r>
      <w:r w:rsidRPr="00AD652D">
        <w:t>owner with maintaining a public nuisance and urged the Board of Alder</w:t>
      </w:r>
      <w:r w:rsidR="0037609C" w:rsidRPr="00AD652D">
        <w:t>men</w:t>
      </w:r>
      <w:r w:rsidRPr="00AD652D">
        <w:t xml:space="preserve"> to require </w:t>
      </w:r>
      <w:r w:rsidR="00861582">
        <w:t xml:space="preserve">licenses of </w:t>
      </w:r>
      <w:r w:rsidRPr="00AD652D">
        <w:t xml:space="preserve">chop suey </w:t>
      </w:r>
      <w:r w:rsidR="00861582">
        <w:t>restaurants</w:t>
      </w:r>
      <w:r w:rsidRPr="00AD652D">
        <w:t>.</w:t>
      </w:r>
      <w:bookmarkStart w:id="55" w:name="_Ref476492637"/>
      <w:r w:rsidRPr="00AD652D">
        <w:rPr>
          <w:vertAlign w:val="superscript"/>
        </w:rPr>
        <w:footnoteReference w:id="227"/>
      </w:r>
      <w:bookmarkEnd w:id="55"/>
      <w:r w:rsidRPr="00AD652D">
        <w:t xml:space="preserve"> According to the </w:t>
      </w:r>
      <w:r w:rsidRPr="00861582">
        <w:rPr>
          <w:i/>
        </w:rPr>
        <w:t>New York Tribune</w:t>
      </w:r>
      <w:r w:rsidRPr="00AD652D">
        <w:t xml:space="preserve">, </w:t>
      </w:r>
      <w:r w:rsidR="00661FF5" w:rsidRPr="00AD652D">
        <w:t>“</w:t>
      </w:r>
      <w:r w:rsidR="0060485B">
        <w:t>[t]</w:t>
      </w:r>
      <w:r w:rsidRPr="00AD652D">
        <w:t>he explanation from [District Attorney] Swann and his office are ingenious and various. . . . There seems no reason why Mr. Swann</w:t>
      </w:r>
      <w:r w:rsidR="00661FF5" w:rsidRPr="00AD652D">
        <w:t>’</w:t>
      </w:r>
      <w:r w:rsidRPr="00AD652D">
        <w:t>s chop suey uplift campaign shouldn</w:t>
      </w:r>
      <w:r w:rsidR="00661FF5" w:rsidRPr="00AD652D">
        <w:t>’</w:t>
      </w:r>
      <w:r w:rsidRPr="00AD652D">
        <w:t>t keep right on forever.</w:t>
      </w:r>
      <w:r w:rsidR="00661FF5" w:rsidRPr="00AD652D">
        <w:t>”</w:t>
      </w:r>
      <w:r w:rsidRPr="00AD652D">
        <w:rPr>
          <w:vertAlign w:val="superscript"/>
        </w:rPr>
        <w:footnoteReference w:id="228"/>
      </w:r>
      <w:r w:rsidR="0037609C" w:rsidRPr="00AD652D">
        <w:t xml:space="preserve"> </w:t>
      </w:r>
      <w:r w:rsidR="00401533" w:rsidRPr="00AD652D">
        <w:t>T</w:t>
      </w:r>
      <w:r w:rsidRPr="00AD652D">
        <w:t xml:space="preserve">he </w:t>
      </w:r>
      <w:r w:rsidRPr="00AD652D">
        <w:rPr>
          <w:i/>
        </w:rPr>
        <w:t>Washington Herald</w:t>
      </w:r>
      <w:r w:rsidRPr="00AD652D">
        <w:t xml:space="preserve"> reported </w:t>
      </w:r>
      <w:r w:rsidR="00BA0A21" w:rsidRPr="00AD652D">
        <w:t xml:space="preserve">that </w:t>
      </w:r>
      <w:r w:rsidR="00661FF5" w:rsidRPr="00AD652D">
        <w:t>“</w:t>
      </w:r>
      <w:r w:rsidRPr="00AD652D">
        <w:t>James E. Smith, assistant district attorney of the county of New York</w:t>
      </w:r>
      <w:r w:rsidR="00BA0A21" w:rsidRPr="00AD652D">
        <w:t xml:space="preserve"> . . .</w:t>
      </w:r>
      <w:r w:rsidRPr="00AD652D">
        <w:t xml:space="preserve"> has declared war to the death on the chop suey caravansaries.</w:t>
      </w:r>
      <w:r w:rsidR="00661FF5" w:rsidRPr="00AD652D">
        <w:t>”</w:t>
      </w:r>
      <w:r w:rsidRPr="00AD652D">
        <w:rPr>
          <w:vertAlign w:val="superscript"/>
        </w:rPr>
        <w:footnoteReference w:id="229"/>
      </w:r>
    </w:p>
    <w:p w14:paraId="6D5911E2" w14:textId="77777777" w:rsidR="00BF259D" w:rsidRDefault="00835896" w:rsidP="00195169">
      <w:pPr>
        <w:spacing w:after="100" w:afterAutospacing="1"/>
        <w:ind w:firstLine="0"/>
      </w:pPr>
      <w:r>
        <w:tab/>
      </w:r>
      <w:r w:rsidR="00EB5D3D">
        <w:t xml:space="preserve">It is odd that police could </w:t>
      </w:r>
      <w:r w:rsidR="00CD424B">
        <w:t>force</w:t>
      </w:r>
      <w:r w:rsidR="00861582">
        <w:t xml:space="preserve"> women out of Chinese restaurants</w:t>
      </w:r>
      <w:r w:rsidR="00EB5D3D">
        <w:t xml:space="preserve"> </w:t>
      </w:r>
      <w:r w:rsidR="00861582">
        <w:t xml:space="preserve">when </w:t>
      </w:r>
      <w:r w:rsidR="00EB5D3D">
        <w:t xml:space="preserve">legislatures could not.  Perhaps the explanation is exigency.  </w:t>
      </w:r>
      <w:r w:rsidRPr="00AD652D">
        <w:t>Even today, there is a plausible argument that the police can order people to “move on” at their whim, and arrest them if they do not.</w:t>
      </w:r>
      <w:r w:rsidRPr="00AD652D">
        <w:rPr>
          <w:rStyle w:val="FootnoteReference"/>
        </w:rPr>
        <w:footnoteReference w:id="230"/>
      </w:r>
      <w:r w:rsidRPr="00AD652D">
        <w:t xml:space="preserve">  Of course, police are free to act unilaterally, even forcibly, to protect lives and property</w:t>
      </w:r>
      <w:r w:rsidR="00CD424B">
        <w:t xml:space="preserve"> </w:t>
      </w:r>
      <w:r w:rsidR="00CD424B" w:rsidRPr="00AD652D">
        <w:t xml:space="preserve">in </w:t>
      </w:r>
      <w:r w:rsidR="00CD424B">
        <w:t>emergenci</w:t>
      </w:r>
      <w:r w:rsidR="00CD424B" w:rsidRPr="00AD652D">
        <w:t>es</w:t>
      </w:r>
      <w:r w:rsidRPr="00AD652D">
        <w:t>.</w:t>
      </w:r>
      <w:r w:rsidRPr="00AD652D">
        <w:rPr>
          <w:rStyle w:val="FootnoteReference"/>
        </w:rPr>
        <w:footnoteReference w:id="231"/>
      </w:r>
      <w:r w:rsidRPr="00AD652D">
        <w:t xml:space="preserve"> Even today, authorities can discriminate on the basis of race when necessary to meet a pressing exigency.</w:t>
      </w:r>
      <w:r w:rsidRPr="00AD652D">
        <w:rPr>
          <w:rStyle w:val="FootnoteReference"/>
        </w:rPr>
        <w:footnoteReference w:id="232"/>
      </w:r>
      <w:r w:rsidRPr="00AD652D">
        <w:t xml:space="preserve">  </w:t>
      </w:r>
      <w:r w:rsidR="00CD424B">
        <w:t xml:space="preserve">Police orders are temporary and specific, while laws are normally </w:t>
      </w:r>
      <w:r w:rsidR="00BF259D">
        <w:t xml:space="preserve">general and </w:t>
      </w:r>
      <w:r w:rsidR="00CD424B">
        <w:t xml:space="preserve">permanent (or at least open-ended) and thus represent a greater intrusion.  </w:t>
      </w:r>
    </w:p>
    <w:p w14:paraId="53A31E7B" w14:textId="35D4A446" w:rsidR="00835896" w:rsidRDefault="00BF259D" w:rsidP="00195169">
      <w:pPr>
        <w:spacing w:after="100" w:afterAutospacing="1"/>
        <w:ind w:firstLine="0"/>
      </w:pPr>
      <w:r>
        <w:tab/>
      </w:r>
      <w:r w:rsidR="00835896" w:rsidRPr="00AD652D">
        <w:t>In addition, the war against Chinese restaurants was fought in a largely pre-modern era of law.  Because many of the provisions of the Bill of Rights did not apply to the states, the police were much freer.  In that era, police regularly made “arrests on suspicion,”</w:t>
      </w:r>
      <w:r w:rsidR="00835896" w:rsidRPr="00AD652D">
        <w:rPr>
          <w:rStyle w:val="FootnoteReference"/>
        </w:rPr>
        <w:footnoteReference w:id="233"/>
      </w:r>
      <w:r w:rsidR="00835896" w:rsidRPr="00AD652D">
        <w:t xml:space="preserve"> i.e., without probable cause or reasonable suspicion.</w:t>
      </w:r>
      <w:bookmarkStart w:id="56" w:name="_Ref461891213"/>
      <w:r w:rsidR="00835896" w:rsidRPr="00AD652D">
        <w:rPr>
          <w:rStyle w:val="FootnoteReference"/>
        </w:rPr>
        <w:footnoteReference w:id="234"/>
      </w:r>
      <w:bookmarkEnd w:id="56"/>
      <w:r w:rsidR="00835896" w:rsidRPr="00AD652D">
        <w:t xml:space="preserve">  New York Police Captain Alexander Williams reportedly stated “There is more law in the end of a policeman’s nightstick than in a decision of the Supreme Court.”</w:t>
      </w:r>
      <w:r w:rsidR="00835896" w:rsidRPr="00AD652D">
        <w:rPr>
          <w:rStyle w:val="FootnoteReference"/>
        </w:rPr>
        <w:footnoteReference w:id="235"/>
      </w:r>
      <w:r w:rsidR="00835896" w:rsidRPr="00AD652D">
        <w:t xml:space="preserve"> These factors may explain why police believed they had broad authority to force compliance with what they deemed important rules of conduct.</w:t>
      </w:r>
      <w:r w:rsidR="00EB5D3D">
        <w:rPr>
          <w:rStyle w:val="FootnoteReference"/>
        </w:rPr>
        <w:footnoteReference w:id="236"/>
      </w:r>
      <w:r w:rsidR="00EB5D3D" w:rsidRPr="00AD652D">
        <w:t xml:space="preserve"> </w:t>
      </w:r>
      <w:r w:rsidR="00835896" w:rsidRPr="00AD652D">
        <w:t xml:space="preserve">  If white women </w:t>
      </w:r>
      <w:r w:rsidR="00175BEB">
        <w:t>and</w:t>
      </w:r>
      <w:r w:rsidR="00835896" w:rsidRPr="00AD652D">
        <w:t xml:space="preserve"> girls placed themselves at great and immediate risk by consorting with Chinese, the police had the authority to order them away or arrest them.</w:t>
      </w:r>
      <w:r w:rsidR="008E76E7">
        <w:t xml:space="preserve">  Or, the explanation may be that this was an era when police lawlessness was difficult to control.</w:t>
      </w:r>
    </w:p>
    <w:p w14:paraId="600CE82C" w14:textId="7575E1BD" w:rsidR="000C7719" w:rsidRDefault="000C7719" w:rsidP="00195169">
      <w:pPr>
        <w:spacing w:after="100" w:afterAutospacing="1"/>
        <w:ind w:firstLine="0"/>
      </w:pPr>
      <w:r>
        <w:tab/>
      </w:r>
      <w:r w:rsidR="005B0312">
        <w:t xml:space="preserve">C. </w:t>
      </w:r>
      <w:r>
        <w:t>Discrimination</w:t>
      </w:r>
      <w:r w:rsidR="005B0312">
        <w:t xml:space="preserve"> Against Chinese and Chinese Restaurants</w:t>
      </w:r>
    </w:p>
    <w:p w14:paraId="5535E411" w14:textId="07EBA06B" w:rsidR="005B0312" w:rsidRDefault="005B0312" w:rsidP="000C7719">
      <w:pPr>
        <w:spacing w:after="100" w:afterAutospacing="1"/>
      </w:pPr>
      <w:r>
        <w:tab/>
        <w:t>1. Citizenship Discrimination</w:t>
      </w:r>
    </w:p>
    <w:p w14:paraId="5CA2232D" w14:textId="240BDA1F" w:rsidR="000C7719" w:rsidRPr="00AD652D" w:rsidRDefault="000C7719" w:rsidP="000C7719">
      <w:pPr>
        <w:spacing w:after="100" w:afterAutospacing="1"/>
      </w:pPr>
      <w:r w:rsidRPr="00AD652D">
        <w:t>An easy way to eliminate Asian restauranteurs would have been to require citizenship for licensure</w:t>
      </w:r>
      <w:r w:rsidR="001D18E4">
        <w:t xml:space="preserve"> or employment</w:t>
      </w:r>
      <w:r w:rsidRPr="00AD652D">
        <w:t xml:space="preserve">; as they were ineligible for </w:t>
      </w:r>
      <w:r>
        <w:t xml:space="preserve">naturalized </w:t>
      </w:r>
      <w:r w:rsidRPr="00AD652D">
        <w:t xml:space="preserve">citizenship, this would likely </w:t>
      </w:r>
      <w:r>
        <w:t xml:space="preserve">have been </w:t>
      </w:r>
      <w:r w:rsidRPr="00AD652D">
        <w:t>an insurmountable barrier</w:t>
      </w:r>
      <w:r>
        <w:t xml:space="preserve"> to those not born in the United States</w:t>
      </w:r>
      <w:r w:rsidRPr="00AD652D">
        <w:t>.</w:t>
      </w:r>
      <w:r w:rsidRPr="00AD652D">
        <w:rPr>
          <w:rStyle w:val="FootnoteReference"/>
        </w:rPr>
        <w:footnoteReference w:id="237"/>
      </w:r>
      <w:r w:rsidRPr="00AD652D">
        <w:t xml:space="preserve">  </w:t>
      </w:r>
      <w:r w:rsidR="000F4134">
        <w:t>Fo</w:t>
      </w:r>
      <w:r w:rsidRPr="00AD652D">
        <w:t xml:space="preserve">ur Chinese restaurants </w:t>
      </w:r>
      <w:r w:rsidR="000F4134">
        <w:t xml:space="preserve">in Portland, Oregon </w:t>
      </w:r>
      <w:r w:rsidRPr="00AD652D">
        <w:t>were denied liquor license</w:t>
      </w:r>
      <w:r>
        <w:t>s</w:t>
      </w:r>
      <w:r w:rsidRPr="00AD652D">
        <w:t xml:space="preserve"> on the ground that the owners were “not citizens and under the charter cannot be permitted to sell liquor.”</w:t>
      </w:r>
      <w:bookmarkStart w:id="57" w:name="_Ref461976455"/>
      <w:r w:rsidRPr="00AD652D">
        <w:rPr>
          <w:vertAlign w:val="superscript"/>
        </w:rPr>
        <w:footnoteReference w:id="238"/>
      </w:r>
      <w:bookmarkEnd w:id="57"/>
      <w:r w:rsidRPr="00AD652D">
        <w:t xml:space="preserve">  Newspapers reported that the “Chinese places fought” back, but it was the white-owned Pekin </w:t>
      </w:r>
      <w:r w:rsidR="001D18E4">
        <w:t xml:space="preserve">Restaurant </w:t>
      </w:r>
      <w:r w:rsidRPr="00AD652D">
        <w:t>that challenged the denial.</w:t>
      </w:r>
      <w:r w:rsidRPr="00AD652D">
        <w:rPr>
          <w:vertAlign w:val="superscript"/>
        </w:rPr>
        <w:footnoteReference w:id="239"/>
      </w:r>
      <w:r w:rsidRPr="00AD652D">
        <w:t xml:space="preserve">  </w:t>
      </w:r>
    </w:p>
    <w:p w14:paraId="532C551B" w14:textId="46A941F7" w:rsidR="000C7719" w:rsidRPr="00AD652D" w:rsidRDefault="000C7719" w:rsidP="000C7719">
      <w:pPr>
        <w:spacing w:after="100" w:afterAutospacing="1"/>
        <w:rPr>
          <w:rStyle w:val="stnd1"/>
          <w:rFonts w:ascii="Times New Roman" w:hAnsi="Times New Roman" w:cs="Times New Roman"/>
          <w:sz w:val="24"/>
          <w:szCs w:val="24"/>
        </w:rPr>
      </w:pPr>
      <w:r w:rsidRPr="00AD652D">
        <w:rPr>
          <w:rStyle w:val="stnd1"/>
          <w:rFonts w:ascii="Times New Roman" w:hAnsi="Times New Roman" w:cs="Times New Roman"/>
          <w:sz w:val="24"/>
          <w:szCs w:val="24"/>
        </w:rPr>
        <w:t xml:space="preserve">The media reported several attempts by Chicago officials to </w:t>
      </w:r>
      <w:r w:rsidR="000F4134">
        <w:rPr>
          <w:rStyle w:val="stnd1"/>
          <w:rFonts w:ascii="Times New Roman" w:hAnsi="Times New Roman" w:cs="Times New Roman"/>
          <w:sz w:val="24"/>
          <w:szCs w:val="24"/>
        </w:rPr>
        <w:t>implement</w:t>
      </w:r>
      <w:r w:rsidRPr="00AD652D">
        <w:rPr>
          <w:rStyle w:val="stnd1"/>
          <w:rFonts w:ascii="Times New Roman" w:hAnsi="Times New Roman" w:cs="Times New Roman"/>
          <w:sz w:val="24"/>
          <w:szCs w:val="24"/>
        </w:rPr>
        <w:t xml:space="preserve"> a citizenship requirement outlaw</w:t>
      </w:r>
      <w:r w:rsidR="000F4134">
        <w:rPr>
          <w:rStyle w:val="stnd1"/>
          <w:rFonts w:ascii="Times New Roman" w:hAnsi="Times New Roman" w:cs="Times New Roman"/>
          <w:sz w:val="24"/>
          <w:szCs w:val="24"/>
        </w:rPr>
        <w:t>ing</w:t>
      </w:r>
      <w:r w:rsidRPr="00AD652D">
        <w:rPr>
          <w:rStyle w:val="stnd1"/>
          <w:rFonts w:ascii="Times New Roman" w:hAnsi="Times New Roman" w:cs="Times New Roman"/>
          <w:sz w:val="24"/>
          <w:szCs w:val="24"/>
        </w:rPr>
        <w:t xml:space="preserve"> Chinese restaurants.  In 1906, the City Council considered a bill requiring special licenses of “chop suey” restaurants:</w:t>
      </w:r>
      <w:r w:rsidRPr="00AD652D">
        <w:rPr>
          <w:vertAlign w:val="superscript"/>
        </w:rPr>
        <w:t xml:space="preserve"> </w:t>
      </w:r>
      <w:bookmarkStart w:id="58" w:name="_Ref461977348"/>
      <w:r w:rsidRPr="00AD652D">
        <w:rPr>
          <w:vertAlign w:val="superscript"/>
        </w:rPr>
        <w:footnoteReference w:id="240"/>
      </w:r>
      <w:bookmarkEnd w:id="58"/>
      <w:r w:rsidRPr="00AD652D">
        <w:t xml:space="preserve"> </w:t>
      </w:r>
      <w:r w:rsidRPr="00AD652D">
        <w:rPr>
          <w:rStyle w:val="stnd1"/>
          <w:rFonts w:ascii="Times New Roman" w:hAnsi="Times New Roman" w:cs="Times New Roman"/>
          <w:sz w:val="24"/>
          <w:szCs w:val="24"/>
        </w:rPr>
        <w:t xml:space="preserve"> “</w:t>
      </w:r>
      <w:r w:rsidRPr="00AD652D">
        <w:t>It shall not be lawful for any person to keep, conduct or manage any place in this city where any fruit, ice cream or chop suey is sold . . . unless a license therefor is first obtained.”</w:t>
      </w:r>
      <w:r w:rsidRPr="00AD652D">
        <w:rPr>
          <w:vertAlign w:val="superscript"/>
        </w:rPr>
        <w:t xml:space="preserve"> </w:t>
      </w:r>
      <w:r w:rsidRPr="00AD652D">
        <w:rPr>
          <w:vertAlign w:val="superscript"/>
        </w:rPr>
        <w:footnoteReference w:id="241"/>
      </w:r>
      <w:r w:rsidRPr="00AD652D">
        <w:t xml:space="preserve"> </w:t>
      </w:r>
      <w:r w:rsidR="00C33B1C">
        <w:t>T</w:t>
      </w:r>
      <w:r w:rsidRPr="00AD652D">
        <w:t xml:space="preserve">he </w:t>
      </w:r>
      <w:r w:rsidRPr="00AD652D">
        <w:rPr>
          <w:i/>
        </w:rPr>
        <w:t>Chicago Tribune</w:t>
      </w:r>
      <w:r w:rsidR="00C33B1C">
        <w:t xml:space="preserve"> reported</w:t>
      </w:r>
      <w:r w:rsidRPr="00AD652D">
        <w:t xml:space="preserve"> “[w]hen it was pointed out that the Chinese would be barred permanently as they cannot become citizens,” Alderman Harkin said the city “could get along without any chop suey places.”</w:t>
      </w:r>
      <w:r w:rsidRPr="00AD652D">
        <w:rPr>
          <w:vertAlign w:val="superscript"/>
        </w:rPr>
        <w:footnoteReference w:id="242"/>
      </w:r>
      <w:r w:rsidRPr="00AD652D">
        <w:t xml:space="preserve">  In 1918, it was reported that “Chicago’s Chinese colony was given a severe jolt when it was announced at the city collector’s office that many of them owning chop suey restaurants and other eating places would have to go out of business through inability to obtain licenses.”</w:t>
      </w:r>
      <w:r w:rsidRPr="00AD652D">
        <w:rPr>
          <w:rStyle w:val="FootnoteReference"/>
        </w:rPr>
        <w:footnoteReference w:id="243"/>
      </w:r>
      <w:r w:rsidRPr="00AD652D">
        <w:rPr>
          <w:rStyle w:val="stnd1"/>
          <w:rFonts w:ascii="Times New Roman" w:hAnsi="Times New Roman" w:cs="Times New Roman"/>
          <w:sz w:val="24"/>
          <w:szCs w:val="24"/>
        </w:rPr>
        <w:t xml:space="preserve"> By 1922, the Chicago Municipal Code required those seeking restaurant licenses to have “good character and reputation,” and be “suitable for the purpose,”</w:t>
      </w:r>
      <w:bookmarkStart w:id="59" w:name="_Ref461977357"/>
      <w:r w:rsidRPr="00AD652D">
        <w:rPr>
          <w:rStyle w:val="FootnoteReference"/>
        </w:rPr>
        <w:footnoteReference w:id="244"/>
      </w:r>
      <w:bookmarkEnd w:id="59"/>
      <w:r w:rsidRPr="00AD652D">
        <w:rPr>
          <w:rStyle w:val="stnd1"/>
          <w:rFonts w:ascii="Times New Roman" w:hAnsi="Times New Roman" w:cs="Times New Roman"/>
          <w:sz w:val="24"/>
          <w:szCs w:val="24"/>
        </w:rPr>
        <w:t xml:space="preserve"> leaving ample room for discretion.  But there was no requirement that applicants be citizens.</w:t>
      </w:r>
    </w:p>
    <w:p w14:paraId="66C9CBE4" w14:textId="04F186C5" w:rsidR="000C7719" w:rsidRPr="00AD652D" w:rsidRDefault="000C7719" w:rsidP="000C7719">
      <w:pPr>
        <w:spacing w:after="100" w:afterAutospacing="1"/>
      </w:pPr>
      <w:r w:rsidRPr="00AD652D">
        <w:t xml:space="preserve">Massachusetts legislators proposed to limit victualer’s licenses to citizens.  </w:t>
      </w:r>
      <w:r w:rsidR="00C33B1C">
        <w:t>A</w:t>
      </w:r>
      <w:r w:rsidRPr="00AD652D">
        <w:t xml:space="preserve"> union report explained that “The Chinese question here is indeed a serious one</w:t>
      </w:r>
      <w:r w:rsidR="00C33B1C">
        <w:t>;</w:t>
      </w:r>
      <w:r w:rsidRPr="00AD652D">
        <w:t>”</w:t>
      </w:r>
      <w:bookmarkStart w:id="60" w:name="_Ref461978102"/>
      <w:r w:rsidRPr="00AD652D">
        <w:rPr>
          <w:vertAlign w:val="superscript"/>
        </w:rPr>
        <w:footnoteReference w:id="245"/>
      </w:r>
      <w:bookmarkEnd w:id="60"/>
      <w:r w:rsidRPr="00AD652D">
        <w:t xml:space="preserve"> </w:t>
      </w:r>
      <w:r w:rsidR="00C33B1C">
        <w:t>two months later a bill was</w:t>
      </w:r>
      <w:r w:rsidRPr="00AD652D">
        <w:t xml:space="preserve"> introduced providing that “only persons who are citizens be granted victualers’ licenses.”</w:t>
      </w:r>
      <w:r w:rsidRPr="00AD652D">
        <w:rPr>
          <w:vertAlign w:val="superscript"/>
        </w:rPr>
        <w:footnoteReference w:id="246"/>
      </w:r>
      <w:r w:rsidRPr="00AD652D">
        <w:t xml:space="preserve"> But the legislation failed.</w:t>
      </w:r>
      <w:r w:rsidRPr="00AD652D">
        <w:rPr>
          <w:vertAlign w:val="superscript"/>
        </w:rPr>
        <w:footnoteReference w:id="247"/>
      </w:r>
      <w:r w:rsidRPr="00AD652D">
        <w:t xml:space="preserve">  The </w:t>
      </w:r>
      <w:r w:rsidRPr="00AD652D">
        <w:rPr>
          <w:i/>
        </w:rPr>
        <w:t>Mixer and Server</w:t>
      </w:r>
      <w:r w:rsidR="000F4134" w:rsidRPr="000F4134">
        <w:t xml:space="preserve"> reported</w:t>
      </w:r>
      <w:r w:rsidRPr="00AD652D">
        <w:t xml:space="preserve"> </w:t>
      </w:r>
      <w:r w:rsidR="00C33B1C">
        <w:t xml:space="preserve">that it </w:t>
      </w:r>
      <w:r w:rsidRPr="00AD652D">
        <w:t>“received an unfavorable report from the committee on legal affairs: they claim that the bill aims at Chinese restaurants and as the Chinese are not citizens and cannot become citizens that the bill is unfair.”</w:t>
      </w:r>
      <w:bookmarkStart w:id="61" w:name="_Ref461978111"/>
      <w:r w:rsidRPr="00AD652D">
        <w:rPr>
          <w:vertAlign w:val="superscript"/>
        </w:rPr>
        <w:footnoteReference w:id="248"/>
      </w:r>
      <w:bookmarkEnd w:id="61"/>
      <w:r w:rsidRPr="00AD652D">
        <w:t xml:space="preserve"> </w:t>
      </w:r>
    </w:p>
    <w:p w14:paraId="66C38ED6" w14:textId="141D14B9" w:rsidR="00364289" w:rsidRPr="00AD652D" w:rsidRDefault="00BF259D" w:rsidP="00364289">
      <w:pPr>
        <w:spacing w:after="100" w:afterAutospacing="1"/>
      </w:pPr>
      <w:r>
        <w:t>State l</w:t>
      </w:r>
      <w:r w:rsidR="000C7719" w:rsidRPr="00AD652D">
        <w:t xml:space="preserve">aws requiring citizenship to operate a restaurant were probably doomed.  </w:t>
      </w:r>
      <w:r w:rsidR="000C7719">
        <w:t>As early as 18</w:t>
      </w:r>
      <w:r w:rsidR="000F4134">
        <w:t>8</w:t>
      </w:r>
      <w:r w:rsidR="000C7719">
        <w:t xml:space="preserve">0, </w:t>
      </w:r>
      <w:r w:rsidR="00C33B1C">
        <w:t>a California court</w:t>
      </w:r>
      <w:r w:rsidR="000C7719" w:rsidRPr="00AD652D">
        <w:t xml:space="preserve"> invalidated a statute providing that “[n]o license to transact any business or occupation shall be granted</w:t>
      </w:r>
      <w:r w:rsidR="00C33B1C">
        <w:t xml:space="preserve"> . . . </w:t>
      </w:r>
      <w:r w:rsidR="000C7719" w:rsidRPr="00AD652D">
        <w:t>to any alien not eligible to become an elector.”</w:t>
      </w:r>
      <w:r w:rsidR="000C7719" w:rsidRPr="00AD652D">
        <w:rPr>
          <w:rStyle w:val="FootnoteReference"/>
        </w:rPr>
        <w:footnoteReference w:id="249"/>
      </w:r>
      <w:r w:rsidR="000C7719" w:rsidRPr="00AD652D">
        <w:t xml:space="preserve"> </w:t>
      </w:r>
      <w:r w:rsidR="00364289" w:rsidRPr="00AD652D">
        <w:t xml:space="preserve">In </w:t>
      </w:r>
      <w:r w:rsidR="00364289" w:rsidRPr="002F6DD4">
        <w:rPr>
          <w:i/>
        </w:rPr>
        <w:t>Asakura v. City of Seattle</w:t>
      </w:r>
      <w:r w:rsidR="00364289">
        <w:t>,</w:t>
      </w:r>
      <w:r w:rsidR="00364289">
        <w:rPr>
          <w:rStyle w:val="FootnoteReference"/>
        </w:rPr>
        <w:footnoteReference w:id="250"/>
      </w:r>
      <w:r w:rsidR="00364289">
        <w:t xml:space="preserve"> a</w:t>
      </w:r>
      <w:r w:rsidR="00364289" w:rsidRPr="00AD652D">
        <w:t xml:space="preserve"> </w:t>
      </w:r>
      <w:r w:rsidR="00C33B1C">
        <w:t xml:space="preserve">1924 </w:t>
      </w:r>
      <w:r w:rsidR="00364289" w:rsidRPr="00AD652D">
        <w:t xml:space="preserve">case involving a Japanese immigrant, the Supreme Court invalidated a Seattle ordinance </w:t>
      </w:r>
      <w:r w:rsidR="00C33B1C">
        <w:t>restricting</w:t>
      </w:r>
      <w:r w:rsidR="00364289" w:rsidRPr="00AD652D">
        <w:t xml:space="preserve"> pawnbroker licenses </w:t>
      </w:r>
      <w:r w:rsidR="00C33B1C">
        <w:t xml:space="preserve">to </w:t>
      </w:r>
      <w:r w:rsidR="00364289" w:rsidRPr="00AD652D">
        <w:t>citizens.</w:t>
      </w:r>
    </w:p>
    <w:p w14:paraId="669FD6EC" w14:textId="0565AE07" w:rsidR="000C7719" w:rsidRPr="00AD652D" w:rsidRDefault="000C7719" w:rsidP="000C7719">
      <w:pPr>
        <w:spacing w:after="100" w:afterAutospacing="1"/>
      </w:pPr>
      <w:r w:rsidRPr="00AD652D">
        <w:t>Another method to eliminate Chinese restaurants would have been to prohibit Chinese from working.  In 1914, Arizona enacted the Anti-Alien Employment Act prohibiting businesses from employing more than 20% noncitizens in their workforces.</w:t>
      </w:r>
      <w:r w:rsidRPr="00AD652D">
        <w:rPr>
          <w:vertAlign w:val="superscript"/>
        </w:rPr>
        <w:footnoteReference w:id="251"/>
      </w:r>
      <w:r w:rsidRPr="00AD652D">
        <w:t xml:space="preserve">  Because Chinese restaurants typically employed Asians,</w:t>
      </w:r>
      <w:bookmarkStart w:id="62" w:name="_Ref476408882"/>
      <w:r w:rsidRPr="00AD652D">
        <w:rPr>
          <w:vertAlign w:val="superscript"/>
        </w:rPr>
        <w:footnoteReference w:id="252"/>
      </w:r>
      <w:bookmarkEnd w:id="62"/>
      <w:r w:rsidRPr="00AD652D">
        <w:t xml:space="preserve"> and Asians were racially ineligible to naturalization, the law would likely have compelled the closure of most </w:t>
      </w:r>
      <w:r w:rsidR="00820A52">
        <w:t xml:space="preserve">or all </w:t>
      </w:r>
      <w:r w:rsidRPr="00AD652D">
        <w:t xml:space="preserve">Chinese restaurants.  </w:t>
      </w:r>
      <w:r w:rsidR="001A261B">
        <w:t>T</w:t>
      </w:r>
      <w:r w:rsidRPr="00AD652D">
        <w:t xml:space="preserve">he February, 1914 </w:t>
      </w:r>
      <w:r w:rsidRPr="00AD652D">
        <w:rPr>
          <w:i/>
        </w:rPr>
        <w:t>Mixer and Server</w:t>
      </w:r>
      <w:r w:rsidRPr="00AD652D">
        <w:t xml:space="preserve"> reported that the Cooks’ and Waiters’ Local 631 of Phoenix, Arizona </w:t>
      </w:r>
      <w:r w:rsidR="001A261B">
        <w:t>has</w:t>
      </w:r>
      <w:r w:rsidRPr="00AD652D">
        <w:t xml:space="preserve"> “been able, through their systematic work, to close a few Chinese restaurants, and now have American ones instead.”</w:t>
      </w:r>
      <w:r w:rsidRPr="00AD652D">
        <w:rPr>
          <w:vertAlign w:val="superscript"/>
        </w:rPr>
        <w:footnoteReference w:id="253"/>
      </w:r>
      <w:r w:rsidRPr="00AD652D">
        <w:t xml:space="preserve">  The report predicted that “before long every restaurant in Phoenix will be conducted by white people instead of the Chinks, as has been the custom for many years in Arizona.”</w:t>
      </w:r>
      <w:r w:rsidRPr="00AD652D">
        <w:rPr>
          <w:vertAlign w:val="superscript"/>
        </w:rPr>
        <w:footnoteReference w:id="254"/>
      </w:r>
      <w:r w:rsidRPr="00AD652D">
        <w:t xml:space="preserve"> </w:t>
      </w:r>
    </w:p>
    <w:p w14:paraId="1D05078F" w14:textId="025D7ACD" w:rsidR="000C7719" w:rsidRPr="00AD652D" w:rsidRDefault="000C7719" w:rsidP="000C7719">
      <w:pPr>
        <w:spacing w:after="100" w:afterAutospacing="1"/>
      </w:pPr>
      <w:r w:rsidRPr="00AD652D">
        <w:t xml:space="preserve">Chinese restaurant </w:t>
      </w:r>
      <w:r w:rsidR="001A261B">
        <w:t>workers sued</w:t>
      </w:r>
      <w:r w:rsidRPr="00AD652D">
        <w:rPr>
          <w:rStyle w:val="FootnoteReference"/>
        </w:rPr>
        <w:footnoteReference w:id="255"/>
      </w:r>
      <w:r w:rsidRPr="00AD652D">
        <w:t xml:space="preserve"> but before their case could be heard, a federal court </w:t>
      </w:r>
      <w:r w:rsidR="001A261B">
        <w:t>struck down</w:t>
      </w:r>
      <w:r w:rsidRPr="00AD652D">
        <w:t xml:space="preserve"> </w:t>
      </w:r>
      <w:r w:rsidR="00696585">
        <w:t xml:space="preserve">the statute </w:t>
      </w:r>
      <w:r w:rsidRPr="00AD652D">
        <w:t>based on a suit by an Austrian restaurant worker.</w:t>
      </w:r>
      <w:r w:rsidRPr="00AD652D">
        <w:rPr>
          <w:vertAlign w:val="superscript"/>
        </w:rPr>
        <w:footnoteReference w:id="256"/>
      </w:r>
      <w:r w:rsidRPr="00AD652D">
        <w:t xml:space="preserve">  In a decision upheld by the U.S. Supreme Court, the district judge found that the right to labor was property and that the law </w:t>
      </w:r>
      <w:r w:rsidR="00696585">
        <w:t>violated</w:t>
      </w:r>
      <w:r w:rsidRPr="00AD652D">
        <w:t xml:space="preserve"> equal protection.</w:t>
      </w:r>
      <w:bookmarkStart w:id="63" w:name="_Ref461976665"/>
      <w:r w:rsidRPr="00AD652D">
        <w:rPr>
          <w:vertAlign w:val="superscript"/>
        </w:rPr>
        <w:footnoteReference w:id="257"/>
      </w:r>
      <w:bookmarkEnd w:id="63"/>
      <w:r w:rsidRPr="00AD652D">
        <w:t xml:space="preserve">  The November, 1915 Supreme Court decision presumably invalidated a similar Los Angeles ordinance passed in August, 1915 “designed to do away with the employment of Orientals in saloons and restaurants and give their places to citizens.”</w:t>
      </w:r>
      <w:bookmarkStart w:id="64" w:name="_Ref461977009"/>
      <w:r w:rsidRPr="00AD652D">
        <w:rPr>
          <w:rStyle w:val="FootnoteReference"/>
        </w:rPr>
        <w:footnoteReference w:id="258"/>
      </w:r>
      <w:bookmarkEnd w:id="64"/>
    </w:p>
    <w:p w14:paraId="4C479B66" w14:textId="4A5166D2" w:rsidR="00782F99" w:rsidRPr="002C3B6D" w:rsidRDefault="00653E4D" w:rsidP="008468D1">
      <w:pPr>
        <w:spacing w:after="100" w:afterAutospacing="1"/>
        <w:ind w:firstLine="0"/>
      </w:pPr>
      <w:r w:rsidRPr="002C3B6D">
        <w:t xml:space="preserve">   </w:t>
      </w:r>
      <w:r w:rsidR="00835896" w:rsidRPr="002C3B6D">
        <w:tab/>
      </w:r>
      <w:r w:rsidR="002C3B6D" w:rsidRPr="002C3B6D">
        <w:tab/>
        <w:t xml:space="preserve">2. </w:t>
      </w:r>
      <w:r w:rsidR="00782F99" w:rsidRPr="002C3B6D">
        <w:t xml:space="preserve"> Licensing </w:t>
      </w:r>
      <w:r w:rsidR="002C3B6D" w:rsidRPr="002C3B6D">
        <w:t>Discrimination</w:t>
      </w:r>
    </w:p>
    <w:p w14:paraId="062146A1" w14:textId="428F7A76" w:rsidR="00782F99" w:rsidRPr="00AD652D" w:rsidRDefault="002F4603" w:rsidP="00195169">
      <w:pPr>
        <w:spacing w:after="100" w:afterAutospacing="1"/>
      </w:pPr>
      <w:r>
        <w:t xml:space="preserve">The growth of the regulatory state meant that more activity could be conducted only with the permission of the government.  Just as Chinese laundries were discriminated against, as reflected by </w:t>
      </w:r>
      <w:r w:rsidRPr="005C439F">
        <w:rPr>
          <w:i/>
        </w:rPr>
        <w:t>Yick Wo v. Hopkins</w:t>
      </w:r>
      <w:r w:rsidR="005C439F">
        <w:t>,</w:t>
      </w:r>
      <w:r>
        <w:t xml:space="preserve"> </w:t>
      </w:r>
      <w:r w:rsidR="005C439F">
        <w:t xml:space="preserve">Chinese restaurants were also targeted.  </w:t>
      </w:r>
      <w:r w:rsidR="00782F99" w:rsidRPr="00AD652D">
        <w:t xml:space="preserve">  </w:t>
      </w:r>
    </w:p>
    <w:p w14:paraId="61B4606D" w14:textId="116BC3AC" w:rsidR="00696585" w:rsidRDefault="005C71F8" w:rsidP="00353174">
      <w:pPr>
        <w:spacing w:after="100" w:afterAutospacing="1"/>
      </w:pPr>
      <w:r>
        <w:t>C</w:t>
      </w:r>
      <w:r w:rsidRPr="00AD652D">
        <w:t xml:space="preserve">ourt decisions and newspaper reports </w:t>
      </w:r>
      <w:r>
        <w:t xml:space="preserve">across the country </w:t>
      </w:r>
      <w:r w:rsidRPr="00AD652D">
        <w:t>reflect a policy of denying licenses to Chinese restaurants.</w:t>
      </w:r>
      <w:r w:rsidRPr="00AD652D">
        <w:rPr>
          <w:rStyle w:val="FootnoteReference"/>
        </w:rPr>
        <w:footnoteReference w:id="259"/>
      </w:r>
      <w:r w:rsidRPr="00AD652D">
        <w:t xml:space="preserve">  </w:t>
      </w:r>
      <w:r w:rsidR="00353174" w:rsidRPr="00AD652D">
        <w:t xml:space="preserve">Chicago imposed restrictive zoning.  In 1911, </w:t>
      </w:r>
      <w:r w:rsidR="003F633A">
        <w:t>a</w:t>
      </w:r>
      <w:r w:rsidR="00353174" w:rsidRPr="00AD652D">
        <w:t xml:space="preserve"> </w:t>
      </w:r>
      <w:r w:rsidR="003F633A">
        <w:t>legislator</w:t>
      </w:r>
      <w:r w:rsidR="00353174" w:rsidRPr="00AD652D">
        <w:t xml:space="preserve"> asked the Corporation Counsel </w:t>
      </w:r>
      <w:r w:rsidR="003F633A">
        <w:t>if</w:t>
      </w:r>
      <w:r w:rsidR="00353174" w:rsidRPr="00AD652D">
        <w:t xml:space="preserve"> Chinese restaurants could be excluded from Wabash Avenue. </w:t>
      </w:r>
      <w:r w:rsidR="000260B5">
        <w:t>Counsel</w:t>
      </w:r>
      <w:r w:rsidR="00353174" w:rsidRPr="00AD652D">
        <w:t xml:space="preserve"> opined that “[t]he presumption that opium smoking and gambling will be indulged cannot be raised.”  So long as the proprietors were law-abiding, “there is no warrant in the law of the land which would justify discrimination against the Chinese.  Such is the opinion of the Supreme Court in the celebrated California laundry cases.”</w:t>
      </w:r>
      <w:bookmarkStart w:id="65" w:name="_Ref461977323"/>
      <w:r w:rsidR="00353174" w:rsidRPr="00AD652D">
        <w:rPr>
          <w:vertAlign w:val="superscript"/>
        </w:rPr>
        <w:footnoteReference w:id="260"/>
      </w:r>
      <w:bookmarkEnd w:id="65"/>
      <w:r w:rsidR="00353174" w:rsidRPr="00AD652D">
        <w:t xml:space="preserve">  </w:t>
      </w:r>
    </w:p>
    <w:p w14:paraId="1C0ECE95" w14:textId="6EBBCA54" w:rsidR="00353174" w:rsidRPr="00AD652D" w:rsidRDefault="00353174" w:rsidP="00353174">
      <w:pPr>
        <w:spacing w:after="100" w:afterAutospacing="1"/>
      </w:pPr>
      <w:r w:rsidRPr="00AD652D">
        <w:t>Nevertheless, two weeks later, the City Council voted to order the Commissioner of Public Works and the Commissioner of Buildings “to refuse the issuance of permits for contraction or remodeling of any building or buildings by any Chinaman” in the district near Wabash Avenue and 23d St</w:t>
      </w:r>
      <w:r w:rsidR="00696585">
        <w:t>reet</w:t>
      </w:r>
      <w:r w:rsidRPr="00AD652D">
        <w:t>; the resolution noted that “the Chinese in the city of Chicago are invading said neighborhood,” and their presence “will materially affect and deprecate the value of property in said vicinity.”</w:t>
      </w:r>
      <w:r w:rsidRPr="00AD652D">
        <w:rPr>
          <w:rStyle w:val="FootnoteReference"/>
        </w:rPr>
        <w:footnoteReference w:id="261"/>
      </w:r>
      <w:r w:rsidRPr="00AD652D">
        <w:t xml:space="preserve">  </w:t>
      </w:r>
    </w:p>
    <w:p w14:paraId="22A83AD4" w14:textId="22CB2311" w:rsidR="00CB11B7" w:rsidRDefault="009C1A72" w:rsidP="00CB11B7">
      <w:pPr>
        <w:spacing w:after="100" w:afterAutospacing="1"/>
      </w:pPr>
      <w:r>
        <w:t>In El Paso, a boycott</w:t>
      </w:r>
      <w:r w:rsidR="00CB11B7" w:rsidRPr="00AD652D">
        <w:rPr>
          <w:vertAlign w:val="superscript"/>
        </w:rPr>
        <w:footnoteReference w:id="262"/>
      </w:r>
      <w:r>
        <w:t xml:space="preserve"> bore fruit</w:t>
      </w:r>
      <w:r w:rsidR="006C2E30">
        <w:t xml:space="preserve"> when a number of Chinese r</w:t>
      </w:r>
      <w:r w:rsidR="008D17D4">
        <w:t>e</w:t>
      </w:r>
      <w:r w:rsidR="006C2E30">
        <w:t>staurants closed.</w:t>
      </w:r>
      <w:r w:rsidR="00CB11B7" w:rsidRPr="00AD652D">
        <w:rPr>
          <w:vertAlign w:val="superscript"/>
        </w:rPr>
        <w:footnoteReference w:id="263"/>
      </w:r>
      <w:r w:rsidR="00CB11B7" w:rsidRPr="00AD652D">
        <w:t xml:space="preserve">  </w:t>
      </w:r>
      <w:r w:rsidR="008D17D4">
        <w:t>A</w:t>
      </w:r>
      <w:r w:rsidR="008D17D4" w:rsidRPr="00AD652D">
        <w:t>ccording to the American Federation of Labor’s journal: “</w:t>
      </w:r>
      <w:r w:rsidR="00CB11B7" w:rsidRPr="00AD652D">
        <w:t>There is a clear reason why</w:t>
      </w:r>
      <w:r w:rsidR="003749F0">
        <w:t>”</w:t>
      </w:r>
      <w:r w:rsidR="00CB11B7" w:rsidRPr="00AD652D">
        <w:t xml:space="preserve"> in El Paso in 1915 “six Chinese restaurants [were] replaced by Americans”; </w:t>
      </w:r>
      <w:r w:rsidR="003749F0">
        <w:t>“</w:t>
      </w:r>
      <w:r w:rsidR="00CB11B7" w:rsidRPr="00AD652D">
        <w:t>Union men [were] appointed at the head of five departments in the city.”</w:t>
      </w:r>
      <w:r w:rsidR="00CB11B7" w:rsidRPr="00AD652D">
        <w:rPr>
          <w:vertAlign w:val="superscript"/>
        </w:rPr>
        <w:footnoteReference w:id="264"/>
      </w:r>
      <w:r w:rsidR="00CB11B7" w:rsidRPr="00AD652D">
        <w:t xml:space="preserve">  </w:t>
      </w:r>
      <w:r w:rsidR="003749F0">
        <w:t>I</w:t>
      </w:r>
      <w:r w:rsidR="00CB11B7" w:rsidRPr="00AD652D">
        <w:t>n Brockton, Massachusetts</w:t>
      </w:r>
      <w:r w:rsidR="003749F0">
        <w:t xml:space="preserve">, unions also turned to regulators </w:t>
      </w:r>
      <w:r w:rsidR="00DB0C61">
        <w:t>to oppose the renewal of the licenses of Chinese restaurants.</w:t>
      </w:r>
      <w:r w:rsidR="00DB0C61" w:rsidRPr="00AD652D">
        <w:rPr>
          <w:vertAlign w:val="superscript"/>
        </w:rPr>
        <w:footnoteReference w:id="265"/>
      </w:r>
      <w:r w:rsidR="00CB11B7" w:rsidRPr="00AD652D">
        <w:t xml:space="preserve">  </w:t>
      </w:r>
    </w:p>
    <w:p w14:paraId="459F3E11" w14:textId="3BD7D66B" w:rsidR="00782F99" w:rsidRPr="00AD652D" w:rsidRDefault="002C3B6D" w:rsidP="00CB11B7">
      <w:pPr>
        <w:spacing w:after="100" w:afterAutospacing="1"/>
      </w:pPr>
      <w:r>
        <w:t xml:space="preserve">The courts </w:t>
      </w:r>
      <w:r w:rsidR="00277D04">
        <w:t>also</w:t>
      </w:r>
      <w:r>
        <w:t xml:space="preserve"> </w:t>
      </w:r>
      <w:r w:rsidR="000260B5">
        <w:t>feared</w:t>
      </w:r>
      <w:r>
        <w:t xml:space="preserve"> the moral </w:t>
      </w:r>
      <w:r w:rsidR="000260B5">
        <w:t>qualities</w:t>
      </w:r>
      <w:r>
        <w:t xml:space="preserve"> of Chinese.  </w:t>
      </w:r>
      <w:r w:rsidR="00782F99" w:rsidRPr="00AD652D">
        <w:t>Illustrative is the 1891 rejection of a challenge to the city of Pittsburgh</w:t>
      </w:r>
      <w:r w:rsidR="00661FF5" w:rsidRPr="00AD652D">
        <w:t>’</w:t>
      </w:r>
      <w:r w:rsidR="00782F99" w:rsidRPr="00AD652D">
        <w:t xml:space="preserve">s denial of incorporation to a Chinese club and restaurant.  The court explained that incorporation was only authorized </w:t>
      </w:r>
      <w:r w:rsidR="00661FF5" w:rsidRPr="00AD652D">
        <w:t>“</w:t>
      </w:r>
      <w:r w:rsidR="00782F99" w:rsidRPr="00AD652D">
        <w:t>where there is a worthy object, which cannot well be accomplished without incorporation</w:t>
      </w:r>
      <w:r w:rsidR="00661FF5" w:rsidRPr="00AD652D">
        <w:t>”</w:t>
      </w:r>
      <w:r w:rsidR="00782F99" w:rsidRPr="00AD652D">
        <w:t xml:space="preserve"> and </w:t>
      </w:r>
      <w:r w:rsidR="00661FF5" w:rsidRPr="00AD652D">
        <w:t>“</w:t>
      </w:r>
      <w:r w:rsidR="00D52C4B" w:rsidRPr="00AD652D">
        <w:t>[c]</w:t>
      </w:r>
      <w:r w:rsidR="00782F99" w:rsidRPr="00AD652D">
        <w:t>onsidering who the subscribers are, and the purposes set forth in the articles of association, there would be great danger of the association being perverted to purposes injurious to the community.</w:t>
      </w:r>
      <w:r w:rsidR="00661FF5" w:rsidRPr="00AD652D">
        <w:t>”</w:t>
      </w:r>
      <w:r w:rsidR="00782F99" w:rsidRPr="00AD652D">
        <w:rPr>
          <w:rStyle w:val="FootnoteReference"/>
        </w:rPr>
        <w:footnoteReference w:id="266"/>
      </w:r>
    </w:p>
    <w:p w14:paraId="091CF922" w14:textId="3337D991" w:rsidR="00782F99" w:rsidRPr="00AD652D" w:rsidRDefault="00782F99" w:rsidP="00195169">
      <w:pPr>
        <w:spacing w:after="100" w:afterAutospacing="1"/>
      </w:pPr>
      <w:r w:rsidRPr="00AD652D">
        <w:t xml:space="preserve">Similarly, in 1932 the New Jersey Supreme Court upheld the denial of a </w:t>
      </w:r>
      <w:r w:rsidR="00AD14B5" w:rsidRPr="00AD652D">
        <w:t xml:space="preserve">dance </w:t>
      </w:r>
      <w:r w:rsidRPr="00AD652D">
        <w:t>license to a Chinese restaurant because of the potential corruption of youth:</w:t>
      </w:r>
    </w:p>
    <w:p w14:paraId="6C48C5D7" w14:textId="77777777" w:rsidR="009D06BC" w:rsidRDefault="00782F99" w:rsidP="009D06BC">
      <w:pPr>
        <w:pStyle w:val="NoSpacing"/>
        <w:spacing w:after="100" w:afterAutospacing="1"/>
      </w:pPr>
      <w:r w:rsidRPr="00AD652D">
        <w:t xml:space="preserve">this license for music and dancing was desired by a corporation, some of whose officers were Chinamen </w:t>
      </w:r>
      <w:r w:rsidR="00A978E9">
        <w:t>. . .</w:t>
      </w:r>
      <w:r w:rsidRPr="00AD652D">
        <w:t xml:space="preserve"> with the help entirely Chinese and the active management Chinese</w:t>
      </w:r>
      <w:r w:rsidR="00A978E9">
        <w:t xml:space="preserve"> </w:t>
      </w:r>
      <w:r w:rsidRPr="00AD652D">
        <w:t>.</w:t>
      </w:r>
      <w:r w:rsidR="00A978E9">
        <w:t xml:space="preserve"> . . . </w:t>
      </w:r>
      <w:r w:rsidRPr="00AD652D">
        <w:t>Now bearing in mind that the reason for the refusal to grant the license was, amongst other things, that it was detrimental to the young people of the neighborhood, it certainly cannot be said that there was an abuse of discretion.</w:t>
      </w:r>
      <w:r w:rsidRPr="00AD652D">
        <w:rPr>
          <w:vertAlign w:val="superscript"/>
        </w:rPr>
        <w:footnoteReference w:id="267"/>
      </w:r>
    </w:p>
    <w:p w14:paraId="4E3CD7A5" w14:textId="069FCDF6" w:rsidR="005C71F8" w:rsidRDefault="002C3B6D" w:rsidP="009D06BC">
      <w:pPr>
        <w:pStyle w:val="NoSpacing"/>
        <w:spacing w:after="100" w:afterAutospacing="1"/>
        <w:ind w:left="0"/>
      </w:pPr>
      <w:r>
        <w:t>While the</w:t>
      </w:r>
      <w:r w:rsidR="000260B5">
        <w:t xml:space="preserve"> reported cases</w:t>
      </w:r>
      <w:r>
        <w:t xml:space="preserve"> do not always </w:t>
      </w:r>
      <w:r w:rsidR="000260B5">
        <w:t>reflect</w:t>
      </w:r>
      <w:r>
        <w:t xml:space="preserve"> racial considerations, t</w:t>
      </w:r>
      <w:r w:rsidR="005C71F8" w:rsidRPr="00AD652D">
        <w:t>he</w:t>
      </w:r>
      <w:r w:rsidR="000260B5">
        <w:t>y</w:t>
      </w:r>
      <w:r w:rsidR="005C71F8" w:rsidRPr="00AD652D">
        <w:t xml:space="preserve"> </w:t>
      </w:r>
      <w:r w:rsidR="003F633A">
        <w:t>suggest</w:t>
      </w:r>
      <w:r w:rsidR="005C71F8" w:rsidRPr="00AD652D">
        <w:t xml:space="preserve"> that </w:t>
      </w:r>
      <w:r w:rsidR="003F633A">
        <w:t>a</w:t>
      </w:r>
      <w:r w:rsidR="005C71F8" w:rsidRPr="00AD652D">
        <w:t xml:space="preserve">uthorities had ample power to regulate Chinese restaurants </w:t>
      </w:r>
      <w:r w:rsidR="000260B5">
        <w:t>using</w:t>
      </w:r>
      <w:r w:rsidR="005C71F8" w:rsidRPr="00AD652D">
        <w:t xml:space="preserve"> facially neutral statutes.</w:t>
      </w:r>
      <w:r w:rsidR="005C71F8" w:rsidRPr="00AD652D">
        <w:rPr>
          <w:rStyle w:val="FootnoteReference"/>
        </w:rPr>
        <w:footnoteReference w:id="268"/>
      </w:r>
    </w:p>
    <w:p w14:paraId="1E59D38A" w14:textId="3F52A03E" w:rsidR="00782F99" w:rsidRPr="00AD652D" w:rsidRDefault="00866AAA" w:rsidP="00195169">
      <w:pPr>
        <w:spacing w:after="100" w:afterAutospacing="1"/>
      </w:pPr>
      <w:r>
        <w:t xml:space="preserve">Regulatory boards and </w:t>
      </w:r>
      <w:r w:rsidRPr="00AD652D">
        <w:t xml:space="preserve">commissions </w:t>
      </w:r>
      <w:r>
        <w:t xml:space="preserve">reportedly </w:t>
      </w:r>
      <w:r w:rsidR="00782F99" w:rsidRPr="00AD652D">
        <w:t xml:space="preserve">denied </w:t>
      </w:r>
      <w:r>
        <w:t xml:space="preserve">licenses </w:t>
      </w:r>
      <w:r w:rsidR="00782F99" w:rsidRPr="00AD652D">
        <w:t xml:space="preserve">as a matter of policy.  </w:t>
      </w:r>
      <w:r w:rsidR="00D27793">
        <w:t xml:space="preserve">Los Angeles authorities denied a license to </w:t>
      </w:r>
      <w:r w:rsidR="00782F99" w:rsidRPr="00AD652D">
        <w:t xml:space="preserve">the Hong Kong Restaurant because </w:t>
      </w:r>
      <w:r w:rsidR="00661FF5" w:rsidRPr="00AD652D">
        <w:t>“</w:t>
      </w:r>
      <w:r w:rsidR="00782F99" w:rsidRPr="00AD652D">
        <w:t>serving drinks with meals there [did] not meet the [police] chief</w:t>
      </w:r>
      <w:r w:rsidR="00661FF5" w:rsidRPr="00AD652D">
        <w:t>’</w:t>
      </w:r>
      <w:r w:rsidR="00782F99" w:rsidRPr="00AD652D">
        <w:t>s approbation.</w:t>
      </w:r>
      <w:r w:rsidR="00661FF5" w:rsidRPr="00AD652D">
        <w:t>”</w:t>
      </w:r>
      <w:bookmarkStart w:id="66" w:name="_Ref461976979"/>
      <w:r w:rsidR="00782F99" w:rsidRPr="00AD652D">
        <w:rPr>
          <w:vertAlign w:val="superscript"/>
        </w:rPr>
        <w:footnoteReference w:id="269"/>
      </w:r>
      <w:bookmarkEnd w:id="66"/>
      <w:r w:rsidR="00782F99" w:rsidRPr="00AD652D">
        <w:t xml:space="preserve">  The </w:t>
      </w:r>
      <w:r w:rsidR="00AD14B5" w:rsidRPr="00AD652D">
        <w:rPr>
          <w:i/>
        </w:rPr>
        <w:t>Los Angeles H</w:t>
      </w:r>
      <w:r w:rsidR="005510A3" w:rsidRPr="00AD652D">
        <w:rPr>
          <w:i/>
        </w:rPr>
        <w:t>erald</w:t>
      </w:r>
      <w:r w:rsidR="005510A3" w:rsidRPr="00AD652D">
        <w:t xml:space="preserve"> reported that</w:t>
      </w:r>
      <w:r w:rsidR="00782F99" w:rsidRPr="00AD652D">
        <w:t xml:space="preserve"> </w:t>
      </w:r>
      <w:r w:rsidR="00661FF5" w:rsidRPr="00AD652D">
        <w:t>“</w:t>
      </w:r>
      <w:r w:rsidR="00782F99" w:rsidRPr="00AD652D">
        <w:t>the police are opposed to Chinese chop suey restaurants outside of Chinatown,</w:t>
      </w:r>
      <w:r w:rsidR="00661FF5" w:rsidRPr="00AD652D">
        <w:t>”</w:t>
      </w:r>
      <w:r w:rsidR="00782F99" w:rsidRPr="00AD652D">
        <w:rPr>
          <w:vertAlign w:val="superscript"/>
        </w:rPr>
        <w:footnoteReference w:id="270"/>
      </w:r>
      <w:r w:rsidR="00782F99" w:rsidRPr="00AD652D">
        <w:t xml:space="preserve"> because they have a </w:t>
      </w:r>
      <w:r w:rsidR="00661FF5" w:rsidRPr="00AD652D">
        <w:t>“</w:t>
      </w:r>
      <w:r w:rsidR="00782F99" w:rsidRPr="00AD652D">
        <w:t>tendency to disturb the peace.</w:t>
      </w:r>
      <w:r w:rsidR="00661FF5" w:rsidRPr="00AD652D">
        <w:t>”</w:t>
      </w:r>
      <w:r w:rsidR="00782F99" w:rsidRPr="00AD652D">
        <w:rPr>
          <w:vertAlign w:val="superscript"/>
        </w:rPr>
        <w:footnoteReference w:id="271"/>
      </w:r>
      <w:r w:rsidR="00782F99" w:rsidRPr="00AD652D">
        <w:t xml:space="preserve">  Similarly, the </w:t>
      </w:r>
      <w:r w:rsidR="00782F99" w:rsidRPr="00AD652D">
        <w:rPr>
          <w:i/>
        </w:rPr>
        <w:t>San Francisco Call</w:t>
      </w:r>
      <w:r w:rsidR="00782F99" w:rsidRPr="00AD652D">
        <w:t xml:space="preserve"> reported on the denial of a license to a Chinese restaurant</w:t>
      </w:r>
      <w:r w:rsidR="00E325F4">
        <w:t xml:space="preserve"> in Palo Alto</w:t>
      </w:r>
      <w:r w:rsidR="00782F99" w:rsidRPr="00AD652D">
        <w:t xml:space="preserve">: </w:t>
      </w:r>
      <w:r w:rsidR="00661FF5" w:rsidRPr="00AD652D">
        <w:t>“</w:t>
      </w:r>
      <w:r w:rsidR="00782F99" w:rsidRPr="00AD652D">
        <w:t>There has never been a Chinese business house in Palo Alto and it has been the policy of the citizens to keep such places out at all hazards.</w:t>
      </w:r>
      <w:r w:rsidR="00661FF5" w:rsidRPr="00AD652D">
        <w:t>”</w:t>
      </w:r>
      <w:r w:rsidR="00782F99" w:rsidRPr="00AD652D">
        <w:rPr>
          <w:rStyle w:val="FootnoteReference"/>
        </w:rPr>
        <w:footnoteReference w:id="272"/>
      </w:r>
    </w:p>
    <w:p w14:paraId="00ACAFAC" w14:textId="65264990" w:rsidR="00782F99" w:rsidRDefault="00D27793" w:rsidP="00195169">
      <w:pPr>
        <w:spacing w:after="100" w:afterAutospacing="1"/>
      </w:pPr>
      <w:r>
        <w:t>T</w:t>
      </w:r>
      <w:r w:rsidR="00EE5B81" w:rsidRPr="00AD652D">
        <w:t xml:space="preserve">he </w:t>
      </w:r>
      <w:r w:rsidR="00782F99" w:rsidRPr="00AD652D">
        <w:t xml:space="preserve">Omaha, Missouri </w:t>
      </w:r>
      <w:r w:rsidR="00E325F4">
        <w:t>excise board</w:t>
      </w:r>
      <w:r w:rsidR="00782F99" w:rsidRPr="00AD652D">
        <w:rPr>
          <w:vertAlign w:val="superscript"/>
        </w:rPr>
        <w:footnoteReference w:id="273"/>
      </w:r>
      <w:r w:rsidR="00EE5B81">
        <w:t xml:space="preserve"> </w:t>
      </w:r>
      <w:r w:rsidR="00661FF5" w:rsidRPr="00AD652D">
        <w:t>“</w:t>
      </w:r>
      <w:r w:rsidR="00782F99" w:rsidRPr="00AD652D">
        <w:t>issued an order closing all the chop suey restaurants, and giving as the reason for its action that the public sentiment appeared to be strongly opposed to such places.</w:t>
      </w:r>
      <w:r w:rsidR="00661FF5" w:rsidRPr="00AD652D">
        <w:t>”</w:t>
      </w:r>
      <w:r w:rsidR="00782F99" w:rsidRPr="00AD652D">
        <w:rPr>
          <w:vertAlign w:val="superscript"/>
        </w:rPr>
        <w:footnoteReference w:id="274"/>
      </w:r>
      <w:r w:rsidR="00E325F4">
        <w:t xml:space="preserve">  T</w:t>
      </w:r>
      <w:r w:rsidR="00782F99" w:rsidRPr="00AD652D">
        <w:t xml:space="preserve">he </w:t>
      </w:r>
      <w:r w:rsidR="00782F99" w:rsidRPr="00AD652D">
        <w:rPr>
          <w:i/>
        </w:rPr>
        <w:t>Minneapolis Journal</w:t>
      </w:r>
      <w:r w:rsidR="00782F99" w:rsidRPr="00AD652D">
        <w:t xml:space="preserve"> reported that the liquor license of a Chinese restaurant owner had been revoked. </w:t>
      </w:r>
      <w:r w:rsidR="00661FF5" w:rsidRPr="00AD652D">
        <w:t>“</w:t>
      </w:r>
      <w:r w:rsidR="00782F99" w:rsidRPr="00AD652D">
        <w:t>It is not likely that another license will be granted to a Chinese restaurant keeper as the mayor considers them incapable of handling boisterous, bibulous Americans.</w:t>
      </w:r>
      <w:r w:rsidR="00661FF5" w:rsidRPr="00AD652D">
        <w:t>”</w:t>
      </w:r>
      <w:bookmarkStart w:id="67" w:name="_Ref461978999"/>
      <w:r w:rsidR="00782F99" w:rsidRPr="00AD652D">
        <w:rPr>
          <w:rStyle w:val="FootnoteReference"/>
        </w:rPr>
        <w:footnoteReference w:id="275"/>
      </w:r>
      <w:bookmarkEnd w:id="67"/>
      <w:r w:rsidR="00377EE4">
        <w:t xml:space="preserve">  The Mayor of Moline, Illinois reportedly </w:t>
      </w:r>
      <w:r w:rsidR="00377EE4" w:rsidRPr="00377EE4">
        <w:t>“gave notice that no more chop suey houses would be allowed in Moline in connection with saloons and that the present one would have to close up.”</w:t>
      </w:r>
      <w:r w:rsidR="00377EE4">
        <w:rPr>
          <w:rStyle w:val="FootnoteReference"/>
        </w:rPr>
        <w:footnoteReference w:id="276"/>
      </w:r>
    </w:p>
    <w:p w14:paraId="7BDBFB46" w14:textId="3034E318" w:rsidR="00782F99" w:rsidRPr="00AD652D" w:rsidRDefault="00782F99" w:rsidP="00195169">
      <w:pPr>
        <w:spacing w:after="100" w:afterAutospacing="1"/>
      </w:pPr>
      <w:r w:rsidRPr="00AD652D">
        <w:t xml:space="preserve">In March, 1914, the Massachusetts Commission for the Investigation of White Slave Traffic </w:t>
      </w:r>
      <w:r w:rsidR="00377EE4">
        <w:t xml:space="preserve">issued a damning report after </w:t>
      </w:r>
      <w:r w:rsidRPr="00AD652D">
        <w:t>investigat</w:t>
      </w:r>
      <w:r w:rsidR="00377EE4">
        <w:t>ing</w:t>
      </w:r>
      <w:r w:rsidRPr="00AD652D">
        <w:t xml:space="preserve"> over 500 places, </w:t>
      </w:r>
      <w:r w:rsidR="0014208D" w:rsidRPr="00AD652D">
        <w:t xml:space="preserve">including </w:t>
      </w:r>
      <w:r w:rsidR="002F7367">
        <w:t>many Chinese restaurants;</w:t>
      </w:r>
      <w:r w:rsidRPr="00AD652D">
        <w:rPr>
          <w:vertAlign w:val="superscript"/>
        </w:rPr>
        <w:footnoteReference w:id="277"/>
      </w:r>
      <w:r w:rsidRPr="00AD652D">
        <w:t xml:space="preserve"> </w:t>
      </w:r>
      <w:r w:rsidR="002F7367">
        <w:t>a</w:t>
      </w:r>
      <w:r w:rsidR="0014208D" w:rsidRPr="00AD652D">
        <w:t xml:space="preserve"> series of license denials followed.</w:t>
      </w:r>
      <w:r w:rsidRPr="00AD652D">
        <w:t xml:space="preserve">  Yee Toy of Lynn</w:t>
      </w:r>
      <w:r w:rsidR="0014208D" w:rsidRPr="00AD652D">
        <w:t xml:space="preserve"> was </w:t>
      </w:r>
      <w:r w:rsidR="00C125C9">
        <w:t xml:space="preserve">initially </w:t>
      </w:r>
      <w:r w:rsidR="0014208D" w:rsidRPr="00AD652D">
        <w:t>denied a license</w:t>
      </w:r>
      <w:r w:rsidRPr="00AD652D">
        <w:t>.</w:t>
      </w:r>
      <w:bookmarkStart w:id="68" w:name="_Ref461978078"/>
      <w:r w:rsidRPr="00AD652D">
        <w:rPr>
          <w:vertAlign w:val="superscript"/>
        </w:rPr>
        <w:footnoteReference w:id="278"/>
      </w:r>
      <w:bookmarkEnd w:id="68"/>
      <w:r w:rsidRPr="00AD652D">
        <w:t xml:space="preserve">  The commissioners reasoned that </w:t>
      </w:r>
      <w:r w:rsidR="00661FF5" w:rsidRPr="00AD652D">
        <w:t>“</w:t>
      </w:r>
      <w:r w:rsidRPr="00AD652D">
        <w:t>there should be no more Chinese restaurants in the city and that Chinese restaurants shouldn</w:t>
      </w:r>
      <w:r w:rsidR="00661FF5" w:rsidRPr="00AD652D">
        <w:t>’</w:t>
      </w:r>
      <w:r w:rsidRPr="00AD652D">
        <w:t>t be allowed to compete with those of Americans as they have no interest here.</w:t>
      </w:r>
      <w:r w:rsidR="00661FF5" w:rsidRPr="00AD652D">
        <w:t>”</w:t>
      </w:r>
      <w:r w:rsidRPr="00AD652D">
        <w:rPr>
          <w:vertAlign w:val="superscript"/>
        </w:rPr>
        <w:footnoteReference w:id="279"/>
      </w:r>
      <w:r w:rsidRPr="00AD652D">
        <w:t xml:space="preserve">  Mr. Toy </w:t>
      </w:r>
      <w:r w:rsidR="004D04DC">
        <w:t xml:space="preserve">successfully </w:t>
      </w:r>
      <w:r w:rsidRPr="00AD652D">
        <w:t>requested reconsideration</w:t>
      </w:r>
      <w:r w:rsidR="004D04DC">
        <w:t>, after presenting a</w:t>
      </w:r>
      <w:r w:rsidRPr="00AD652D">
        <w:t xml:space="preserve"> a petition bearing 2</w:t>
      </w:r>
      <w:r w:rsidR="004D04DC">
        <w:t>,</w:t>
      </w:r>
      <w:r w:rsidRPr="00AD652D">
        <w:t>000 names.</w:t>
      </w:r>
      <w:r w:rsidRPr="00AD652D">
        <w:rPr>
          <w:vertAlign w:val="superscript"/>
        </w:rPr>
        <w:footnoteReference w:id="280"/>
      </w:r>
      <w:r w:rsidRPr="00AD652D">
        <w:t xml:space="preserve">  Mr. Toy received his license,</w:t>
      </w:r>
      <w:r w:rsidRPr="00AD652D">
        <w:rPr>
          <w:vertAlign w:val="superscript"/>
        </w:rPr>
        <w:footnoteReference w:id="281"/>
      </w:r>
      <w:r w:rsidRPr="00AD652D">
        <w:t xml:space="preserve"> but the following month, the </w:t>
      </w:r>
      <w:r w:rsidR="002F7367">
        <w:t>p</w:t>
      </w:r>
      <w:r w:rsidRPr="00AD652D">
        <w:t xml:space="preserve">olice charged </w:t>
      </w:r>
      <w:r w:rsidR="002F7367">
        <w:t xml:space="preserve">him </w:t>
      </w:r>
      <w:r w:rsidRPr="00AD652D">
        <w:t xml:space="preserve">with </w:t>
      </w:r>
      <w:r w:rsidR="00661FF5" w:rsidRPr="00AD652D">
        <w:t>“</w:t>
      </w:r>
      <w:r w:rsidRPr="00AD652D">
        <w:t>assuming to be a common victualer.</w:t>
      </w:r>
      <w:r w:rsidR="00661FF5" w:rsidRPr="00AD652D">
        <w:t>”</w:t>
      </w:r>
      <w:r w:rsidRPr="00AD652D">
        <w:rPr>
          <w:vertAlign w:val="superscript"/>
        </w:rPr>
        <w:footnoteReference w:id="282"/>
      </w:r>
      <w:r w:rsidRPr="00AD652D">
        <w:t xml:space="preserve">  </w:t>
      </w:r>
    </w:p>
    <w:p w14:paraId="4143A990" w14:textId="422FAD38" w:rsidR="00782F99" w:rsidRPr="00AD652D" w:rsidRDefault="000260B5" w:rsidP="00195169">
      <w:pPr>
        <w:spacing w:after="100" w:afterAutospacing="1"/>
      </w:pPr>
      <w:r>
        <w:t>T</w:t>
      </w:r>
      <w:r w:rsidR="00782F99" w:rsidRPr="00AD652D">
        <w:t>he Mayor of Malden</w:t>
      </w:r>
      <w:r w:rsidR="00C125C9">
        <w:t>, Massachusetts</w:t>
      </w:r>
      <w:r w:rsidR="00782F99" w:rsidRPr="00AD652D">
        <w:t xml:space="preserve"> refused to sign a license because the restaurant employed no Americans.</w:t>
      </w:r>
      <w:r w:rsidR="00782F99" w:rsidRPr="00AD652D">
        <w:rPr>
          <w:vertAlign w:val="superscript"/>
        </w:rPr>
        <w:footnoteReference w:id="283"/>
      </w:r>
      <w:r w:rsidR="00782F99" w:rsidRPr="00AD652D">
        <w:t xml:space="preserve">  The Supreme Judicial Court </w:t>
      </w:r>
      <w:r w:rsidR="002F7367">
        <w:t>i</w:t>
      </w:r>
      <w:r w:rsidR="00782F99" w:rsidRPr="00AD652D">
        <w:t>ssued a writ of mandamus requiring him to sign.</w:t>
      </w:r>
      <w:r w:rsidR="00782F99" w:rsidRPr="00AD652D">
        <w:rPr>
          <w:vertAlign w:val="superscript"/>
        </w:rPr>
        <w:footnoteReference w:id="284"/>
      </w:r>
      <w:r w:rsidR="00782F99" w:rsidRPr="00AD652D">
        <w:t xml:space="preserve">  In 1918, Charles Shue, one of Boston</w:t>
      </w:r>
      <w:r w:rsidR="00661FF5" w:rsidRPr="00AD652D">
        <w:t>’</w:t>
      </w:r>
      <w:r w:rsidR="00782F99" w:rsidRPr="00AD652D">
        <w:t xml:space="preserve">s </w:t>
      </w:r>
      <w:r w:rsidR="00661FF5" w:rsidRPr="00AD652D">
        <w:t>“</w:t>
      </w:r>
      <w:r w:rsidR="00782F99" w:rsidRPr="00AD652D">
        <w:t>best-known Americanized Chinamen</w:t>
      </w:r>
      <w:r w:rsidR="00661FF5" w:rsidRPr="00AD652D">
        <w:t>”</w:t>
      </w:r>
      <w:r w:rsidR="00782F99" w:rsidRPr="00AD652D">
        <w:t xml:space="preserve"> unsuccessfully applied for a restaurant license</w:t>
      </w:r>
      <w:r w:rsidR="002F7367">
        <w:t>;</w:t>
      </w:r>
      <w:r w:rsidR="00782F99" w:rsidRPr="00AD652D">
        <w:rPr>
          <w:vertAlign w:val="superscript"/>
        </w:rPr>
        <w:footnoteReference w:id="285"/>
      </w:r>
      <w:r w:rsidR="00782F99" w:rsidRPr="00AD652D">
        <w:t xml:space="preserve"> </w:t>
      </w:r>
      <w:r w:rsidR="002F7367">
        <w:t>t</w:t>
      </w:r>
      <w:r w:rsidR="00782F99" w:rsidRPr="00AD652D">
        <w:t>he board decided</w:t>
      </w:r>
      <w:r w:rsidR="00D07BD6" w:rsidRPr="00AD652D">
        <w:t xml:space="preserve"> that</w:t>
      </w:r>
      <w:r w:rsidR="00782F99" w:rsidRPr="00AD652D">
        <w:t xml:space="preserve"> </w:t>
      </w:r>
      <w:r w:rsidR="00661FF5" w:rsidRPr="00AD652D">
        <w:t>“</w:t>
      </w:r>
      <w:r w:rsidR="00D07BD6" w:rsidRPr="00AD652D">
        <w:t>n</w:t>
      </w:r>
      <w:r w:rsidR="00782F99" w:rsidRPr="00AD652D">
        <w:t>o more licenses for Chinese restaurants would be granted.</w:t>
      </w:r>
      <w:r w:rsidR="00661FF5" w:rsidRPr="00AD652D">
        <w:t>”</w:t>
      </w:r>
      <w:bookmarkStart w:id="69" w:name="_Ref461978088"/>
      <w:r w:rsidR="00782F99" w:rsidRPr="00AD652D">
        <w:rPr>
          <w:vertAlign w:val="superscript"/>
        </w:rPr>
        <w:footnoteReference w:id="286"/>
      </w:r>
      <w:bookmarkEnd w:id="69"/>
      <w:r w:rsidR="00782F99" w:rsidRPr="00AD652D">
        <w:t xml:space="preserve"> </w:t>
      </w:r>
    </w:p>
    <w:p w14:paraId="4886B8B8" w14:textId="77777777" w:rsidR="003B535E" w:rsidRPr="003B535E" w:rsidRDefault="003B535E" w:rsidP="00195169">
      <w:pPr>
        <w:spacing w:after="100" w:afterAutospacing="1"/>
      </w:pPr>
      <w:r w:rsidRPr="003B535E">
        <w:tab/>
        <w:t xml:space="preserve">3. Discriminatory </w:t>
      </w:r>
      <w:r w:rsidR="00782F99" w:rsidRPr="003B535E">
        <w:t>Enforcement</w:t>
      </w:r>
    </w:p>
    <w:p w14:paraId="355EB0E3" w14:textId="05C9CB53" w:rsidR="008935E4" w:rsidRPr="00AD652D" w:rsidRDefault="004F1571" w:rsidP="00195169">
      <w:pPr>
        <w:spacing w:after="100" w:afterAutospacing="1"/>
      </w:pPr>
      <w:r w:rsidRPr="00AD652D">
        <w:t xml:space="preserve">To be sure, </w:t>
      </w:r>
      <w:r w:rsidR="008935E4" w:rsidRPr="00AD652D">
        <w:t xml:space="preserve">some misconduct </w:t>
      </w:r>
      <w:r w:rsidR="000944AA">
        <w:t>reported</w:t>
      </w:r>
      <w:r w:rsidR="008935E4" w:rsidRPr="00AD652D">
        <w:t xml:space="preserve"> in Chinese restaurants, or for which Chinese restauranteurs were convicted of crimes, represented actual wrongdoing.  However, </w:t>
      </w:r>
      <w:r w:rsidR="00837773" w:rsidRPr="00AD652D">
        <w:t xml:space="preserve">the special focus </w:t>
      </w:r>
      <w:r w:rsidR="003B535E">
        <w:t xml:space="preserve">of law enforcement </w:t>
      </w:r>
      <w:r w:rsidR="00837773" w:rsidRPr="00AD652D">
        <w:t xml:space="preserve">on Chinese may well have played a part.  </w:t>
      </w:r>
      <w:r w:rsidRPr="00AD652D">
        <w:t xml:space="preserve">There is little reason to believe that Chinese were disproportionately inclined to lawbreaking.  </w:t>
      </w:r>
      <w:r w:rsidR="00837773" w:rsidRPr="00AD652D">
        <w:t>As Davi</w:t>
      </w:r>
      <w:r w:rsidR="00B319DF" w:rsidRPr="00AD652D">
        <w:t>d</w:t>
      </w:r>
      <w:r w:rsidR="00837773" w:rsidRPr="00AD652D">
        <w:t xml:space="preserve"> Harris has </w:t>
      </w:r>
      <w:r w:rsidR="00B40AD6">
        <w:t>observed</w:t>
      </w:r>
      <w:r w:rsidR="00837773" w:rsidRPr="00AD652D">
        <w:t xml:space="preserve">, </w:t>
      </w:r>
      <w:r w:rsidR="00661FF5" w:rsidRPr="00AD652D">
        <w:t>“</w:t>
      </w:r>
      <w:r w:rsidR="00837773" w:rsidRPr="00AD652D">
        <w:t>there is a connection between where police look for [crime] and where they find it.</w:t>
      </w:r>
      <w:r w:rsidR="00661FF5" w:rsidRPr="00AD652D">
        <w:t>”</w:t>
      </w:r>
      <w:r w:rsidR="00837773" w:rsidRPr="00AD652D">
        <w:rPr>
          <w:rStyle w:val="FootnoteReference"/>
        </w:rPr>
        <w:footnoteReference w:id="287"/>
      </w:r>
      <w:r w:rsidRPr="00AD652D">
        <w:t xml:space="preserve"> Thus, the many reports of apparent selective enforcement, or promises to place Chinese restaurants under particular scrutiny</w:t>
      </w:r>
      <w:r w:rsidR="002C030C" w:rsidRPr="00AD652D">
        <w:t>, suggest at least the possibility that Chinese were arrested or deprived of licenses for conduct which would not have led to adverse action if committed by members of other groups.</w:t>
      </w:r>
      <w:r w:rsidRPr="00AD652D">
        <w:t xml:space="preserve">  </w:t>
      </w:r>
    </w:p>
    <w:p w14:paraId="0148A517" w14:textId="59524B89" w:rsidR="005B220A" w:rsidRPr="00AD652D" w:rsidRDefault="00283854" w:rsidP="000944AA">
      <w:pPr>
        <w:spacing w:after="100" w:afterAutospacing="1"/>
      </w:pPr>
      <w:r w:rsidRPr="00AD652D">
        <w:t xml:space="preserve">In 1899, the Boston Police commissioners ordered all Chinese restaurants </w:t>
      </w:r>
      <w:r w:rsidR="00B319DF" w:rsidRPr="00AD652D">
        <w:t>to</w:t>
      </w:r>
      <w:r w:rsidRPr="00AD652D">
        <w:t xml:space="preserve"> close by midnight.</w:t>
      </w:r>
      <w:r w:rsidRPr="00AD652D">
        <w:rPr>
          <w:vertAlign w:val="superscript"/>
        </w:rPr>
        <w:footnoteReference w:id="288"/>
      </w:r>
      <w:r w:rsidRPr="00AD652D">
        <w:t xml:space="preserve"> The </w:t>
      </w:r>
      <w:r w:rsidRPr="00AD652D">
        <w:rPr>
          <w:i/>
        </w:rPr>
        <w:t>Boston Daily Globe</w:t>
      </w:r>
      <w:r w:rsidRPr="00AD652D">
        <w:t xml:space="preserve"> reported that the action was </w:t>
      </w:r>
      <w:r w:rsidR="00661FF5" w:rsidRPr="00AD652D">
        <w:t>“</w:t>
      </w:r>
      <w:r w:rsidRPr="00AD652D">
        <w:t>part of the commissioners plan to drive the Chinese places from Boston.</w:t>
      </w:r>
      <w:r w:rsidR="00661FF5" w:rsidRPr="00AD652D">
        <w:t>”</w:t>
      </w:r>
      <w:bookmarkStart w:id="70" w:name="_Ref461978126"/>
      <w:r w:rsidRPr="00AD652D">
        <w:rPr>
          <w:vertAlign w:val="superscript"/>
        </w:rPr>
        <w:footnoteReference w:id="289"/>
      </w:r>
      <w:bookmarkEnd w:id="70"/>
      <w:r w:rsidRPr="00AD652D">
        <w:t xml:space="preserve"> A month later, the </w:t>
      </w:r>
      <w:r w:rsidRPr="00AD652D">
        <w:rPr>
          <w:i/>
        </w:rPr>
        <w:t>Boston Daily Advertiser</w:t>
      </w:r>
      <w:r w:rsidRPr="00AD652D">
        <w:t xml:space="preserve"> debunked </w:t>
      </w:r>
      <w:r w:rsidR="00661FF5" w:rsidRPr="00AD652D">
        <w:t>“</w:t>
      </w:r>
      <w:r w:rsidRPr="00AD652D">
        <w:t>a rumor, which somehow got about town yesterday, to the effect that the board of police commissioners is seriously considering the question of closing up those Chinese restaurants for good and for all.  It is doubtful whether any power is vested in the board to issue an arbitrary order of that kind.</w:t>
      </w:r>
      <w:r w:rsidR="00661FF5" w:rsidRPr="00AD652D">
        <w:t>”</w:t>
      </w:r>
      <w:r w:rsidRPr="00AD652D">
        <w:rPr>
          <w:vertAlign w:val="superscript"/>
        </w:rPr>
        <w:footnoteReference w:id="290"/>
      </w:r>
      <w:r w:rsidRPr="00AD652D">
        <w:t xml:space="preserve">  However, </w:t>
      </w:r>
      <w:r w:rsidR="00661FF5" w:rsidRPr="00AD652D">
        <w:t>“</w:t>
      </w:r>
      <w:r w:rsidR="002F7367">
        <w:t>[i]</w:t>
      </w:r>
      <w:r w:rsidRPr="00AD652D">
        <w:t>t goes without saying that public morals would be much promoted by shutting them up and keeping them shut.</w:t>
      </w:r>
      <w:r w:rsidR="00661FF5" w:rsidRPr="00AD652D">
        <w:t>”</w:t>
      </w:r>
      <w:r w:rsidRPr="00AD652D">
        <w:rPr>
          <w:vertAlign w:val="superscript"/>
        </w:rPr>
        <w:footnoteReference w:id="291"/>
      </w:r>
      <w:r w:rsidRPr="00AD652D">
        <w:t xml:space="preserve"> </w:t>
      </w:r>
      <w:r w:rsidR="000E7422" w:rsidRPr="00AD652D">
        <w:tab/>
      </w:r>
      <w:r w:rsidR="005B220A" w:rsidRPr="00AD652D">
        <w:t xml:space="preserve"> </w:t>
      </w:r>
    </w:p>
    <w:p w14:paraId="5EBC3AA2" w14:textId="41B488AE" w:rsidR="00782F99" w:rsidRPr="00AD652D" w:rsidRDefault="00583EB7" w:rsidP="00195169">
      <w:pPr>
        <w:spacing w:after="100" w:afterAutospacing="1"/>
      </w:pPr>
      <w:r w:rsidRPr="00AD652D">
        <w:t xml:space="preserve"> </w:t>
      </w:r>
      <w:r w:rsidR="00357091" w:rsidRPr="00AD652D">
        <w:t xml:space="preserve">Chicago </w:t>
      </w:r>
      <w:r w:rsidR="002C030C" w:rsidRPr="00AD652D">
        <w:t>authorities</w:t>
      </w:r>
      <w:r w:rsidR="00357091" w:rsidRPr="00AD652D">
        <w:t xml:space="preserve"> also paid special attention to Chinese restaurants. I</w:t>
      </w:r>
      <w:r w:rsidR="00782F99" w:rsidRPr="00AD652D">
        <w:t xml:space="preserve">n June 1905, the Chicago </w:t>
      </w:r>
      <w:r w:rsidR="00357091" w:rsidRPr="00AD652D">
        <w:t>C</w:t>
      </w:r>
      <w:r w:rsidR="00782F99" w:rsidRPr="00AD652D">
        <w:t xml:space="preserve">ity </w:t>
      </w:r>
      <w:r w:rsidR="00357091" w:rsidRPr="00AD652D">
        <w:t>C</w:t>
      </w:r>
      <w:r w:rsidR="00782F99" w:rsidRPr="00AD652D">
        <w:t>ouncil considered a resolution calling for investigation of Chinese restaurants,</w:t>
      </w:r>
      <w:r w:rsidR="00782F99" w:rsidRPr="00AD652D">
        <w:rPr>
          <w:vertAlign w:val="superscript"/>
        </w:rPr>
        <w:footnoteReference w:id="292"/>
      </w:r>
      <w:r w:rsidR="00782F99" w:rsidRPr="00AD652D">
        <w:t xml:space="preserve"> and by October 1, the restaurants were under investigation by the State Attorney</w:t>
      </w:r>
      <w:r w:rsidR="00661FF5" w:rsidRPr="00AD652D">
        <w:t>’</w:t>
      </w:r>
      <w:r w:rsidR="00782F99" w:rsidRPr="00AD652D">
        <w:t xml:space="preserve">s Office and the </w:t>
      </w:r>
      <w:r w:rsidR="002F7367">
        <w:t>police</w:t>
      </w:r>
      <w:r w:rsidR="00782F99" w:rsidRPr="00AD652D">
        <w:t>.</w:t>
      </w:r>
      <w:bookmarkStart w:id="71" w:name="_Ref476157265"/>
      <w:r w:rsidR="00782F99" w:rsidRPr="00AD652D">
        <w:rPr>
          <w:vertAlign w:val="superscript"/>
        </w:rPr>
        <w:footnoteReference w:id="293"/>
      </w:r>
      <w:bookmarkEnd w:id="71"/>
      <w:r w:rsidR="00782F99" w:rsidRPr="00AD652D">
        <w:t xml:space="preserve">  Officials were concerned about the presence of women during the night.</w:t>
      </w:r>
      <w:r w:rsidR="00782F99" w:rsidRPr="00AD652D">
        <w:rPr>
          <w:vertAlign w:val="superscript"/>
        </w:rPr>
        <w:footnoteReference w:id="294"/>
      </w:r>
      <w:r w:rsidR="00782F99" w:rsidRPr="00AD652D">
        <w:t xml:space="preserve">  They believed that the restaurants had taken the place of wine rooms, which </w:t>
      </w:r>
      <w:r w:rsidR="0019380B" w:rsidRPr="00AD652D">
        <w:t>had been</w:t>
      </w:r>
      <w:r w:rsidR="00782F99" w:rsidRPr="00AD652D">
        <w:t xml:space="preserve"> banned by a previous mayor.</w:t>
      </w:r>
      <w:r w:rsidR="00782F99" w:rsidRPr="00AD652D">
        <w:rPr>
          <w:vertAlign w:val="superscript"/>
        </w:rPr>
        <w:footnoteReference w:id="295"/>
      </w:r>
      <w:r w:rsidR="00782F99" w:rsidRPr="00AD652D">
        <w:t xml:space="preserve"> </w:t>
      </w:r>
      <w:r w:rsidR="002F7367">
        <w:t>T</w:t>
      </w:r>
      <w:r w:rsidR="00782F99" w:rsidRPr="00AD652D">
        <w:t>he wine rooms and the restaurants could serve liquor at all hours</w:t>
      </w:r>
      <w:r w:rsidR="002F7367">
        <w:t>,</w:t>
      </w:r>
      <w:r w:rsidR="00782F99" w:rsidRPr="00AD652D">
        <w:t xml:space="preserve"> while saloons had to close by 1:00 a</w:t>
      </w:r>
      <w:r w:rsidR="003B535E">
        <w:t>.</w:t>
      </w:r>
      <w:r w:rsidR="00782F99" w:rsidRPr="00AD652D">
        <w:t>m.</w:t>
      </w:r>
      <w:r w:rsidR="00782F99" w:rsidRPr="00AD652D">
        <w:rPr>
          <w:vertAlign w:val="superscript"/>
        </w:rPr>
        <w:footnoteReference w:id="296"/>
      </w:r>
    </w:p>
    <w:p w14:paraId="1837314F" w14:textId="42EDE90F" w:rsidR="00752B8A" w:rsidRPr="00AD652D" w:rsidRDefault="00782F99" w:rsidP="00195169">
      <w:pPr>
        <w:spacing w:after="100" w:afterAutospacing="1"/>
      </w:pPr>
      <w:r w:rsidRPr="00AD652D">
        <w:t>Reverend J. E. Copus</w:t>
      </w:r>
      <w:r w:rsidR="0019380B" w:rsidRPr="00AD652D">
        <w:t xml:space="preserve"> reported in</w:t>
      </w:r>
      <w:r w:rsidRPr="00AD652D">
        <w:t xml:space="preserve"> </w:t>
      </w:r>
      <w:r w:rsidR="0019380B" w:rsidRPr="00AD652D">
        <w:t xml:space="preserve">the </w:t>
      </w:r>
      <w:r w:rsidR="0019380B" w:rsidRPr="00AD652D">
        <w:rPr>
          <w:i/>
        </w:rPr>
        <w:t xml:space="preserve">Rosary Magazine </w:t>
      </w:r>
      <w:r w:rsidRPr="00AD652D">
        <w:t xml:space="preserve">that </w:t>
      </w:r>
      <w:r w:rsidR="00661FF5" w:rsidRPr="00AD652D">
        <w:t>“</w:t>
      </w:r>
      <w:r w:rsidR="00EE7586" w:rsidRPr="00AD652D">
        <w:t>[t]</w:t>
      </w:r>
      <w:r w:rsidRPr="00AD652D">
        <w:t xml:space="preserve">he police department has promised to </w:t>
      </w:r>
      <w:r w:rsidR="00661FF5" w:rsidRPr="00AD652D">
        <w:t>‘</w:t>
      </w:r>
      <w:r w:rsidRPr="00AD652D">
        <w:t>get after</w:t>
      </w:r>
      <w:r w:rsidR="00661FF5" w:rsidRPr="00AD652D">
        <w:t>’</w:t>
      </w:r>
      <w:r w:rsidRPr="00AD652D">
        <w:t xml:space="preserve"> the </w:t>
      </w:r>
      <w:r w:rsidR="00661FF5" w:rsidRPr="00AD652D">
        <w:t>‘</w:t>
      </w:r>
      <w:r w:rsidRPr="00AD652D">
        <w:t>chop suey dump.</w:t>
      </w:r>
      <w:r w:rsidR="00661FF5" w:rsidRPr="00AD652D">
        <w:t>’”</w:t>
      </w:r>
      <w:r w:rsidRPr="00AD652D">
        <w:rPr>
          <w:vertAlign w:val="superscript"/>
        </w:rPr>
        <w:footnoteReference w:id="297"/>
      </w:r>
      <w:r w:rsidRPr="00AD652D">
        <w:t xml:space="preserve">  </w:t>
      </w:r>
      <w:r w:rsidR="00490B34">
        <w:t>T</w:t>
      </w:r>
      <w:r w:rsidRPr="00AD652D">
        <w:t xml:space="preserve">he Chicago </w:t>
      </w:r>
      <w:r w:rsidR="00151B47">
        <w:t xml:space="preserve">Police </w:t>
      </w:r>
      <w:r w:rsidRPr="00AD652D">
        <w:t xml:space="preserve">Chief ordered </w:t>
      </w:r>
      <w:r w:rsidR="00661FF5" w:rsidRPr="00AD652D">
        <w:t>“</w:t>
      </w:r>
      <w:r w:rsidRPr="00AD652D">
        <w:t>[r]igid inspections at frequent intervals</w:t>
      </w:r>
      <w:r w:rsidR="00661FF5" w:rsidRPr="00AD652D">
        <w:t>”</w:t>
      </w:r>
      <w:r w:rsidRPr="00AD652D">
        <w:t xml:space="preserve"> of Chinese restaurants and ice cream parlors.</w:t>
      </w:r>
      <w:r w:rsidRPr="00AD652D">
        <w:rPr>
          <w:vertAlign w:val="superscript"/>
        </w:rPr>
        <w:footnoteReference w:id="298"/>
      </w:r>
      <w:r w:rsidRPr="00AD652D">
        <w:t xml:space="preserve">  Furthermore, the chief ordered </w:t>
      </w:r>
      <w:r w:rsidR="00661FF5" w:rsidRPr="00AD652D">
        <w:t>“</w:t>
      </w:r>
      <w:r w:rsidRPr="00AD652D">
        <w:t>the prohibition of young girls or youths after reasonable hours</w:t>
      </w:r>
      <w:r w:rsidR="002F7367">
        <w:t>.</w:t>
      </w:r>
      <w:r w:rsidR="00661FF5" w:rsidRPr="00AD652D">
        <w:t>”</w:t>
      </w:r>
      <w:r w:rsidRPr="00AD652D">
        <w:rPr>
          <w:vertAlign w:val="superscript"/>
        </w:rPr>
        <w:footnoteReference w:id="299"/>
      </w:r>
      <w:r w:rsidRPr="00AD652D">
        <w:t xml:space="preserve">  </w:t>
      </w:r>
      <w:r w:rsidR="00490B34">
        <w:t>A</w:t>
      </w:r>
      <w:r w:rsidRPr="00AD652D">
        <w:t xml:space="preserve"> Chicago Police Lieutenant recommended revocation of the license of a Chinese restaurant for violating </w:t>
      </w:r>
      <w:r w:rsidR="002F7367">
        <w:t>a</w:t>
      </w:r>
      <w:r w:rsidRPr="00AD652D">
        <w:t xml:space="preserve"> midnight closing ordinance.</w:t>
      </w:r>
      <w:bookmarkStart w:id="72" w:name="_Ref461977373"/>
      <w:r w:rsidRPr="00AD652D">
        <w:rPr>
          <w:vertAlign w:val="superscript"/>
        </w:rPr>
        <w:footnoteReference w:id="300"/>
      </w:r>
      <w:bookmarkEnd w:id="72"/>
      <w:r w:rsidRPr="00AD652D">
        <w:t xml:space="preserve">  </w:t>
      </w:r>
      <w:r w:rsidR="00EE7586" w:rsidRPr="00AD652D">
        <w:t xml:space="preserve">The officer promised </w:t>
      </w:r>
      <w:r w:rsidR="00661FF5" w:rsidRPr="00AD652D">
        <w:t>“</w:t>
      </w:r>
      <w:r w:rsidRPr="00AD652D">
        <w:t>a crusade on the many Chinese restaurants in his district</w:t>
      </w:r>
      <w:r w:rsidR="00B63F99" w:rsidRPr="00AD652D">
        <w:t>.</w:t>
      </w:r>
      <w:r w:rsidR="00661FF5" w:rsidRPr="00AD652D">
        <w:t>”</w:t>
      </w:r>
      <w:r w:rsidRPr="00AD652D">
        <w:rPr>
          <w:vertAlign w:val="superscript"/>
        </w:rPr>
        <w:footnoteReference w:id="301"/>
      </w:r>
      <w:r w:rsidRPr="00AD652D">
        <w:t xml:space="preserve"> </w:t>
      </w:r>
      <w:r w:rsidR="00EE7586" w:rsidRPr="00AD652D">
        <w:t xml:space="preserve"> </w:t>
      </w:r>
      <w:r w:rsidR="00752B8A" w:rsidRPr="00AD652D">
        <w:t>In 1909,</w:t>
      </w:r>
      <w:r w:rsidR="003F4A46" w:rsidRPr="00AD652D">
        <w:t xml:space="preserve"> a</w:t>
      </w:r>
      <w:r w:rsidR="00752B8A" w:rsidRPr="00AD652D">
        <w:t xml:space="preserve"> Chicago Police Inspector </w:t>
      </w:r>
      <w:r w:rsidR="003F4A46" w:rsidRPr="00AD652D">
        <w:t xml:space="preserve">noted that </w:t>
      </w:r>
      <w:r w:rsidR="00661FF5" w:rsidRPr="00AD652D">
        <w:t>“</w:t>
      </w:r>
      <w:r w:rsidR="00752B8A" w:rsidRPr="00AD652D">
        <w:t>Young white girls are daily insulted and even attacked by Celestials . . . .</w:t>
      </w:r>
      <w:r w:rsidR="00661FF5" w:rsidRPr="00AD652D">
        <w:t>”</w:t>
      </w:r>
      <w:r w:rsidR="00752B8A" w:rsidRPr="00AD652D">
        <w:rPr>
          <w:vertAlign w:val="superscript"/>
        </w:rPr>
        <w:footnoteReference w:id="302"/>
      </w:r>
      <w:r w:rsidR="00752B8A" w:rsidRPr="00AD652D">
        <w:t xml:space="preserve">  The following year, the Chicago police chief issued a </w:t>
      </w:r>
      <w:r w:rsidR="00661FF5" w:rsidRPr="00AD652D">
        <w:t>“</w:t>
      </w:r>
      <w:r w:rsidR="00752B8A" w:rsidRPr="00AD652D">
        <w:t>special order</w:t>
      </w:r>
      <w:r w:rsidR="00661FF5" w:rsidRPr="00AD652D">
        <w:t>”</w:t>
      </w:r>
      <w:r w:rsidR="00752B8A" w:rsidRPr="00AD652D">
        <w:t xml:space="preserve"> against the sale of liquor in Chinese establishments</w:t>
      </w:r>
      <w:r w:rsidR="003F4A46" w:rsidRPr="00AD652D">
        <w:t>;</w:t>
      </w:r>
      <w:r w:rsidR="00752B8A" w:rsidRPr="00AD652D">
        <w:t xml:space="preserve"> </w:t>
      </w:r>
      <w:r w:rsidR="003F4A46" w:rsidRPr="00AD652D">
        <w:t xml:space="preserve">this </w:t>
      </w:r>
      <w:r w:rsidR="002F7367">
        <w:t>announcement was followed by</w:t>
      </w:r>
      <w:r w:rsidR="00752B8A" w:rsidRPr="00AD652D">
        <w:t xml:space="preserve"> raids.</w:t>
      </w:r>
      <w:r w:rsidR="00752B8A" w:rsidRPr="00AD652D">
        <w:rPr>
          <w:vertAlign w:val="superscript"/>
        </w:rPr>
        <w:footnoteReference w:id="303"/>
      </w:r>
      <w:r w:rsidR="00752B8A" w:rsidRPr="00AD652D">
        <w:t xml:space="preserve"> </w:t>
      </w:r>
    </w:p>
    <w:p w14:paraId="1B244129" w14:textId="43A4F23A" w:rsidR="00B2050F" w:rsidRPr="00AD652D" w:rsidRDefault="00B2050F" w:rsidP="00195169">
      <w:pPr>
        <w:spacing w:after="100" w:afterAutospacing="1"/>
      </w:pPr>
      <w:r w:rsidRPr="00AD652D">
        <w:t xml:space="preserve">The </w:t>
      </w:r>
      <w:r w:rsidR="00EE251D">
        <w:t xml:space="preserve">1909 Elsie </w:t>
      </w:r>
      <w:r w:rsidRPr="00AD652D">
        <w:t xml:space="preserve">Sigel murder </w:t>
      </w:r>
      <w:r w:rsidR="00E437CD" w:rsidRPr="00AD652D">
        <w:t>had continuing effects on policing</w:t>
      </w:r>
      <w:r w:rsidR="00D84407" w:rsidRPr="00AD652D">
        <w:t>.</w:t>
      </w:r>
      <w:r w:rsidRPr="00AD652D">
        <w:rPr>
          <w:vertAlign w:val="superscript"/>
        </w:rPr>
        <w:footnoteReference w:id="304"/>
      </w:r>
      <w:r w:rsidRPr="00AD652D">
        <w:t xml:space="preserve"> </w:t>
      </w:r>
      <w:r w:rsidR="00D84407" w:rsidRPr="00AD652D">
        <w:t>T</w:t>
      </w:r>
      <w:r w:rsidRPr="00AD652D">
        <w:t xml:space="preserve">he St. Louis </w:t>
      </w:r>
      <w:r w:rsidR="00D34518">
        <w:t xml:space="preserve">Police </w:t>
      </w:r>
      <w:r w:rsidRPr="00AD652D">
        <w:t xml:space="preserve">Chief </w:t>
      </w:r>
      <w:r w:rsidR="00E437CD" w:rsidRPr="00AD652D">
        <w:t>stated</w:t>
      </w:r>
      <w:r w:rsidRPr="00AD652D">
        <w:t xml:space="preserve">: </w:t>
      </w:r>
      <w:r w:rsidR="00661FF5" w:rsidRPr="00AD652D">
        <w:t>“</w:t>
      </w:r>
      <w:r w:rsidRPr="00AD652D">
        <w:t>The Chinese chop suey restaurants and Hop Alley will be closely watched by the police of St. Louis, who had their attention called to the Chinese problem in American cities by the murder of Elsie Sigel.</w:t>
      </w:r>
      <w:r w:rsidR="00661FF5" w:rsidRPr="00AD652D">
        <w:t>”</w:t>
      </w:r>
      <w:r w:rsidRPr="00AD652D">
        <w:rPr>
          <w:vertAlign w:val="superscript"/>
        </w:rPr>
        <w:footnoteReference w:id="305"/>
      </w:r>
      <w:r w:rsidRPr="00AD652D">
        <w:t xml:space="preserve">  The Chief explained</w:t>
      </w:r>
      <w:r w:rsidR="00121D77" w:rsidRPr="00AD652D">
        <w:t>:</w:t>
      </w:r>
      <w:r w:rsidRPr="00AD652D">
        <w:t xml:space="preserve"> </w:t>
      </w:r>
    </w:p>
    <w:p w14:paraId="2AD1097C" w14:textId="0BA17C96" w:rsidR="00B2050F" w:rsidRPr="00AD652D" w:rsidRDefault="00B2050F" w:rsidP="00195169">
      <w:pPr>
        <w:pStyle w:val="NoSpacing"/>
        <w:spacing w:after="100" w:afterAutospacing="1"/>
      </w:pPr>
      <w:r w:rsidRPr="00AD652D">
        <w:t>I cannot understand a white women</w:t>
      </w:r>
      <w:r w:rsidR="00661FF5" w:rsidRPr="00AD652D">
        <w:t>’</w:t>
      </w:r>
      <w:r w:rsidRPr="00AD652D">
        <w:t>s desire to go into a Chinese restaurant and eat, but that is a problem for the women herself. We cannot molest her, and the restaurant has the right to stay open and the women the right to go there in preference to a white man</w:t>
      </w:r>
      <w:r w:rsidR="00661FF5" w:rsidRPr="00AD652D">
        <w:t>’</w:t>
      </w:r>
      <w:r w:rsidRPr="00AD652D">
        <w:t>s restaurant if she desires.</w:t>
      </w:r>
    </w:p>
    <w:p w14:paraId="5A454469" w14:textId="6E72DCC1" w:rsidR="00B2050F" w:rsidRPr="00AD652D" w:rsidRDefault="00B2050F" w:rsidP="00195169">
      <w:pPr>
        <w:pStyle w:val="NoSpacing"/>
        <w:spacing w:after="100" w:afterAutospacing="1"/>
      </w:pPr>
      <w:r w:rsidRPr="00AD652D">
        <w:t xml:space="preserve">But we can and will watch these places strictly. </w:t>
      </w:r>
      <w:r w:rsidR="00112E4F" w:rsidRPr="00AD652D">
        <w:t xml:space="preserve"> . . .</w:t>
      </w:r>
    </w:p>
    <w:p w14:paraId="74CCFD3F" w14:textId="77777777" w:rsidR="00B2050F" w:rsidRDefault="00B2050F" w:rsidP="00195169">
      <w:pPr>
        <w:pStyle w:val="NoSpacing"/>
        <w:spacing w:after="100" w:afterAutospacing="1"/>
      </w:pPr>
      <w:r w:rsidRPr="00AD652D">
        <w:t>In my opinion, the immigration laws are too lax. There are too many Chinese of bad character permitted to enter the United States as things are now.</w:t>
      </w:r>
      <w:r w:rsidRPr="00AD652D">
        <w:rPr>
          <w:vertAlign w:val="superscript"/>
        </w:rPr>
        <w:footnoteReference w:id="306"/>
      </w:r>
    </w:p>
    <w:p w14:paraId="259822A5" w14:textId="534532A2" w:rsidR="00151B47" w:rsidRPr="00AD652D" w:rsidRDefault="00151B47" w:rsidP="00151B47">
      <w:pPr>
        <w:pStyle w:val="NoSpacing"/>
        <w:spacing w:after="100" w:afterAutospacing="1"/>
        <w:ind w:left="0"/>
      </w:pPr>
      <w:r>
        <w:t xml:space="preserve">Given his attitude, it would hardly be surprising if police found violations in Chinese restaurants based on facts which would not have led to charges in other </w:t>
      </w:r>
      <w:r w:rsidR="00021D0A">
        <w:t>venues</w:t>
      </w:r>
      <w:r>
        <w:t>.</w:t>
      </w:r>
    </w:p>
    <w:p w14:paraId="4C4C64C2" w14:textId="530FC7B5" w:rsidR="005626AB" w:rsidRPr="00AD652D" w:rsidRDefault="00B706AA" w:rsidP="00195169">
      <w:pPr>
        <w:spacing w:after="100" w:afterAutospacing="1"/>
      </w:pPr>
      <w:r w:rsidRPr="00AD652D">
        <w:t>In 1909, the Chinese restaurants of Detroit were under close watch by the police.</w:t>
      </w:r>
      <w:bookmarkStart w:id="73" w:name="_Ref476157319"/>
      <w:r w:rsidRPr="00AD652D">
        <w:rPr>
          <w:vertAlign w:val="superscript"/>
        </w:rPr>
        <w:footnoteReference w:id="307"/>
      </w:r>
      <w:bookmarkEnd w:id="73"/>
      <w:r w:rsidRPr="00AD652D">
        <w:t xml:space="preserve">  For example, the police </w:t>
      </w:r>
      <w:r w:rsidR="00661FF5" w:rsidRPr="00AD652D">
        <w:t>“</w:t>
      </w:r>
      <w:r w:rsidRPr="00AD652D">
        <w:t>maintain[ed] a sharp lookout</w:t>
      </w:r>
      <w:r w:rsidR="00661FF5" w:rsidRPr="00AD652D">
        <w:t>”</w:t>
      </w:r>
      <w:r w:rsidRPr="00AD652D">
        <w:t xml:space="preserve"> on Sam Lee</w:t>
      </w:r>
      <w:r w:rsidR="00661FF5" w:rsidRPr="00AD652D">
        <w:t>’</w:t>
      </w:r>
      <w:r w:rsidRPr="00AD652D">
        <w:t xml:space="preserve">s restaurant because there were </w:t>
      </w:r>
      <w:r w:rsidR="00661FF5" w:rsidRPr="00AD652D">
        <w:t>“</w:t>
      </w:r>
      <w:r w:rsidRPr="00AD652D">
        <w:t>reports that white men and women have languished in the dark, smutty rooms under the restaurant and lived in the fumes of the opium rather than face the world as it is.</w:t>
      </w:r>
      <w:r w:rsidR="00661FF5" w:rsidRPr="00AD652D">
        <w:t>”</w:t>
      </w:r>
      <w:r w:rsidRPr="00AD652D">
        <w:rPr>
          <w:vertAlign w:val="superscript"/>
        </w:rPr>
        <w:footnoteReference w:id="308"/>
      </w:r>
      <w:r w:rsidRPr="00AD652D">
        <w:t xml:space="preserve">  In 1911, the </w:t>
      </w:r>
      <w:r w:rsidRPr="00AD652D">
        <w:rPr>
          <w:i/>
        </w:rPr>
        <w:t xml:space="preserve">Tulsa World </w:t>
      </w:r>
      <w:r w:rsidRPr="00AD652D">
        <w:t xml:space="preserve">reported, </w:t>
      </w:r>
      <w:r w:rsidR="00661FF5" w:rsidRPr="00AD652D">
        <w:t>“</w:t>
      </w:r>
      <w:r w:rsidRPr="00AD652D">
        <w:t>Two new enforcement officers . . . selected the much raided Chop Suey restaurant . . . for the scene of their first operations.</w:t>
      </w:r>
      <w:r w:rsidR="00661FF5" w:rsidRPr="00AD652D">
        <w:t>”</w:t>
      </w:r>
      <w:r w:rsidRPr="00AD652D">
        <w:rPr>
          <w:vertAlign w:val="superscript"/>
        </w:rPr>
        <w:footnoteReference w:id="309"/>
      </w:r>
      <w:r w:rsidRPr="00AD652D">
        <w:t xml:space="preserve">  In January 1911, a </w:t>
      </w:r>
      <w:r w:rsidRPr="00AD652D">
        <w:rPr>
          <w:i/>
        </w:rPr>
        <w:t xml:space="preserve">Pittsburg Press </w:t>
      </w:r>
      <w:r w:rsidRPr="00AD652D">
        <w:t xml:space="preserve">reported headline reported </w:t>
      </w:r>
      <w:r w:rsidR="00661FF5" w:rsidRPr="00AD652D">
        <w:t>“</w:t>
      </w:r>
      <w:r w:rsidRPr="00AD652D">
        <w:t>Big raid at Greensburg: Crusade against Chop Suey Dens and Foreign Restaurants.</w:t>
      </w:r>
      <w:r w:rsidR="00661FF5" w:rsidRPr="00AD652D">
        <w:t>”</w:t>
      </w:r>
      <w:r w:rsidRPr="00AD652D">
        <w:rPr>
          <w:vertAlign w:val="superscript"/>
        </w:rPr>
        <w:footnoteReference w:id="310"/>
      </w:r>
      <w:r w:rsidR="005626AB" w:rsidRPr="00AD652D">
        <w:t xml:space="preserve">  In Washington, D.C. in 1914, the District Attorney advised officers to pay special attention to </w:t>
      </w:r>
      <w:r w:rsidR="00661FF5" w:rsidRPr="00AD652D">
        <w:t>“</w:t>
      </w:r>
      <w:r w:rsidR="005626AB" w:rsidRPr="00AD652D">
        <w:t>restaurants where liquor is served to women, motion picture theaters, and Chinese restaurants.</w:t>
      </w:r>
      <w:r w:rsidR="00661FF5" w:rsidRPr="00AD652D">
        <w:t>”</w:t>
      </w:r>
      <w:r w:rsidR="005626AB" w:rsidRPr="00AD652D">
        <w:rPr>
          <w:vertAlign w:val="superscript"/>
        </w:rPr>
        <w:footnoteReference w:id="311"/>
      </w:r>
      <w:r w:rsidR="005626AB" w:rsidRPr="00AD652D">
        <w:t xml:space="preserve">  </w:t>
      </w:r>
    </w:p>
    <w:p w14:paraId="24382CC2" w14:textId="29ED6134" w:rsidR="000944AA" w:rsidRDefault="00B2050F" w:rsidP="00021D0A">
      <w:pPr>
        <w:spacing w:after="100" w:afterAutospacing="1"/>
      </w:pPr>
      <w:r w:rsidRPr="00AD652D">
        <w:t xml:space="preserve">In May 1918, in Portland, Oregon the police raided over 65 establishments under the guise of an ordinance prohibiting </w:t>
      </w:r>
      <w:r w:rsidR="00661FF5" w:rsidRPr="00AD652D">
        <w:t>“</w:t>
      </w:r>
      <w:r w:rsidRPr="00AD652D">
        <w:t>barred-doors</w:t>
      </w:r>
      <w:r w:rsidR="00661FF5" w:rsidRPr="00AD652D">
        <w:t>”</w:t>
      </w:r>
      <w:r w:rsidRPr="00AD652D">
        <w:t xml:space="preserve"> — the </w:t>
      </w:r>
      <w:r w:rsidR="00661FF5" w:rsidRPr="00AD652D">
        <w:t>“</w:t>
      </w:r>
      <w:r w:rsidRPr="00AD652D">
        <w:t>victims of the anti-gambling crusade were mostly Chinese.</w:t>
      </w:r>
      <w:r w:rsidR="00661FF5" w:rsidRPr="00AD652D">
        <w:t>”</w:t>
      </w:r>
      <w:r w:rsidRPr="00AD652D">
        <w:rPr>
          <w:vertAlign w:val="superscript"/>
        </w:rPr>
        <w:footnoteReference w:id="312"/>
      </w:r>
      <w:r w:rsidRPr="00AD652D">
        <w:t xml:space="preserve"> </w:t>
      </w:r>
      <w:r w:rsidR="00021D0A">
        <w:t xml:space="preserve">The lawyer for a </w:t>
      </w:r>
      <w:r w:rsidR="00021B73" w:rsidRPr="00AD652D">
        <w:t xml:space="preserve">Portland, Maine, Chinese restaurant </w:t>
      </w:r>
      <w:r w:rsidR="00021D0A">
        <w:t xml:space="preserve">closed by misbehavior by the </w:t>
      </w:r>
      <w:r w:rsidR="00021B73" w:rsidRPr="00AD652D">
        <w:t>soldiers</w:t>
      </w:r>
      <w:r w:rsidR="00021D0A">
        <w:t>, s</w:t>
      </w:r>
      <w:r w:rsidR="00021B73" w:rsidRPr="00AD652D">
        <w:t xml:space="preserve">ailors </w:t>
      </w:r>
      <w:r w:rsidR="00021D0A">
        <w:t xml:space="preserve">and </w:t>
      </w:r>
      <w:r w:rsidR="00021B73" w:rsidRPr="00AD652D">
        <w:t xml:space="preserve">“lewd” women </w:t>
      </w:r>
      <w:r w:rsidR="00021D0A">
        <w:t>who patronized it,</w:t>
      </w:r>
      <w:r w:rsidR="00021B73" w:rsidRPr="00AD652D">
        <w:rPr>
          <w:vertAlign w:val="superscript"/>
        </w:rPr>
        <w:footnoteReference w:id="313"/>
      </w:r>
      <w:r w:rsidR="00021B73" w:rsidRPr="00AD652D">
        <w:t xml:space="preserve"> </w:t>
      </w:r>
      <w:r w:rsidR="00021D0A">
        <w:t>claimed</w:t>
      </w:r>
      <w:r w:rsidR="00021B73" w:rsidRPr="00AD652D">
        <w:t xml:space="preserve"> that closing this restaurant, while ignoring misconduct in others, amounted to racial discrimination.</w:t>
      </w:r>
      <w:r w:rsidR="00021B73" w:rsidRPr="00AD652D">
        <w:rPr>
          <w:vertAlign w:val="superscript"/>
        </w:rPr>
        <w:footnoteReference w:id="314"/>
      </w:r>
      <w:r w:rsidR="00021B73" w:rsidRPr="00AD652D">
        <w:t xml:space="preserve">  </w:t>
      </w:r>
      <w:bookmarkStart w:id="74" w:name="_Toc411027419"/>
      <w:bookmarkStart w:id="75" w:name="_Toc411027952"/>
    </w:p>
    <w:p w14:paraId="714078A7" w14:textId="52D94353" w:rsidR="00A62980" w:rsidRPr="00AD652D" w:rsidRDefault="00A62980" w:rsidP="00A62980">
      <w:pPr>
        <w:spacing w:after="100" w:afterAutospacing="1"/>
        <w:ind w:firstLine="0"/>
      </w:pPr>
      <w:r>
        <w:tab/>
        <w:t xml:space="preserve">In Minneapolis, a facially neutral </w:t>
      </w:r>
      <w:r w:rsidR="00A607C2">
        <w:t>bill</w:t>
      </w:r>
      <w:r>
        <w:t xml:space="preserve"> was amended to facilitate enforcement against Chinese restaurants. </w:t>
      </w:r>
      <w:r w:rsidRPr="00AD652D">
        <w:t>Minneapolis Mayor J.C. Haynes wrote to the City Council</w:t>
      </w:r>
      <w:r>
        <w:t xml:space="preserve">, </w:t>
      </w:r>
      <w:r w:rsidR="00B40AD6">
        <w:t>then</w:t>
      </w:r>
      <w:r w:rsidRPr="00AD652D">
        <w:t xml:space="preserve"> considering an ordinance regulating restaurants and hotels</w:t>
      </w:r>
      <w:r>
        <w:t>, request</w:t>
      </w:r>
      <w:r w:rsidR="00B40AD6">
        <w:t>ing</w:t>
      </w:r>
      <w:r>
        <w:t xml:space="preserve"> that the law include authority to revoke licenses </w:t>
      </w:r>
      <w:r w:rsidRPr="00AD652D">
        <w:t>because of “certain abuses in some of these places, notably certain cafes and so-called chop suey houses.”</w:t>
      </w:r>
      <w:r w:rsidRPr="00AD652D">
        <w:rPr>
          <w:rStyle w:val="FootnoteReference"/>
        </w:rPr>
        <w:footnoteReference w:id="315"/>
      </w:r>
      <w:r w:rsidRPr="00AD652D">
        <w:t xml:space="preserve"> The ordinance as enacted provided that licenses “shall be subject to revocation at any time by the City Council, in its discretion, or by the Mayor.”</w:t>
      </w:r>
      <w:r w:rsidRPr="00AD652D">
        <w:rPr>
          <w:rStyle w:val="FootnoteReference"/>
        </w:rPr>
        <w:footnoteReference w:id="316"/>
      </w:r>
      <w:r w:rsidRPr="00AD652D">
        <w:t xml:space="preserve"> </w:t>
      </w:r>
    </w:p>
    <w:p w14:paraId="6972B1A0" w14:textId="20F5149F" w:rsidR="00D90B97" w:rsidRPr="00AD652D" w:rsidRDefault="000944AA" w:rsidP="000944AA">
      <w:pPr>
        <w:spacing w:after="100" w:afterAutospacing="1"/>
        <w:ind w:firstLine="0"/>
      </w:pPr>
      <w:r>
        <w:tab/>
      </w:r>
      <w:r w:rsidR="00397BE5">
        <w:tab/>
        <w:t>4</w:t>
      </w:r>
      <w:r w:rsidR="00CC377F" w:rsidRPr="00AD652D">
        <w:t xml:space="preserve">. </w:t>
      </w:r>
      <w:r w:rsidR="002F0669" w:rsidRPr="00AD652D">
        <w:t xml:space="preserve">Prohibition of Private </w:t>
      </w:r>
      <w:r w:rsidR="00A44453" w:rsidRPr="00AD652D">
        <w:t>Booths</w:t>
      </w:r>
      <w:bookmarkEnd w:id="74"/>
      <w:bookmarkEnd w:id="75"/>
    </w:p>
    <w:p w14:paraId="6741FBC2" w14:textId="4D5DE635" w:rsidR="00E20197" w:rsidRPr="00AD652D" w:rsidRDefault="00D90B97" w:rsidP="00195169">
      <w:pPr>
        <w:spacing w:after="100" w:afterAutospacing="1"/>
      </w:pPr>
      <w:r w:rsidRPr="00AD652D">
        <w:t>Chinese restaurants in the early decades of the 20</w:t>
      </w:r>
      <w:r w:rsidRPr="00AD652D">
        <w:rPr>
          <w:vertAlign w:val="superscript"/>
        </w:rPr>
        <w:t>th</w:t>
      </w:r>
      <w:r w:rsidRPr="00AD652D">
        <w:t xml:space="preserve"> century typically had private booths</w:t>
      </w:r>
      <w:r w:rsidR="007D14F4">
        <w:t xml:space="preserve"> consisting of small rooms with doors or curtains</w:t>
      </w:r>
      <w:r w:rsidRPr="00AD652D">
        <w:t>.</w:t>
      </w:r>
      <w:bookmarkStart w:id="76" w:name="_Ref476324355"/>
      <w:r w:rsidR="00502874" w:rsidRPr="00AD652D">
        <w:rPr>
          <w:rStyle w:val="FootnoteReference"/>
        </w:rPr>
        <w:footnoteReference w:id="317"/>
      </w:r>
      <w:bookmarkEnd w:id="76"/>
      <w:r w:rsidR="00502874" w:rsidRPr="00AD652D">
        <w:t xml:space="preserve">  A national movement to prohibit booths and private rooms was aimed </w:t>
      </w:r>
      <w:r w:rsidR="0026414F" w:rsidRPr="00AD652D">
        <w:t xml:space="preserve">at least in part </w:t>
      </w:r>
      <w:r w:rsidR="00502874" w:rsidRPr="00AD652D">
        <w:t xml:space="preserve">in part at Chinese restaurants. </w:t>
      </w:r>
      <w:r w:rsidR="00E20197" w:rsidRPr="00AD652D">
        <w:t>The United States Public Health Service published a model ordinance prohibiting booths in restaurants, explaining:</w:t>
      </w:r>
    </w:p>
    <w:p w14:paraId="5A22CFFE" w14:textId="6B6F9269" w:rsidR="00F17F75" w:rsidRPr="00AD652D" w:rsidRDefault="00E20197" w:rsidP="00195169">
      <w:pPr>
        <w:pStyle w:val="NoSpacing"/>
        <w:spacing w:after="100" w:afterAutospacing="1"/>
      </w:pPr>
      <w:r w:rsidRPr="00AD652D">
        <w:t xml:space="preserve">recurring complaint was made that in </w:t>
      </w:r>
      <w:r w:rsidR="00661FF5" w:rsidRPr="00AD652D">
        <w:t>“</w:t>
      </w:r>
      <w:r w:rsidRPr="00AD652D">
        <w:t>chop suey</w:t>
      </w:r>
      <w:r w:rsidR="00661FF5" w:rsidRPr="00AD652D">
        <w:t>”</w:t>
      </w:r>
      <w:r w:rsidRPr="00AD652D">
        <w:t xml:space="preserve"> places and in other types of refreshment places the boxes, partitions, and booths made favorable places of solicitation and operation for pimps and prostitutes.  By requiring the partitions to be removed the entire establishment was thrown open to public gaze and opportunity of unlawful acts destroyed.</w:t>
      </w:r>
      <w:r w:rsidRPr="00AD652D">
        <w:rPr>
          <w:rStyle w:val="FootnoteReference"/>
        </w:rPr>
        <w:footnoteReference w:id="318"/>
      </w:r>
    </w:p>
    <w:p w14:paraId="47F34313" w14:textId="59F2270B" w:rsidR="002F0669" w:rsidRPr="00AD652D" w:rsidRDefault="00497BA0" w:rsidP="00195169">
      <w:pPr>
        <w:spacing w:after="100" w:afterAutospacing="1"/>
        <w:ind w:firstLine="0"/>
      </w:pPr>
      <w:r w:rsidRPr="00AD652D">
        <w:t>A</w:t>
      </w:r>
      <w:r w:rsidR="00B62585" w:rsidRPr="00AD652D">
        <w:t xml:space="preserve">s the Supreme Court has noted, zoning requirements </w:t>
      </w:r>
      <w:r w:rsidR="00702AA3">
        <w:t xml:space="preserve">can </w:t>
      </w:r>
      <w:r w:rsidR="00B62585" w:rsidRPr="00AD652D">
        <w:t xml:space="preserve">impose a </w:t>
      </w:r>
      <w:r w:rsidR="00661FF5" w:rsidRPr="00AD652D">
        <w:t>“</w:t>
      </w:r>
      <w:r w:rsidR="00B62585" w:rsidRPr="00AD652D">
        <w:t>substantial obstacle</w:t>
      </w:r>
      <w:r w:rsidR="00661FF5" w:rsidRPr="00AD652D">
        <w:t>”</w:t>
      </w:r>
      <w:r w:rsidR="00B62585" w:rsidRPr="00AD652D">
        <w:rPr>
          <w:rStyle w:val="FootnoteReference"/>
        </w:rPr>
        <w:footnoteReference w:id="319"/>
      </w:r>
      <w:r w:rsidR="00B62585" w:rsidRPr="00AD652D">
        <w:t xml:space="preserve"> on </w:t>
      </w:r>
      <w:r w:rsidR="00703C67" w:rsidRPr="00AD652D">
        <w:t>disfavored</w:t>
      </w:r>
      <w:r w:rsidR="00B62585" w:rsidRPr="00AD652D">
        <w:t xml:space="preserve"> </w:t>
      </w:r>
      <w:r w:rsidR="00702AA3">
        <w:t>targets</w:t>
      </w:r>
      <w:r w:rsidR="00B62585" w:rsidRPr="00AD652D">
        <w:t>.</w:t>
      </w:r>
      <w:r w:rsidR="00F17F75" w:rsidRPr="00AD652D">
        <w:t xml:space="preserve">  </w:t>
      </w:r>
      <w:r w:rsidR="00703C67" w:rsidRPr="00AD652D">
        <w:t>But a</w:t>
      </w:r>
      <w:r w:rsidRPr="00AD652D">
        <w:t xml:space="preserve">s late as 1971, the Supreme Court was reluctant to invalidate facially neutral laws because of discriminatory motivation.  In </w:t>
      </w:r>
      <w:r w:rsidRPr="00AD652D">
        <w:rPr>
          <w:i/>
        </w:rPr>
        <w:t>Palmer v. Thomson</w:t>
      </w:r>
      <w:r w:rsidRPr="00AD652D">
        <w:t xml:space="preserve">, the majority wrote: </w:t>
      </w:r>
      <w:r w:rsidR="00661FF5" w:rsidRPr="00AD652D">
        <w:t>“</w:t>
      </w:r>
      <w:r w:rsidRPr="00AD652D">
        <w:rPr>
          <w:rFonts w:eastAsia="Times New Roman"/>
        </w:rPr>
        <w:t>no case in this Court has held that a legislative act may violate equal protection solely because of the motivations of the men who voted for it.</w:t>
      </w:r>
      <w:r w:rsidR="00661FF5" w:rsidRPr="00AD652D">
        <w:rPr>
          <w:rFonts w:eastAsia="Times New Roman"/>
        </w:rPr>
        <w:t>”</w:t>
      </w:r>
      <w:r w:rsidRPr="00AD652D">
        <w:rPr>
          <w:rStyle w:val="FootnoteReference"/>
          <w:rFonts w:eastAsia="Times New Roman"/>
        </w:rPr>
        <w:footnoteReference w:id="320"/>
      </w:r>
      <w:r w:rsidRPr="00AD652D">
        <w:rPr>
          <w:rFonts w:eastAsia="Times New Roman"/>
        </w:rPr>
        <w:t xml:space="preserve">  </w:t>
      </w:r>
      <w:r w:rsidR="002F0669" w:rsidRPr="00AD652D">
        <w:t>Accordingly, law</w:t>
      </w:r>
      <w:r w:rsidR="00A4170C">
        <w:t>s</w:t>
      </w:r>
      <w:r w:rsidR="002F0669" w:rsidRPr="00AD652D">
        <w:t xml:space="preserve"> prohibiting booths could be enacted with the frank purpose of disadvantaging Chinese restaurants</w:t>
      </w:r>
      <w:r w:rsidR="00A76B36" w:rsidRPr="00AD652D">
        <w:t xml:space="preserve">. </w:t>
      </w:r>
      <w:r w:rsidR="002F0669" w:rsidRPr="00AD652D">
        <w:t xml:space="preserve"> </w:t>
      </w:r>
      <w:r w:rsidR="00A76B36" w:rsidRPr="00AD652D">
        <w:t>W</w:t>
      </w:r>
      <w:r w:rsidR="002F0669" w:rsidRPr="00AD652D">
        <w:t xml:space="preserve">hile </w:t>
      </w:r>
      <w:r w:rsidR="002F0669" w:rsidRPr="00AD652D">
        <w:rPr>
          <w:i/>
        </w:rPr>
        <w:t>Yick Wo</w:t>
      </w:r>
      <w:r w:rsidR="002F0669" w:rsidRPr="00AD652D">
        <w:t xml:space="preserve"> prohibited discriminatory enforcement, those targeted would have to prove </w:t>
      </w:r>
      <w:r w:rsidR="00703C67" w:rsidRPr="00AD652D">
        <w:t>governmental misconduct</w:t>
      </w:r>
      <w:r w:rsidR="002F0669" w:rsidRPr="00AD652D">
        <w:t>.</w:t>
      </w:r>
      <w:r w:rsidR="00F52B79" w:rsidRPr="00AD652D">
        <w:rPr>
          <w:rStyle w:val="FootnoteReference"/>
        </w:rPr>
        <w:footnoteReference w:id="321"/>
      </w:r>
    </w:p>
    <w:p w14:paraId="02992C23" w14:textId="77777777" w:rsidR="002928CB" w:rsidRDefault="002F0669" w:rsidP="00296033">
      <w:pPr>
        <w:spacing w:after="100" w:afterAutospacing="1"/>
        <w:ind w:firstLine="0"/>
      </w:pPr>
      <w:r w:rsidRPr="00AD652D">
        <w:t xml:space="preserve"> </w:t>
      </w:r>
      <w:r w:rsidR="00132166" w:rsidRPr="00AD652D">
        <w:tab/>
      </w:r>
      <w:r w:rsidR="00D51340">
        <w:t xml:space="preserve">Ogden, Utah saw </w:t>
      </w:r>
      <w:r w:rsidR="007F0C33" w:rsidRPr="00AD652D">
        <w:t>a prolonged battle against Chinese restaurants and repeated tests of prohibitions on booths</w:t>
      </w:r>
      <w:r w:rsidR="00702AA3">
        <w:t>;</w:t>
      </w:r>
      <w:r w:rsidR="007F0C33" w:rsidRPr="00AD652D">
        <w:t xml:space="preserve"> </w:t>
      </w:r>
      <w:r w:rsidR="00702AA3">
        <w:t>a</w:t>
      </w:r>
      <w:r w:rsidR="007F0C33" w:rsidRPr="00AD652D">
        <w:t xml:space="preserve"> version of the prohibition ultimately sustained </w:t>
      </w:r>
      <w:r w:rsidR="00702AA3">
        <w:t>remains in force</w:t>
      </w:r>
      <w:r w:rsidR="007F0C33" w:rsidRPr="00AD652D">
        <w:t>.</w:t>
      </w:r>
      <w:r w:rsidR="007F0C33" w:rsidRPr="00AD652D">
        <w:rPr>
          <w:rStyle w:val="FootnoteReference"/>
        </w:rPr>
        <w:footnoteReference w:id="322"/>
      </w:r>
      <w:r w:rsidR="007F0C33" w:rsidRPr="00AD652D">
        <w:t xml:space="preserve"> </w:t>
      </w:r>
      <w:r w:rsidR="00A44453" w:rsidRPr="00AD652D">
        <w:t xml:space="preserve">An April 4, 1902 article in the </w:t>
      </w:r>
      <w:r w:rsidR="00A44453" w:rsidRPr="00AD652D">
        <w:rPr>
          <w:i/>
        </w:rPr>
        <w:t>Ogden Standard</w:t>
      </w:r>
      <w:r w:rsidR="00A44453" w:rsidRPr="00AD652D">
        <w:t xml:space="preserve"> </w:t>
      </w:r>
      <w:r w:rsidR="00690507" w:rsidRPr="00AD652D">
        <w:t xml:space="preserve">reported </w:t>
      </w:r>
      <w:r w:rsidR="00A44453" w:rsidRPr="00AD652D">
        <w:t xml:space="preserve">that for </w:t>
      </w:r>
      <w:r w:rsidR="00661FF5" w:rsidRPr="00AD652D">
        <w:t>“</w:t>
      </w:r>
      <w:r w:rsidR="00A44453" w:rsidRPr="00AD652D">
        <w:t>some years past it has been difficult for the restaurants, owned by white men and in which none but white employes [sic] is hired to make enough profit.</w:t>
      </w:r>
      <w:r w:rsidR="00661FF5" w:rsidRPr="00AD652D">
        <w:t>”</w:t>
      </w:r>
      <w:r w:rsidR="00A44453" w:rsidRPr="00AD652D">
        <w:rPr>
          <w:rStyle w:val="FootnoteReference"/>
        </w:rPr>
        <w:footnoteReference w:id="323"/>
      </w:r>
      <w:r w:rsidR="00A44453" w:rsidRPr="00AD652D">
        <w:t xml:space="preserve"> </w:t>
      </w:r>
      <w:r w:rsidR="00DD5072" w:rsidRPr="00AD652D">
        <w:t>T</w:t>
      </w:r>
      <w:r w:rsidR="00A44453" w:rsidRPr="00AD652D">
        <w:t>here were four Chinese restaurants in the city, but the article warned that more were coming</w:t>
      </w:r>
      <w:r w:rsidR="002928CB">
        <w:t>.</w:t>
      </w:r>
      <w:r w:rsidR="00A44453" w:rsidRPr="00AD652D">
        <w:rPr>
          <w:rStyle w:val="FootnoteReference"/>
        </w:rPr>
        <w:footnoteReference w:id="324"/>
      </w:r>
      <w:r w:rsidR="00A44453" w:rsidRPr="00AD652D">
        <w:t xml:space="preserve">  </w:t>
      </w:r>
      <w:r w:rsidR="00D51340">
        <w:t>T</w:t>
      </w:r>
      <w:r w:rsidR="00A44453" w:rsidRPr="00AD652D">
        <w:t>he hotel and restaurant employees organized</w:t>
      </w:r>
      <w:r w:rsidR="00D51340">
        <w:t>,</w:t>
      </w:r>
      <w:r w:rsidR="00A44453" w:rsidRPr="00AD652D">
        <w:t xml:space="preserve"> </w:t>
      </w:r>
      <w:r w:rsidR="0067046C" w:rsidRPr="00AD652D">
        <w:t>hoping</w:t>
      </w:r>
      <w:r w:rsidR="00A44453" w:rsidRPr="00AD652D">
        <w:t xml:space="preserve"> </w:t>
      </w:r>
      <w:r w:rsidR="00661FF5" w:rsidRPr="00AD652D">
        <w:t>“</w:t>
      </w:r>
      <w:r w:rsidR="00A607C2">
        <w:t xml:space="preserve">that </w:t>
      </w:r>
      <w:r w:rsidR="00A44453" w:rsidRPr="00AD652D">
        <w:t>more of the laborers patronage will be turned to the restaurants owned by white men and employing white help.</w:t>
      </w:r>
      <w:r w:rsidR="00661FF5" w:rsidRPr="00AD652D">
        <w:t>”</w:t>
      </w:r>
      <w:r w:rsidR="00A44453" w:rsidRPr="00AD652D">
        <w:rPr>
          <w:rStyle w:val="FootnoteReference"/>
        </w:rPr>
        <w:footnoteReference w:id="325"/>
      </w:r>
      <w:r w:rsidR="00A44453" w:rsidRPr="00AD652D">
        <w:t xml:space="preserve">  </w:t>
      </w:r>
      <w:r w:rsidR="00372C38">
        <w:t>T</w:t>
      </w:r>
      <w:r w:rsidR="00DD5072" w:rsidRPr="00AD652D">
        <w:t>he</w:t>
      </w:r>
      <w:r w:rsidR="00A44453" w:rsidRPr="00AD652D">
        <w:t xml:space="preserve"> Central Trades and Labor Council declared </w:t>
      </w:r>
      <w:r w:rsidR="00D678C2">
        <w:t>a boycott,</w:t>
      </w:r>
      <w:r w:rsidR="00A44453" w:rsidRPr="00AD652D">
        <w:rPr>
          <w:rStyle w:val="FootnoteReference"/>
        </w:rPr>
        <w:footnoteReference w:id="326"/>
      </w:r>
      <w:r w:rsidR="00EF2BFC" w:rsidRPr="00AD652D">
        <w:t xml:space="preserve"> </w:t>
      </w:r>
      <w:r w:rsidR="00D678C2">
        <w:t xml:space="preserve">and </w:t>
      </w:r>
      <w:r w:rsidR="00283F26" w:rsidRPr="00AD652D">
        <w:t>asked</w:t>
      </w:r>
      <w:r w:rsidR="00A44453" w:rsidRPr="00AD652D">
        <w:t xml:space="preserve"> the City Council to </w:t>
      </w:r>
      <w:r w:rsidR="00661FF5" w:rsidRPr="00AD652D">
        <w:t>“</w:t>
      </w:r>
      <w:r w:rsidR="00A44453" w:rsidRPr="00AD652D">
        <w:t>prohibit girls under 18 years of age from going to these places and asks the Council to abolish the wineroom system in vogue in such places.</w:t>
      </w:r>
      <w:r w:rsidR="00661FF5" w:rsidRPr="00AD652D">
        <w:t>”</w:t>
      </w:r>
      <w:r w:rsidR="00A44453" w:rsidRPr="00AD652D">
        <w:rPr>
          <w:rStyle w:val="FootnoteReference"/>
        </w:rPr>
        <w:footnoteReference w:id="327"/>
      </w:r>
      <w:r w:rsidR="00A44453" w:rsidRPr="00AD652D">
        <w:t xml:space="preserve">  </w:t>
      </w:r>
    </w:p>
    <w:p w14:paraId="1CD1999F" w14:textId="0CDA6FC6" w:rsidR="00EF2BFC" w:rsidRPr="00AD652D" w:rsidRDefault="002928CB" w:rsidP="00296033">
      <w:pPr>
        <w:spacing w:after="100" w:afterAutospacing="1"/>
        <w:ind w:firstLine="0"/>
      </w:pPr>
      <w:r>
        <w:tab/>
      </w:r>
      <w:r w:rsidR="00EF2BFC" w:rsidRPr="00AD652D">
        <w:t>T</w:t>
      </w:r>
      <w:r w:rsidR="00A44453" w:rsidRPr="00AD652D">
        <w:t xml:space="preserve">he booth ordinance </w:t>
      </w:r>
      <w:r w:rsidR="00546DE4" w:rsidRPr="00AD652D">
        <w:t xml:space="preserve">was passed, and it was predicted that it </w:t>
      </w:r>
      <w:r w:rsidR="00A44453" w:rsidRPr="00AD652D">
        <w:t xml:space="preserve">would require remodeling of a </w:t>
      </w:r>
      <w:r w:rsidR="00661FF5" w:rsidRPr="00AD652D">
        <w:t>“</w:t>
      </w:r>
      <w:r w:rsidR="00A44453" w:rsidRPr="00AD652D">
        <w:t>dozen . . .  Chinese restauran</w:t>
      </w:r>
      <w:r w:rsidR="00EF2BFC" w:rsidRPr="00AD652D">
        <w:t>ts on Twenty-fifth street alone</w:t>
      </w:r>
      <w:r w:rsidR="00546DE4" w:rsidRPr="00AD652D">
        <w:t>.</w:t>
      </w:r>
      <w:r w:rsidR="00661FF5" w:rsidRPr="00AD652D">
        <w:t>”</w:t>
      </w:r>
      <w:r w:rsidR="00A44453" w:rsidRPr="00AD652D">
        <w:rPr>
          <w:rStyle w:val="FootnoteReference"/>
        </w:rPr>
        <w:footnoteReference w:id="328"/>
      </w:r>
      <w:r w:rsidR="00A44453" w:rsidRPr="00AD652D">
        <w:t xml:space="preserve"> </w:t>
      </w:r>
      <w:r w:rsidR="005A0644" w:rsidRPr="00AD652D">
        <w:t>T</w:t>
      </w:r>
      <w:r w:rsidR="00A44453" w:rsidRPr="00AD652D">
        <w:t xml:space="preserve">he </w:t>
      </w:r>
      <w:r w:rsidR="00564B2A" w:rsidRPr="00AD652D">
        <w:rPr>
          <w:i/>
        </w:rPr>
        <w:t>Salt Lake Tribune</w:t>
      </w:r>
      <w:r w:rsidR="00A44453" w:rsidRPr="00AD652D">
        <w:t xml:space="preserve"> </w:t>
      </w:r>
      <w:r w:rsidR="005A0644" w:rsidRPr="00AD652D">
        <w:t xml:space="preserve">reported that </w:t>
      </w:r>
      <w:r w:rsidR="00A44453" w:rsidRPr="00AD652D">
        <w:t>the ordinance</w:t>
      </w:r>
      <w:r w:rsidR="00EF2BFC" w:rsidRPr="00AD652D">
        <w:t xml:space="preserve"> was</w:t>
      </w:r>
      <w:r w:rsidR="00A44453" w:rsidRPr="00AD652D">
        <w:t xml:space="preserve"> </w:t>
      </w:r>
      <w:r w:rsidR="00661FF5" w:rsidRPr="00AD652D">
        <w:t>“</w:t>
      </w:r>
      <w:r w:rsidR="00A44453" w:rsidRPr="00AD652D">
        <w:t>aimed at Chinese restaurants, as it appears, they were the only ones called upon to comply with the law.</w:t>
      </w:r>
      <w:r w:rsidR="00661FF5" w:rsidRPr="00AD652D">
        <w:t>”</w:t>
      </w:r>
      <w:r w:rsidR="00A44453" w:rsidRPr="00AD652D">
        <w:rPr>
          <w:rStyle w:val="FootnoteReference"/>
        </w:rPr>
        <w:footnoteReference w:id="329"/>
      </w:r>
      <w:r w:rsidR="00A44453" w:rsidRPr="00AD652D">
        <w:t xml:space="preserve">  On June 1, 1903, the</w:t>
      </w:r>
      <w:r w:rsidR="00A44453" w:rsidRPr="00AD652D">
        <w:rPr>
          <w:i/>
        </w:rPr>
        <w:t xml:space="preserve"> Salt Lake Herald </w:t>
      </w:r>
      <w:r w:rsidR="00A44453" w:rsidRPr="00AD652D">
        <w:t>reported that Ogden</w:t>
      </w:r>
      <w:r w:rsidR="00661FF5" w:rsidRPr="00AD652D">
        <w:t>’</w:t>
      </w:r>
      <w:r w:rsidR="00A44453" w:rsidRPr="00AD652D">
        <w:t xml:space="preserve">s Chinese restaurants were </w:t>
      </w:r>
      <w:r w:rsidR="00661FF5" w:rsidRPr="00AD652D">
        <w:t>“</w:t>
      </w:r>
      <w:r w:rsidR="00A44453" w:rsidRPr="00AD652D">
        <w:t>hard to kill off</w:t>
      </w:r>
      <w:r w:rsidR="00661FF5" w:rsidRPr="00AD652D">
        <w:t>”</w:t>
      </w:r>
      <w:r w:rsidR="00A44453" w:rsidRPr="00AD652D">
        <w:t xml:space="preserve"> and </w:t>
      </w:r>
      <w:r w:rsidR="00661FF5" w:rsidRPr="00AD652D">
        <w:t>“</w:t>
      </w:r>
      <w:r w:rsidR="00A44453" w:rsidRPr="00AD652D">
        <w:t>thriving in spite of opposition.</w:t>
      </w:r>
      <w:r w:rsidR="00661FF5" w:rsidRPr="00AD652D">
        <w:t>”</w:t>
      </w:r>
      <w:r w:rsidR="00A44453" w:rsidRPr="00AD652D">
        <w:rPr>
          <w:rStyle w:val="FootnoteReference"/>
        </w:rPr>
        <w:footnoteReference w:id="330"/>
      </w:r>
      <w:r w:rsidR="00A44453" w:rsidRPr="00AD652D">
        <w:t xml:space="preserve">  </w:t>
      </w:r>
      <w:r w:rsidR="00AB651B">
        <w:t>I</w:t>
      </w:r>
      <w:r w:rsidR="00EF2BFC" w:rsidRPr="00AD652D">
        <w:t>n</w:t>
      </w:r>
      <w:r w:rsidR="00A44453" w:rsidRPr="00AD652D">
        <w:t xml:space="preserve"> March, 1904</w:t>
      </w:r>
      <w:r w:rsidR="00E57385" w:rsidRPr="00AD652D">
        <w:t>,</w:t>
      </w:r>
      <w:r w:rsidR="00EF2BFC" w:rsidRPr="00AD652D">
        <w:t xml:space="preserve"> </w:t>
      </w:r>
      <w:r w:rsidR="00A44453" w:rsidRPr="00AD652D">
        <w:t xml:space="preserve">Judge Rolapp of the District Court declared the booth ordinance </w:t>
      </w:r>
      <w:r w:rsidR="00D510DE" w:rsidRPr="00AD652D">
        <w:t>invalid</w:t>
      </w:r>
      <w:r w:rsidR="00A44453" w:rsidRPr="00AD652D">
        <w:t>.</w:t>
      </w:r>
      <w:r w:rsidR="00A44453" w:rsidRPr="00AD652D">
        <w:rPr>
          <w:rStyle w:val="FootnoteReference"/>
        </w:rPr>
        <w:footnoteReference w:id="331"/>
      </w:r>
      <w:r w:rsidR="00A44453" w:rsidRPr="00AD652D">
        <w:t xml:space="preserve"> </w:t>
      </w:r>
      <w:r w:rsidR="00EF2BFC" w:rsidRPr="00AD652D">
        <w:t xml:space="preserve"> </w:t>
      </w:r>
    </w:p>
    <w:p w14:paraId="0835066C" w14:textId="6BF6E0AF" w:rsidR="000532B4" w:rsidRPr="00AD652D" w:rsidRDefault="00CE59AD" w:rsidP="00195169">
      <w:pPr>
        <w:spacing w:after="100" w:afterAutospacing="1"/>
      </w:pPr>
      <w:r>
        <w:t xml:space="preserve">But the controversy did not end.  The </w:t>
      </w:r>
      <w:r w:rsidR="00A44453" w:rsidRPr="00AD652D">
        <w:rPr>
          <w:i/>
        </w:rPr>
        <w:t xml:space="preserve">Ogden Standard Examiner </w:t>
      </w:r>
      <w:r w:rsidR="007D14F4">
        <w:t>continued to warn</w:t>
      </w:r>
      <w:r w:rsidR="00A44453" w:rsidRPr="00AD652D">
        <w:t xml:space="preserve"> </w:t>
      </w:r>
      <w:r w:rsidR="008E6738" w:rsidRPr="00AD652D">
        <w:t>that</w:t>
      </w:r>
      <w:r w:rsidR="00A44453" w:rsidRPr="00AD652D">
        <w:t xml:space="preserve"> danger </w:t>
      </w:r>
      <w:r w:rsidR="00661FF5" w:rsidRPr="00AD652D">
        <w:t>“</w:t>
      </w:r>
      <w:r w:rsidR="00A44453" w:rsidRPr="00AD652D">
        <w:t xml:space="preserve">to the morals of young men and young women lies in the </w:t>
      </w:r>
      <w:r w:rsidR="00661FF5" w:rsidRPr="00AD652D">
        <w:t>‘</w:t>
      </w:r>
      <w:r w:rsidR="00A44453" w:rsidRPr="00AD652D">
        <w:t>chop suey</w:t>
      </w:r>
      <w:r w:rsidR="00661FF5" w:rsidRPr="00AD652D">
        <w:t>’</w:t>
      </w:r>
      <w:r w:rsidR="00A44453" w:rsidRPr="00AD652D">
        <w:t xml:space="preserve"> houses.</w:t>
      </w:r>
      <w:r w:rsidR="00661FF5" w:rsidRPr="00AD652D">
        <w:t>”</w:t>
      </w:r>
      <w:r w:rsidR="00A44453" w:rsidRPr="00AD652D">
        <w:rPr>
          <w:rStyle w:val="FootnoteReference"/>
        </w:rPr>
        <w:t xml:space="preserve"> </w:t>
      </w:r>
      <w:r w:rsidR="00A44453" w:rsidRPr="00AD652D">
        <w:rPr>
          <w:rStyle w:val="FootnoteReference"/>
        </w:rPr>
        <w:footnoteReference w:id="332"/>
      </w:r>
      <w:r w:rsidR="00A44453" w:rsidRPr="00AD652D">
        <w:t xml:space="preserve"> </w:t>
      </w:r>
      <w:r w:rsidR="004A034F">
        <w:t xml:space="preserve"> </w:t>
      </w:r>
      <w:r w:rsidR="000532B4" w:rsidRPr="00AD652D">
        <w:t>In January 1918, Ogden</w:t>
      </w:r>
      <w:r w:rsidR="00F62996">
        <w:t xml:space="preserve"> considered a new booth ordinance</w:t>
      </w:r>
      <w:r w:rsidR="000532B4" w:rsidRPr="00AD652D">
        <w:rPr>
          <w:vertAlign w:val="superscript"/>
        </w:rPr>
        <w:footnoteReference w:id="333"/>
      </w:r>
      <w:r w:rsidR="000532B4" w:rsidRPr="00AD652D">
        <w:t xml:space="preserve">  </w:t>
      </w:r>
      <w:r w:rsidR="005C5844" w:rsidRPr="00AD652D">
        <w:t>Chinese r</w:t>
      </w:r>
      <w:r w:rsidR="000532B4" w:rsidRPr="00AD652D">
        <w:t xml:space="preserve">estaurant </w:t>
      </w:r>
      <w:r w:rsidR="005C5844" w:rsidRPr="00AD652D">
        <w:t>proprietors</w:t>
      </w:r>
      <w:r w:rsidR="000532B4" w:rsidRPr="00AD652D">
        <w:t xml:space="preserve"> claimed </w:t>
      </w:r>
      <w:r w:rsidR="00EA0529" w:rsidRPr="00AD652D">
        <w:t xml:space="preserve">that </w:t>
      </w:r>
      <w:r w:rsidR="001355B6" w:rsidRPr="00AD652D">
        <w:t>the</w:t>
      </w:r>
      <w:r w:rsidR="000532B4" w:rsidRPr="00AD652D">
        <w:t xml:space="preserve"> ordinance</w:t>
      </w:r>
      <w:r w:rsidR="001355B6" w:rsidRPr="00AD652D">
        <w:t xml:space="preserve"> </w:t>
      </w:r>
      <w:r>
        <w:t>“</w:t>
      </w:r>
      <w:r w:rsidR="001355B6" w:rsidRPr="00AD652D">
        <w:t xml:space="preserve">represented racial prejudice, </w:t>
      </w:r>
      <w:r w:rsidR="000532B4" w:rsidRPr="00AD652D">
        <w:t xml:space="preserve">agitated by the restaurant trust and directed against all </w:t>
      </w:r>
      <w:r w:rsidR="001355B6" w:rsidRPr="00AD652D">
        <w:t>[</w:t>
      </w:r>
      <w:r w:rsidR="000532B4" w:rsidRPr="00AD652D">
        <w:t>O</w:t>
      </w:r>
      <w:r w:rsidR="001355B6" w:rsidRPr="00AD652D">
        <w:t>]</w:t>
      </w:r>
      <w:r w:rsidR="000532B4" w:rsidRPr="00AD652D">
        <w:t>rientals</w:t>
      </w:r>
      <w:r w:rsidR="001355B6" w:rsidRPr="00AD652D">
        <w:t xml:space="preserve"> in that business here</w:t>
      </w:r>
      <w:r w:rsidR="000532B4" w:rsidRPr="00AD652D">
        <w:t>.</w:t>
      </w:r>
      <w:r w:rsidR="00661FF5" w:rsidRPr="00AD652D">
        <w:t>”</w:t>
      </w:r>
      <w:r w:rsidR="000532B4" w:rsidRPr="00AD652D">
        <w:rPr>
          <w:vertAlign w:val="superscript"/>
        </w:rPr>
        <w:footnoteReference w:id="334"/>
      </w:r>
      <w:r w:rsidR="000532B4" w:rsidRPr="00AD652D">
        <w:t xml:space="preserve">  </w:t>
      </w:r>
      <w:r w:rsidR="004A034F">
        <w:t>The</w:t>
      </w:r>
      <w:r w:rsidR="000532B4" w:rsidRPr="00AD652D">
        <w:t xml:space="preserve"> ordinance </w:t>
      </w:r>
      <w:r w:rsidR="004A034F">
        <w:t>was enacted</w:t>
      </w:r>
      <w:r w:rsidR="000532B4" w:rsidRPr="00AD652D">
        <w:t xml:space="preserve"> and the police started a </w:t>
      </w:r>
      <w:r w:rsidR="00661FF5" w:rsidRPr="00AD652D">
        <w:t>“</w:t>
      </w:r>
      <w:r w:rsidR="000532B4" w:rsidRPr="00AD652D">
        <w:t>crusade against the booths in the cafes and restaurants</w:t>
      </w:r>
      <w:r w:rsidR="00157567" w:rsidRPr="00AD652D">
        <w:t>.</w:t>
      </w:r>
      <w:r w:rsidR="00661FF5" w:rsidRPr="00AD652D">
        <w:t>”</w:t>
      </w:r>
      <w:r w:rsidR="000532B4" w:rsidRPr="00AD652D">
        <w:rPr>
          <w:vertAlign w:val="superscript"/>
        </w:rPr>
        <w:footnoteReference w:id="335"/>
      </w:r>
      <w:r w:rsidR="000532B4" w:rsidRPr="00AD652D">
        <w:t xml:space="preserve">  One Ogden citizen who rented space to a Chinese restaurant complained that this </w:t>
      </w:r>
      <w:r w:rsidR="00661FF5" w:rsidRPr="00AD652D">
        <w:t>“</w:t>
      </w:r>
      <w:r w:rsidR="000532B4" w:rsidRPr="00AD652D">
        <w:t>appeared to him like persecution against the Chinese</w:t>
      </w:r>
      <w:r w:rsidR="001355B6" w:rsidRPr="00AD652D">
        <w:t>,</w:t>
      </w:r>
      <w:r w:rsidR="00661FF5" w:rsidRPr="00AD652D">
        <w:t>”</w:t>
      </w:r>
      <w:r w:rsidR="000532B4" w:rsidRPr="00AD652D">
        <w:t xml:space="preserve"> </w:t>
      </w:r>
      <w:r w:rsidR="001355B6" w:rsidRPr="00AD652D">
        <w:t>asking:</w:t>
      </w:r>
      <w:r w:rsidR="000532B4" w:rsidRPr="00AD652D">
        <w:t xml:space="preserve"> </w:t>
      </w:r>
      <w:r w:rsidR="00661FF5" w:rsidRPr="00AD652D">
        <w:t>“</w:t>
      </w:r>
      <w:r w:rsidR="000532B4" w:rsidRPr="00AD652D">
        <w:t>Why don</w:t>
      </w:r>
      <w:r w:rsidR="00661FF5" w:rsidRPr="00AD652D">
        <w:t>’</w:t>
      </w:r>
      <w:r w:rsidR="000532B4" w:rsidRPr="00AD652D">
        <w:t>t you go after the white men who are violating the city laws as well as the Chinamen?</w:t>
      </w:r>
      <w:r w:rsidR="00661FF5" w:rsidRPr="00AD652D">
        <w:t>”</w:t>
      </w:r>
      <w:r w:rsidR="000532B4" w:rsidRPr="00AD652D">
        <w:rPr>
          <w:vertAlign w:val="superscript"/>
        </w:rPr>
        <w:footnoteReference w:id="336"/>
      </w:r>
      <w:r w:rsidR="000532B4" w:rsidRPr="00AD652D">
        <w:t xml:space="preserve">  </w:t>
      </w:r>
    </w:p>
    <w:p w14:paraId="632B9DFE" w14:textId="352D0553" w:rsidR="000532B4" w:rsidRPr="00AD652D" w:rsidRDefault="00F62996" w:rsidP="00DB629F">
      <w:pPr>
        <w:spacing w:after="100" w:afterAutospacing="1"/>
      </w:pPr>
      <w:r>
        <w:t>In a test case,</w:t>
      </w:r>
      <w:r w:rsidR="000532B4" w:rsidRPr="00AD652D">
        <w:t xml:space="preserve"> the proprietor of the Alhambra Café,</w:t>
      </w:r>
      <w:r w:rsidR="004A034F">
        <w:t xml:space="preserve"> a Chinese restaurant,</w:t>
      </w:r>
      <w:r w:rsidR="002842E6" w:rsidRPr="00AD652D">
        <w:rPr>
          <w:rStyle w:val="FootnoteReference"/>
        </w:rPr>
        <w:footnoteReference w:id="337"/>
      </w:r>
      <w:r w:rsidR="002842E6" w:rsidRPr="00AD652D">
        <w:t xml:space="preserve"> </w:t>
      </w:r>
      <w:r w:rsidR="000532B4" w:rsidRPr="00AD652D">
        <w:t xml:space="preserve">was </w:t>
      </w:r>
      <w:r w:rsidR="00C02896" w:rsidRPr="00AD652D">
        <w:t>convicted</w:t>
      </w:r>
      <w:r w:rsidR="00DB629F">
        <w:t>;</w:t>
      </w:r>
      <w:r w:rsidR="000532B4" w:rsidRPr="00AD652D">
        <w:rPr>
          <w:vertAlign w:val="superscript"/>
        </w:rPr>
        <w:footnoteReference w:id="338"/>
      </w:r>
      <w:r w:rsidR="000532B4" w:rsidRPr="00AD652D">
        <w:t xml:space="preserve"> </w:t>
      </w:r>
      <w:r w:rsidR="00165BC5">
        <w:t>t</w:t>
      </w:r>
      <w:r w:rsidR="00DB629F">
        <w:t xml:space="preserve">he Utah Supreme Court </w:t>
      </w:r>
      <w:r w:rsidR="00165BC5">
        <w:t>affirmed</w:t>
      </w:r>
      <w:r w:rsidR="00DB629F">
        <w:t>.</w:t>
      </w:r>
      <w:r w:rsidR="000532B4" w:rsidRPr="00AD652D">
        <w:rPr>
          <w:vertAlign w:val="superscript"/>
        </w:rPr>
        <w:footnoteReference w:id="339"/>
      </w:r>
      <w:r w:rsidR="000532B4" w:rsidRPr="00AD652D">
        <w:t xml:space="preserve">  </w:t>
      </w:r>
      <w:r w:rsidR="00DB629F">
        <w:t>The Court explained: “</w:t>
      </w:r>
      <w:r w:rsidR="000532B4" w:rsidRPr="00AD652D">
        <w:t>We know, as all men know, that the best and largest dining rooms everywhere are open, and that the respectable and law-abiding men and women do not seek closed booths or dark rooms when they go to a public eating place to eat their meals.</w:t>
      </w:r>
      <w:r w:rsidR="00DB629F">
        <w:t>”</w:t>
      </w:r>
      <w:r w:rsidR="000532B4" w:rsidRPr="00AD652D">
        <w:rPr>
          <w:vertAlign w:val="superscript"/>
        </w:rPr>
        <w:footnoteReference w:id="340"/>
      </w:r>
    </w:p>
    <w:p w14:paraId="2156AE2C" w14:textId="70EF3F8A" w:rsidR="006E6996" w:rsidRPr="00AD652D" w:rsidRDefault="0083084B" w:rsidP="00195169">
      <w:pPr>
        <w:spacing w:after="100" w:afterAutospacing="1"/>
      </w:pPr>
      <w:r w:rsidRPr="00AD652D">
        <w:t xml:space="preserve">Other booth </w:t>
      </w:r>
      <w:r w:rsidR="00A97574" w:rsidRPr="00AD652D">
        <w:t>regulations</w:t>
      </w:r>
      <w:r w:rsidRPr="00AD652D">
        <w:t xml:space="preserve"> appeared across the country. </w:t>
      </w:r>
      <w:r w:rsidR="00861FA6" w:rsidRPr="00AD652D">
        <w:t xml:space="preserve"> </w:t>
      </w:r>
      <w:r w:rsidR="00825D4B" w:rsidRPr="00AD652D">
        <w:t>In some cases</w:t>
      </w:r>
      <w:r w:rsidR="002928CB">
        <w:t>,</w:t>
      </w:r>
      <w:r w:rsidR="00825D4B" w:rsidRPr="00AD652D">
        <w:t xml:space="preserve"> the regulations targeted Chinese restaurants.  For example, the Mayor of Minneapolis ordered the closure of a Chinese restaurant for selling liquor without a license and concurrently ordered that </w:t>
      </w:r>
      <w:r w:rsidR="00661FF5" w:rsidRPr="00AD652D">
        <w:t>“</w:t>
      </w:r>
      <w:r w:rsidR="00825D4B" w:rsidRPr="00AD652D">
        <w:t>all booths be torn out of Chinese restaurants.</w:t>
      </w:r>
      <w:r w:rsidR="00661FF5" w:rsidRPr="00AD652D">
        <w:t>”</w:t>
      </w:r>
      <w:r w:rsidR="00825D4B" w:rsidRPr="00AD652D">
        <w:rPr>
          <w:vertAlign w:val="superscript"/>
        </w:rPr>
        <w:footnoteReference w:id="341"/>
      </w:r>
      <w:r w:rsidR="00825D4B" w:rsidRPr="00AD652D">
        <w:t xml:space="preserve">  </w:t>
      </w:r>
      <w:r w:rsidR="004F41F5" w:rsidRPr="00AD652D">
        <w:t>Given the major union boycott in Minneapolis,</w:t>
      </w:r>
      <w:r w:rsidR="0027039E" w:rsidRPr="00AD652D">
        <w:rPr>
          <w:rStyle w:val="FootnoteReference"/>
        </w:rPr>
        <w:footnoteReference w:id="342"/>
      </w:r>
      <w:r w:rsidR="004F41F5" w:rsidRPr="00AD652D">
        <w:t xml:space="preserve"> and the Mayor</w:t>
      </w:r>
      <w:r w:rsidR="00661FF5" w:rsidRPr="00AD652D">
        <w:t>’</w:t>
      </w:r>
      <w:r w:rsidR="004F41F5" w:rsidRPr="00AD652D">
        <w:t xml:space="preserve">s reported policy of denying </w:t>
      </w:r>
      <w:r w:rsidR="00524CBB" w:rsidRPr="00AD652D">
        <w:t xml:space="preserve">liquor </w:t>
      </w:r>
      <w:r w:rsidR="004F41F5" w:rsidRPr="00AD652D">
        <w:t>licenses to Chinese restaurants,</w:t>
      </w:r>
      <w:r w:rsidR="0027039E" w:rsidRPr="00AD652D">
        <w:rPr>
          <w:rStyle w:val="FootnoteReference"/>
        </w:rPr>
        <w:footnoteReference w:id="343"/>
      </w:r>
      <w:r w:rsidR="004F41F5" w:rsidRPr="00AD652D">
        <w:t xml:space="preserve"> this is hardly surprising. </w:t>
      </w:r>
      <w:r w:rsidR="00897290" w:rsidRPr="00AD652D">
        <w:t xml:space="preserve"> Following the </w:t>
      </w:r>
      <w:r w:rsidR="00661FF5" w:rsidRPr="00AD652D">
        <w:t>“</w:t>
      </w:r>
      <w:r w:rsidR="00897290" w:rsidRPr="00AD652D">
        <w:t>chop suey raids</w:t>
      </w:r>
      <w:r w:rsidR="00661FF5" w:rsidRPr="00AD652D">
        <w:t>”</w:t>
      </w:r>
      <w:r w:rsidR="00897290" w:rsidRPr="00AD652D">
        <w:t xml:space="preserve"> of 1918, the New York District Attorney </w:t>
      </w:r>
      <w:r w:rsidR="001272B6">
        <w:t xml:space="preserve">announced </w:t>
      </w:r>
      <w:r w:rsidR="00661FF5" w:rsidRPr="00AD652D">
        <w:t>“</w:t>
      </w:r>
      <w:r w:rsidR="00897290" w:rsidRPr="00AD652D">
        <w:t>the abolishment of private rooms in chop suey restaurants.</w:t>
      </w:r>
      <w:r w:rsidR="00661FF5" w:rsidRPr="00AD652D">
        <w:t>”</w:t>
      </w:r>
      <w:r w:rsidR="00897290" w:rsidRPr="00AD652D">
        <w:rPr>
          <w:vertAlign w:val="superscript"/>
        </w:rPr>
        <w:footnoteReference w:id="344"/>
      </w:r>
      <w:r w:rsidR="004F41F5" w:rsidRPr="00AD652D">
        <w:t xml:space="preserve"> </w:t>
      </w:r>
      <w:r w:rsidR="00825D4B" w:rsidRPr="00AD652D">
        <w:t>In other instances, news accounts, at least, do not make an explicit connection</w:t>
      </w:r>
      <w:r w:rsidR="00897290" w:rsidRPr="00AD652D">
        <w:t xml:space="preserve"> between the </w:t>
      </w:r>
      <w:r w:rsidR="00A33688" w:rsidRPr="00AD652D">
        <w:t>Chinese</w:t>
      </w:r>
      <w:r w:rsidR="00897290" w:rsidRPr="00AD652D">
        <w:t xml:space="preserve"> nature of the restaurant and the regulation</w:t>
      </w:r>
      <w:r w:rsidR="00825D4B" w:rsidRPr="00AD652D">
        <w:t>.  However, many jurisdictions banning</w:t>
      </w:r>
      <w:r w:rsidRPr="00AD652D">
        <w:t xml:space="preserve"> booths</w:t>
      </w:r>
      <w:r w:rsidR="00825D4B" w:rsidRPr="00AD652D">
        <w:t xml:space="preserve"> also implemented or seriously considered other anti-Chinese restaurant measures, or had strong </w:t>
      </w:r>
      <w:r w:rsidR="005A4EF7" w:rsidRPr="00AD652D">
        <w:t>union activity against the restaurants</w:t>
      </w:r>
      <w:r w:rsidR="003B3CF6">
        <w:t>, including Chicago,</w:t>
      </w:r>
      <w:r w:rsidR="003B3CF6" w:rsidRPr="00AD652D">
        <w:rPr>
          <w:vertAlign w:val="superscript"/>
        </w:rPr>
        <w:footnoteReference w:id="345"/>
      </w:r>
      <w:r w:rsidR="003B3CF6" w:rsidRPr="00AD652D">
        <w:t xml:space="preserve"> </w:t>
      </w:r>
      <w:r w:rsidR="003B3CF6">
        <w:t xml:space="preserve"> Los Angeles,</w:t>
      </w:r>
      <w:r w:rsidR="003B3CF6" w:rsidRPr="00AD652D">
        <w:rPr>
          <w:vertAlign w:val="superscript"/>
        </w:rPr>
        <w:footnoteReference w:id="346"/>
      </w:r>
      <w:r w:rsidR="003B3CF6">
        <w:t xml:space="preserve"> Phoenix,</w:t>
      </w:r>
      <w:r w:rsidR="003B3CF6" w:rsidRPr="00AD652D">
        <w:rPr>
          <w:rStyle w:val="FootnoteReference"/>
        </w:rPr>
        <w:footnoteReference w:id="347"/>
      </w:r>
      <w:r w:rsidR="003B3CF6" w:rsidRPr="00AD652D">
        <w:t xml:space="preserve"> </w:t>
      </w:r>
      <w:r w:rsidR="003B3CF6">
        <w:t xml:space="preserve"> Tucson,</w:t>
      </w:r>
      <w:r w:rsidR="003B3CF6" w:rsidRPr="00AD652D">
        <w:rPr>
          <w:rStyle w:val="FootnoteReference"/>
        </w:rPr>
        <w:footnoteReference w:id="348"/>
      </w:r>
      <w:r w:rsidR="003B3CF6">
        <w:t xml:space="preserve"> and cities in Massachusetts</w:t>
      </w:r>
      <w:r w:rsidR="003B3CF6" w:rsidRPr="00AD652D">
        <w:rPr>
          <w:vertAlign w:val="superscript"/>
        </w:rPr>
        <w:footnoteReference w:id="349"/>
      </w:r>
      <w:r w:rsidR="003B3CF6" w:rsidRPr="00AD652D">
        <w:t xml:space="preserve"> </w:t>
      </w:r>
      <w:r w:rsidR="003B3CF6">
        <w:t xml:space="preserve"> and Oregon.</w:t>
      </w:r>
      <w:bookmarkStart w:id="77" w:name="_Ref476406772"/>
      <w:r w:rsidR="003B3CF6" w:rsidRPr="00AD652D">
        <w:rPr>
          <w:rStyle w:val="FootnoteReference"/>
        </w:rPr>
        <w:footnoteReference w:id="350"/>
      </w:r>
      <w:bookmarkEnd w:id="77"/>
    </w:p>
    <w:p w14:paraId="092C41A1" w14:textId="4AABE818" w:rsidR="008124B9" w:rsidRPr="00AD652D" w:rsidRDefault="003B3CF6" w:rsidP="009C7DFA">
      <w:pPr>
        <w:tabs>
          <w:tab w:val="left" w:pos="0"/>
        </w:tabs>
        <w:spacing w:before="240" w:after="100" w:afterAutospacing="1"/>
        <w:ind w:firstLine="0"/>
        <w:jc w:val="center"/>
        <w:outlineLvl w:val="0"/>
        <w:rPr>
          <w:smallCaps/>
        </w:rPr>
      </w:pPr>
      <w:bookmarkStart w:id="78" w:name="_Toc411027422"/>
      <w:bookmarkStart w:id="79" w:name="_Toc411027663"/>
      <w:bookmarkStart w:id="80" w:name="_Toc411027955"/>
      <w:r>
        <w:rPr>
          <w:smallCaps/>
        </w:rPr>
        <w:t xml:space="preserve">III. </w:t>
      </w:r>
      <w:r w:rsidR="00D0561A" w:rsidRPr="00AD652D">
        <w:rPr>
          <w:smallCaps/>
        </w:rPr>
        <w:t>Victory</w:t>
      </w:r>
      <w:r w:rsidR="002128B6" w:rsidRPr="00AD652D">
        <w:rPr>
          <w:smallCaps/>
        </w:rPr>
        <w:t xml:space="preserve"> and</w:t>
      </w:r>
      <w:r w:rsidR="008124B9" w:rsidRPr="00AD652D">
        <w:rPr>
          <w:smallCaps/>
        </w:rPr>
        <w:t xml:space="preserve"> National Immigration Policy</w:t>
      </w:r>
      <w:bookmarkEnd w:id="78"/>
      <w:bookmarkEnd w:id="79"/>
      <w:bookmarkEnd w:id="80"/>
    </w:p>
    <w:p w14:paraId="05B645F8" w14:textId="1D8C2A9F" w:rsidR="00617AAF" w:rsidRPr="00AD652D" w:rsidRDefault="00945E4B" w:rsidP="00195169">
      <w:pPr>
        <w:spacing w:after="100" w:afterAutospacing="1"/>
      </w:pPr>
      <w:r w:rsidRPr="00AD652D">
        <w:t xml:space="preserve">As the nineteen-teens turned into the twenties, something seemed to have changed. </w:t>
      </w:r>
      <w:r w:rsidR="00617AAF" w:rsidRPr="00AD652D">
        <w:t xml:space="preserve">A 1919 union report indicated that in Boston there was </w:t>
      </w:r>
      <w:r w:rsidR="00661FF5" w:rsidRPr="00AD652D">
        <w:t>“</w:t>
      </w:r>
      <w:r w:rsidR="00617AAF" w:rsidRPr="00AD652D">
        <w:t>progress in the fight on the Chinese restaurants.</w:t>
      </w:r>
      <w:r w:rsidR="00661FF5" w:rsidRPr="00AD652D">
        <w:t>”</w:t>
      </w:r>
      <w:bookmarkStart w:id="81" w:name="_Ref476406795"/>
      <w:r w:rsidR="00617AAF" w:rsidRPr="00AD652D">
        <w:rPr>
          <w:vertAlign w:val="superscript"/>
        </w:rPr>
        <w:footnoteReference w:id="351"/>
      </w:r>
      <w:bookmarkEnd w:id="81"/>
      <w:r w:rsidRPr="00AD652D">
        <w:t xml:space="preserve">  </w:t>
      </w:r>
      <w:r w:rsidR="00617AAF" w:rsidRPr="00AD652D">
        <w:t xml:space="preserve">A 1921 report in the </w:t>
      </w:r>
      <w:r w:rsidR="00617AAF" w:rsidRPr="00AD652D">
        <w:rPr>
          <w:i/>
        </w:rPr>
        <w:t>Mixer and Server</w:t>
      </w:r>
      <w:r w:rsidR="00617AAF" w:rsidRPr="00AD652D">
        <w:t xml:space="preserve"> from Detroit, Michigan suggests that by then union goals had been achieved:</w:t>
      </w:r>
      <w:r w:rsidRPr="00AD652D">
        <w:t xml:space="preserve"> </w:t>
      </w:r>
      <w:r w:rsidR="00661FF5" w:rsidRPr="00AD652D">
        <w:t>“</w:t>
      </w:r>
      <w:r w:rsidR="00617AAF" w:rsidRPr="00AD652D">
        <w:t>I take pleasure in saying that the worst enemy that we have had to contend with here is beginning to wane and vanish, and we all wish him a speedy exit.</w:t>
      </w:r>
      <w:r w:rsidR="00661FF5" w:rsidRPr="00AD652D">
        <w:t>”</w:t>
      </w:r>
      <w:r w:rsidR="00617AAF" w:rsidRPr="00AD652D">
        <w:rPr>
          <w:vertAlign w:val="superscript"/>
        </w:rPr>
        <w:footnoteReference w:id="352"/>
      </w:r>
      <w:r w:rsidRPr="00AD652D">
        <w:t xml:space="preserve">  </w:t>
      </w:r>
    </w:p>
    <w:p w14:paraId="2A8A342D" w14:textId="7C513814" w:rsidR="00945E4B" w:rsidRPr="00AD652D" w:rsidRDefault="00CC377F" w:rsidP="00195169">
      <w:pPr>
        <w:spacing w:after="100" w:afterAutospacing="1"/>
      </w:pPr>
      <w:r w:rsidRPr="00AD652D">
        <w:t xml:space="preserve">If </w:t>
      </w:r>
      <w:r w:rsidR="0044612C" w:rsidRPr="00AD652D">
        <w:t xml:space="preserve">union members and competing restauranteurs </w:t>
      </w:r>
      <w:r w:rsidR="00945E4B" w:rsidRPr="00AD652D">
        <w:t>sense</w:t>
      </w:r>
      <w:r w:rsidR="006761B7" w:rsidRPr="00AD652D">
        <w:t>d</w:t>
      </w:r>
      <w:r w:rsidR="00945E4B" w:rsidRPr="00AD652D">
        <w:t xml:space="preserve"> that the Chinese had been vanquished</w:t>
      </w:r>
      <w:r w:rsidR="00B2050F" w:rsidRPr="00AD652D">
        <w:t xml:space="preserve">, </w:t>
      </w:r>
      <w:r w:rsidR="0044612C" w:rsidRPr="00AD652D">
        <w:t>they were</w:t>
      </w:r>
      <w:r w:rsidR="00945E4B" w:rsidRPr="00AD652D">
        <w:t xml:space="preserve"> correct.  </w:t>
      </w:r>
      <w:r w:rsidR="005405AD" w:rsidRPr="00AD652D">
        <w:t>T</w:t>
      </w:r>
      <w:r w:rsidR="00945E4B" w:rsidRPr="00AD652D">
        <w:t xml:space="preserve">he </w:t>
      </w:r>
      <w:r w:rsidR="000B3380" w:rsidRPr="00AD652D">
        <w:t xml:space="preserve">Census, </w:t>
      </w:r>
      <w:r w:rsidR="00447000" w:rsidRPr="00AD652D">
        <w:t xml:space="preserve">reported </w:t>
      </w:r>
      <w:r w:rsidR="00945E4B" w:rsidRPr="00AD652D">
        <w:t xml:space="preserve">107,488 Chinese </w:t>
      </w:r>
      <w:r w:rsidR="000B3380" w:rsidRPr="00AD652D">
        <w:t xml:space="preserve">in the </w:t>
      </w:r>
      <w:r w:rsidR="002E5F4C" w:rsidRPr="00AD652D">
        <w:t>continental United States</w:t>
      </w:r>
      <w:r w:rsidR="000B3380" w:rsidRPr="00AD652D">
        <w:t xml:space="preserve"> in 1890, 89,863 in 1900, and 71,531 in 1910.</w:t>
      </w:r>
      <w:r w:rsidR="000B3380" w:rsidRPr="00AD652D">
        <w:rPr>
          <w:rStyle w:val="FootnoteReference"/>
        </w:rPr>
        <w:footnoteReference w:id="353"/>
      </w:r>
      <w:r w:rsidR="002E5F4C" w:rsidRPr="00AD652D">
        <w:t xml:space="preserve">  The 1920 Census showed a further </w:t>
      </w:r>
      <w:r w:rsidR="006761B7" w:rsidRPr="00AD652D">
        <w:t>decline</w:t>
      </w:r>
      <w:r w:rsidR="002E5F4C" w:rsidRPr="00AD652D">
        <w:t xml:space="preserve"> to 61,639.</w:t>
      </w:r>
      <w:r w:rsidR="002E5F4C" w:rsidRPr="00AD652D">
        <w:rPr>
          <w:rStyle w:val="FootnoteReference"/>
        </w:rPr>
        <w:footnoteReference w:id="354"/>
      </w:r>
      <w:r w:rsidR="005405AD" w:rsidRPr="00AD652D">
        <w:t xml:space="preserve">  Anti-Chinese policies had reduced the population by almost half.</w:t>
      </w:r>
      <w:r w:rsidR="00F818E4" w:rsidRPr="00AD652D">
        <w:t xml:space="preserve">  And of course,</w:t>
      </w:r>
      <w:r w:rsidR="00447000" w:rsidRPr="00AD652D">
        <w:t xml:space="preserve"> ratification of the </w:t>
      </w:r>
      <w:r w:rsidR="007D14F4">
        <w:t>Eighteenth</w:t>
      </w:r>
      <w:r w:rsidR="00447000" w:rsidRPr="00AD652D">
        <w:t xml:space="preserve"> Amendment </w:t>
      </w:r>
      <w:r w:rsidR="00F818E4" w:rsidRPr="00AD652D">
        <w:t>added a new set of legal tools to control Chinese restaurants.</w:t>
      </w:r>
      <w:r w:rsidR="005405AD" w:rsidRPr="00AD652D">
        <w:t xml:space="preserve">  </w:t>
      </w:r>
      <w:r w:rsidR="003C580B" w:rsidRPr="00AD652D">
        <w:t xml:space="preserve">  </w:t>
      </w:r>
    </w:p>
    <w:p w14:paraId="0C212E72" w14:textId="2BEAE4C4" w:rsidR="001A51EF" w:rsidRPr="00AD652D" w:rsidRDefault="008C3864" w:rsidP="00195169">
      <w:pPr>
        <w:spacing w:after="100" w:afterAutospacing="1"/>
      </w:pPr>
      <w:r w:rsidRPr="00AD652D">
        <w:t xml:space="preserve">The political goal sought by the unions had been almost fully </w:t>
      </w:r>
      <w:r w:rsidR="005405AD" w:rsidRPr="00AD652D">
        <w:t>realized</w:t>
      </w:r>
      <w:r w:rsidRPr="00AD652D">
        <w:t xml:space="preserve">.  </w:t>
      </w:r>
      <w:r w:rsidR="00165BC5">
        <w:t>Members</w:t>
      </w:r>
      <w:r w:rsidR="007D14F4">
        <w:t xml:space="preserve"> of races native to c</w:t>
      </w:r>
      <w:r w:rsidR="001A51EF" w:rsidRPr="00AD652D">
        <w:t xml:space="preserve">ontinental Asia </w:t>
      </w:r>
      <w:r w:rsidR="00F818E4" w:rsidRPr="00AD652D">
        <w:t>had been</w:t>
      </w:r>
      <w:r w:rsidR="001A51EF" w:rsidRPr="00AD652D">
        <w:t xml:space="preserve"> barred </w:t>
      </w:r>
      <w:r w:rsidRPr="00AD652D">
        <w:t xml:space="preserve">by the Immigration Act of </w:t>
      </w:r>
      <w:r w:rsidR="001A51EF" w:rsidRPr="00AD652D">
        <w:t>1917.</w:t>
      </w:r>
      <w:bookmarkStart w:id="82" w:name="_Ref476406845"/>
      <w:r w:rsidR="0044612C" w:rsidRPr="00AD652D">
        <w:rPr>
          <w:rStyle w:val="FootnoteReference"/>
        </w:rPr>
        <w:footnoteReference w:id="355"/>
      </w:r>
      <w:bookmarkEnd w:id="82"/>
      <w:r w:rsidRPr="00AD652D">
        <w:t xml:space="preserve">  While Japanese </w:t>
      </w:r>
      <w:r w:rsidR="00ED6C87" w:rsidRPr="00AD652D">
        <w:t xml:space="preserve">immigration </w:t>
      </w:r>
      <w:r w:rsidRPr="00AD652D">
        <w:t>had been restricted by the Gentlemen</w:t>
      </w:r>
      <w:r w:rsidR="00661FF5" w:rsidRPr="00AD652D">
        <w:t>’</w:t>
      </w:r>
      <w:r w:rsidR="005405AD" w:rsidRPr="00AD652D">
        <w:t>s A</w:t>
      </w:r>
      <w:r w:rsidRPr="00AD652D">
        <w:t>greement of 1907-08,</w:t>
      </w:r>
      <w:r w:rsidR="0044612C" w:rsidRPr="00AD652D">
        <w:rPr>
          <w:rStyle w:val="FootnoteReference"/>
        </w:rPr>
        <w:footnoteReference w:id="356"/>
      </w:r>
      <w:r w:rsidRPr="00AD652D">
        <w:t xml:space="preserve"> </w:t>
      </w:r>
      <w:r w:rsidR="005405AD" w:rsidRPr="00AD652D">
        <w:t xml:space="preserve">in 1924 they were explicitly </w:t>
      </w:r>
      <w:r w:rsidR="00ED6C87" w:rsidRPr="00AD652D">
        <w:t>barred by statute.</w:t>
      </w:r>
      <w:r w:rsidR="0044612C" w:rsidRPr="00AD652D">
        <w:rPr>
          <w:rStyle w:val="FootnoteReference"/>
        </w:rPr>
        <w:footnoteReference w:id="357"/>
      </w:r>
      <w:r w:rsidR="001A51EF" w:rsidRPr="00AD652D">
        <w:t xml:space="preserve">  In </w:t>
      </w:r>
      <w:r w:rsidR="005405AD" w:rsidRPr="00AD652D">
        <w:t xml:space="preserve">the Immigration Act of </w:t>
      </w:r>
      <w:r w:rsidR="001A51EF" w:rsidRPr="00AD652D">
        <w:t xml:space="preserve">1924, Congress tied immigration eligibility to racial eligibility to citizenship.  The Naturalization Act of 1790 had limited eligibility to </w:t>
      </w:r>
      <w:r w:rsidR="00661FF5" w:rsidRPr="00AD652D">
        <w:t>“</w:t>
      </w:r>
      <w:r w:rsidR="001A51EF" w:rsidRPr="00AD652D">
        <w:t>free white persons,</w:t>
      </w:r>
      <w:r w:rsidR="00661FF5" w:rsidRPr="00AD652D">
        <w:t>”</w:t>
      </w:r>
      <w:r w:rsidR="001A51EF" w:rsidRPr="00AD652D">
        <w:t xml:space="preserve"> people of African nativity and descent were made eligible after the Civil War.</w:t>
      </w:r>
      <w:r w:rsidR="00CC6DE6">
        <w:rPr>
          <w:rStyle w:val="FootnoteReference"/>
        </w:rPr>
        <w:footnoteReference w:id="358"/>
      </w:r>
      <w:r w:rsidR="001A51EF" w:rsidRPr="00AD652D">
        <w:t xml:space="preserve">  The Immigration Act of 1924</w:t>
      </w:r>
      <w:r w:rsidR="00447000" w:rsidRPr="00AD652D">
        <w:t xml:space="preserve"> operated to</w:t>
      </w:r>
      <w:r w:rsidR="001A51EF" w:rsidRPr="00AD652D">
        <w:t xml:space="preserve"> provided that those racially ineligible to naturalization were also ineligible to immigrate.</w:t>
      </w:r>
      <w:r w:rsidR="00CC6DE6">
        <w:rPr>
          <w:rStyle w:val="FootnoteReference"/>
        </w:rPr>
        <w:footnoteReference w:id="359"/>
      </w:r>
      <w:r w:rsidR="001A51EF" w:rsidRPr="00AD652D">
        <w:t xml:space="preserve">  </w:t>
      </w:r>
      <w:r w:rsidR="003C580B" w:rsidRPr="00AD652D">
        <w:t>In addition the Immigration Act of 192</w:t>
      </w:r>
      <w:r w:rsidR="00074808" w:rsidRPr="00AD652D">
        <w:t>1</w:t>
      </w:r>
      <w:r w:rsidR="003C580B" w:rsidRPr="00AD652D">
        <w:t xml:space="preserve"> </w:t>
      </w:r>
      <w:r w:rsidR="00074808" w:rsidRPr="00AD652D">
        <w:t xml:space="preserve">had </w:t>
      </w:r>
      <w:r w:rsidR="003C580B" w:rsidRPr="00AD652D">
        <w:t>put temporary limits on European immigration,</w:t>
      </w:r>
      <w:r w:rsidR="00A433A2">
        <w:rPr>
          <w:rStyle w:val="FootnoteReference"/>
        </w:rPr>
        <w:footnoteReference w:id="360"/>
      </w:r>
      <w:r w:rsidR="003C580B" w:rsidRPr="00AD652D">
        <w:t xml:space="preserve"> which </w:t>
      </w:r>
      <w:r w:rsidR="00074808" w:rsidRPr="00AD652D">
        <w:t xml:space="preserve">in similar form would </w:t>
      </w:r>
      <w:r w:rsidR="003C580B" w:rsidRPr="00AD652D">
        <w:t>be made permanent in the national origins quota system included in the 1924 immigration law.</w:t>
      </w:r>
      <w:bookmarkStart w:id="83" w:name="_Ref476406866"/>
      <w:r w:rsidR="00A433A2">
        <w:rPr>
          <w:rStyle w:val="FootnoteReference"/>
        </w:rPr>
        <w:footnoteReference w:id="361"/>
      </w:r>
      <w:bookmarkEnd w:id="83"/>
      <w:r w:rsidR="003C580B" w:rsidRPr="00AD652D">
        <w:t xml:space="preserve">  For all of these reasons, native workers had reason </w:t>
      </w:r>
      <w:r w:rsidR="007D14F4">
        <w:t>to be</w:t>
      </w:r>
      <w:r w:rsidR="003106F2">
        <w:t xml:space="preserve"> confiden</w:t>
      </w:r>
      <w:r w:rsidR="007D14F4">
        <w:t>t</w:t>
      </w:r>
      <w:r w:rsidR="003C580B" w:rsidRPr="00AD652D">
        <w:t xml:space="preserve"> that </w:t>
      </w:r>
      <w:r w:rsidR="00852D0F" w:rsidRPr="00AD652D">
        <w:t xml:space="preserve">the problem of Asian immigration and competition with white workers </w:t>
      </w:r>
      <w:r w:rsidR="003106F2">
        <w:t>had been permanently resolved</w:t>
      </w:r>
      <w:r w:rsidR="00852D0F" w:rsidRPr="00AD652D">
        <w:t xml:space="preserve">.  </w:t>
      </w:r>
    </w:p>
    <w:p w14:paraId="7232C4D8" w14:textId="5DD45355" w:rsidR="00B23845" w:rsidRPr="00AD652D" w:rsidRDefault="00F14427" w:rsidP="00195169">
      <w:pPr>
        <w:spacing w:after="100" w:afterAutospacing="1"/>
      </w:pPr>
      <w:r w:rsidRPr="00AD652D">
        <w:t xml:space="preserve">Unions had argued that Chinese should not be allowed to compete with whites because they were not allowed to become citizens. Their precarious immigration and citizenship status made it easier for whites to </w:t>
      </w:r>
      <w:r w:rsidR="007D14F4">
        <w:t>expect</w:t>
      </w:r>
      <w:r w:rsidR="009A7CBE" w:rsidRPr="00AD652D">
        <w:t xml:space="preserve"> that they were no threat</w:t>
      </w:r>
      <w:r w:rsidRPr="00AD652D">
        <w:t xml:space="preserve">.  </w:t>
      </w:r>
      <w:r w:rsidR="00EC233A" w:rsidRPr="00AD652D">
        <w:t xml:space="preserve">Indeed, keeping Chinese restaurants facilitated discrimination.  </w:t>
      </w:r>
      <w:r w:rsidR="00AC3E0D" w:rsidRPr="00AD652D">
        <w:t>Those suspected of being undocumented could be targeted by law enforcement</w:t>
      </w:r>
      <w:r w:rsidR="00C37BC1" w:rsidRPr="00AD652D">
        <w:t>.</w:t>
      </w:r>
      <w:r w:rsidR="00123A0D" w:rsidRPr="00AD652D">
        <w:t xml:space="preserve"> </w:t>
      </w:r>
      <w:r w:rsidR="00C37BC1" w:rsidRPr="00AD652D">
        <w:t xml:space="preserve"> </w:t>
      </w:r>
      <w:r w:rsidR="00123A0D" w:rsidRPr="00AD652D">
        <w:t>The Police raided New York</w:t>
      </w:r>
      <w:r w:rsidR="00661FF5" w:rsidRPr="00AD652D">
        <w:t>’</w:t>
      </w:r>
      <w:r w:rsidR="00123A0D" w:rsidRPr="00AD652D">
        <w:t xml:space="preserve">s Chinatown </w:t>
      </w:r>
      <w:r w:rsidR="00C37BC1" w:rsidRPr="00AD652D">
        <w:t>in 1925</w:t>
      </w:r>
      <w:r w:rsidR="00123A0D" w:rsidRPr="00AD652D">
        <w:t>,</w:t>
      </w:r>
      <w:r w:rsidR="00123A0D" w:rsidRPr="00AD652D">
        <w:rPr>
          <w:vertAlign w:val="superscript"/>
        </w:rPr>
        <w:footnoteReference w:id="362"/>
      </w:r>
      <w:r w:rsidR="00123A0D" w:rsidRPr="00AD652D">
        <w:t xml:space="preserve">  </w:t>
      </w:r>
      <w:r w:rsidR="003106F2">
        <w:t>resulting</w:t>
      </w:r>
      <w:r w:rsidR="00123A0D" w:rsidRPr="00AD652D">
        <w:t xml:space="preserve"> in the </w:t>
      </w:r>
      <w:r w:rsidR="00661FF5" w:rsidRPr="00AD652D">
        <w:t>“</w:t>
      </w:r>
      <w:r w:rsidR="00123A0D" w:rsidRPr="00AD652D">
        <w:t>largest seizure of Chinese under the Exclusion act ever made</w:t>
      </w:r>
      <w:r w:rsidR="00661FF5" w:rsidRPr="00AD652D">
        <w:t>”</w:t>
      </w:r>
      <w:r w:rsidR="003106F2">
        <w:t xml:space="preserve"> in New York City.</w:t>
      </w:r>
      <w:r w:rsidR="00123A0D" w:rsidRPr="00AD652D">
        <w:rPr>
          <w:vertAlign w:val="superscript"/>
        </w:rPr>
        <w:footnoteReference w:id="363"/>
      </w:r>
      <w:r w:rsidR="00123A0D" w:rsidRPr="00AD652D">
        <w:t xml:space="preserve">  </w:t>
      </w:r>
      <w:r w:rsidR="00661FF5" w:rsidRPr="00AD652D">
        <w:t>“</w:t>
      </w:r>
      <w:r w:rsidR="00123A0D" w:rsidRPr="00AD652D">
        <w:t>More than 500 Chinese were gathered in by 100 detectives and half as many Federal agents, in Chinatown and environs.</w:t>
      </w:r>
      <w:r w:rsidR="00661FF5" w:rsidRPr="00AD652D">
        <w:t>”</w:t>
      </w:r>
      <w:r w:rsidR="00123A0D" w:rsidRPr="00AD652D">
        <w:rPr>
          <w:vertAlign w:val="superscript"/>
        </w:rPr>
        <w:footnoteReference w:id="364"/>
      </w:r>
      <w:r w:rsidR="0040373E" w:rsidRPr="00AD652D">
        <w:t xml:space="preserve"> </w:t>
      </w:r>
      <w:r w:rsidR="009A7CBE" w:rsidRPr="00AD652D">
        <w:t xml:space="preserve"> </w:t>
      </w:r>
      <w:r w:rsidR="00273A22" w:rsidRPr="007D14F4">
        <w:rPr>
          <w:i/>
        </w:rPr>
        <w:t>T</w:t>
      </w:r>
      <w:r w:rsidR="009A7CBE" w:rsidRPr="007D14F4">
        <w:rPr>
          <w:i/>
        </w:rPr>
        <w:t>he</w:t>
      </w:r>
      <w:r w:rsidR="009A7CBE" w:rsidRPr="00AD652D">
        <w:t xml:space="preserve"> </w:t>
      </w:r>
      <w:r w:rsidR="00273A22" w:rsidRPr="00AD652D">
        <w:rPr>
          <w:i/>
        </w:rPr>
        <w:t>New York Times</w:t>
      </w:r>
      <w:r w:rsidR="00273A22" w:rsidRPr="00AD652D">
        <w:t xml:space="preserve"> reported:</w:t>
      </w:r>
      <w:r w:rsidR="00AC3E0D" w:rsidRPr="00AD652D">
        <w:t xml:space="preserve"> </w:t>
      </w:r>
      <w:r w:rsidR="00661FF5" w:rsidRPr="00AD652D">
        <w:t>“</w:t>
      </w:r>
      <w:r w:rsidR="00B23845" w:rsidRPr="00AD652D">
        <w:t>[t]he expulsion of so many Chinese badly crippled the Chinese chain restaurant and laundry business through</w:t>
      </w:r>
      <w:r w:rsidR="000A3951" w:rsidRPr="00AD652D">
        <w:t>ou</w:t>
      </w:r>
      <w:r w:rsidR="00B23845" w:rsidRPr="00AD652D">
        <w:t>t the metropolitan district</w:t>
      </w:r>
      <w:r w:rsidR="000A3951" w:rsidRPr="00AD652D">
        <w:t>.</w:t>
      </w:r>
      <w:r w:rsidR="00661FF5" w:rsidRPr="00AD652D">
        <w:t>”</w:t>
      </w:r>
      <w:r w:rsidR="000A3951" w:rsidRPr="00AD652D">
        <w:rPr>
          <w:rStyle w:val="FootnoteReference"/>
        </w:rPr>
        <w:footnoteReference w:id="365"/>
      </w:r>
      <w:r w:rsidR="00AC3E0D" w:rsidRPr="00AD652D">
        <w:t xml:space="preserve">  In addition, employers could threaten recalcitrant workers with deportation.</w:t>
      </w:r>
      <w:r w:rsidR="00AC3E0D" w:rsidRPr="00AD652D">
        <w:rPr>
          <w:rStyle w:val="FootnoteReference"/>
        </w:rPr>
        <w:footnoteReference w:id="366"/>
      </w:r>
      <w:r w:rsidR="00EC233A" w:rsidRPr="00AD652D">
        <w:t xml:space="preserve">  </w:t>
      </w:r>
      <w:r w:rsidR="003106F2">
        <w:t xml:space="preserve">As of 2017, </w:t>
      </w:r>
      <w:r w:rsidR="0077585F">
        <w:t>Chinese restaurants continue to be immigration enforcement targets.</w:t>
      </w:r>
      <w:r w:rsidR="0077585F">
        <w:rPr>
          <w:rStyle w:val="FootnoteReference"/>
        </w:rPr>
        <w:footnoteReference w:id="367"/>
      </w:r>
      <w:r w:rsidR="0077585F">
        <w:t xml:space="preserve">  </w:t>
      </w:r>
      <w:r w:rsidR="00EC233A" w:rsidRPr="00AD652D">
        <w:t xml:space="preserve">Chinese </w:t>
      </w:r>
      <w:r w:rsidR="0040373E" w:rsidRPr="00AD652D">
        <w:t xml:space="preserve">immigration, and Chinese </w:t>
      </w:r>
      <w:r w:rsidR="00EC233A" w:rsidRPr="00AD652D">
        <w:t>restaurants</w:t>
      </w:r>
      <w:r w:rsidR="0040373E" w:rsidRPr="00AD652D">
        <w:t>,</w:t>
      </w:r>
      <w:r w:rsidR="00EC233A" w:rsidRPr="00AD652D">
        <w:t xml:space="preserve"> had </w:t>
      </w:r>
      <w:r w:rsidR="0040373E" w:rsidRPr="00AD652D">
        <w:t xml:space="preserve">apparently </w:t>
      </w:r>
      <w:r w:rsidR="00EC233A" w:rsidRPr="00AD652D">
        <w:t>been tamed.</w:t>
      </w:r>
    </w:p>
    <w:p w14:paraId="49CF7BF0" w14:textId="0849CD1A" w:rsidR="00126671" w:rsidRPr="00AD652D" w:rsidRDefault="00074808" w:rsidP="00195169">
      <w:pPr>
        <w:spacing w:after="100" w:afterAutospacing="1"/>
      </w:pPr>
      <w:r w:rsidRPr="00AD652D">
        <w:t>Moreover, t</w:t>
      </w:r>
      <w:r w:rsidR="00126671" w:rsidRPr="00AD652D">
        <w:t>he perception of Chinese resta</w:t>
      </w:r>
      <w:r w:rsidR="00D246D1" w:rsidRPr="00AD652D">
        <w:t>u</w:t>
      </w:r>
      <w:r w:rsidR="00126671" w:rsidRPr="00AD652D">
        <w:t xml:space="preserve">rants </w:t>
      </w:r>
      <w:r w:rsidR="002E2617" w:rsidRPr="00AD652D">
        <w:t>was in the process of changing</w:t>
      </w:r>
      <w:r w:rsidR="00126671" w:rsidRPr="00AD652D">
        <w:t>.  In New York</w:t>
      </w:r>
      <w:r w:rsidR="004808C3">
        <w:t>,</w:t>
      </w:r>
      <w:r w:rsidR="00126671" w:rsidRPr="00AD652D">
        <w:t xml:space="preserve"> the Health Commissioner said </w:t>
      </w:r>
      <w:r w:rsidR="00661FF5" w:rsidRPr="00AD652D">
        <w:t>“</w:t>
      </w:r>
      <w:r w:rsidR="00126671" w:rsidRPr="00AD652D">
        <w:t>that a report had been made to him that the Chinese restaurants were the cleanest in New York.</w:t>
      </w:r>
      <w:r w:rsidR="00661FF5" w:rsidRPr="00AD652D">
        <w:t>”</w:t>
      </w:r>
      <w:r w:rsidR="00126671" w:rsidRPr="00AD652D">
        <w:rPr>
          <w:rStyle w:val="FootnoteReference"/>
        </w:rPr>
        <w:footnoteReference w:id="368"/>
      </w:r>
      <w:r w:rsidR="00126671" w:rsidRPr="00AD652D">
        <w:t xml:space="preserve">  </w:t>
      </w:r>
      <w:r w:rsidR="00D246D1" w:rsidRPr="00AD652D">
        <w:t xml:space="preserve">Connecticut </w:t>
      </w:r>
      <w:r w:rsidR="00344226">
        <w:t>authorities</w:t>
      </w:r>
      <w:r w:rsidR="00200E07" w:rsidRPr="00AD652D">
        <w:t xml:space="preserve"> reported that </w:t>
      </w:r>
      <w:r w:rsidR="00661FF5" w:rsidRPr="00AD652D">
        <w:t>“</w:t>
      </w:r>
      <w:r w:rsidR="00200E07" w:rsidRPr="00AD652D">
        <w:t>[t]</w:t>
      </w:r>
      <w:r w:rsidR="00D246D1" w:rsidRPr="00AD652D">
        <w:t>he Chinese restaurant is a feature in all towns and it is clean in its kitchen, cleaner than many other sorts in its linen and gives a more varied menu at a lower price, invariably.</w:t>
      </w:r>
      <w:r w:rsidR="00661FF5" w:rsidRPr="00AD652D">
        <w:t>”</w:t>
      </w:r>
      <w:r w:rsidR="00D246D1" w:rsidRPr="00AD652D">
        <w:rPr>
          <w:rStyle w:val="FootnoteReference"/>
        </w:rPr>
        <w:footnoteReference w:id="369"/>
      </w:r>
      <w:r w:rsidR="00126671" w:rsidRPr="00AD652D">
        <w:t xml:space="preserve">   </w:t>
      </w:r>
    </w:p>
    <w:p w14:paraId="59C6B46D" w14:textId="6B34C6FB" w:rsidR="006314A3" w:rsidRPr="00AD652D" w:rsidRDefault="00B87E7E" w:rsidP="00195169">
      <w:pPr>
        <w:spacing w:after="100" w:afterAutospacing="1"/>
      </w:pPr>
      <w:r w:rsidRPr="00AD652D">
        <w:t xml:space="preserve">On both coasts, the </w:t>
      </w:r>
      <w:r w:rsidR="00661FF5" w:rsidRPr="00AD652D">
        <w:t>“</w:t>
      </w:r>
      <w:r w:rsidRPr="00AD652D">
        <w:t>Chop Suey craze</w:t>
      </w:r>
      <w:r w:rsidR="00661FF5" w:rsidRPr="00AD652D">
        <w:t>”</w:t>
      </w:r>
      <w:r w:rsidRPr="00AD652D">
        <w:t xml:space="preserve"> continued, </w:t>
      </w:r>
      <w:r w:rsidR="00AD614F" w:rsidRPr="00AD652D">
        <w:t>but often, slumming had been replaced with glamour</w:t>
      </w:r>
      <w:r w:rsidRPr="00AD652D">
        <w:t>:</w:t>
      </w:r>
    </w:p>
    <w:p w14:paraId="16DB5FB8" w14:textId="697D4903" w:rsidR="008124B9" w:rsidRPr="00AD652D" w:rsidRDefault="008124B9" w:rsidP="00195169">
      <w:pPr>
        <w:pStyle w:val="NoSpacing"/>
        <w:spacing w:after="100" w:afterAutospacing="1"/>
      </w:pPr>
      <w:r w:rsidRPr="00AD652D">
        <w:t xml:space="preserve">Broadway between Time Square and Columbus Circle was home to fourteen big </w:t>
      </w:r>
      <w:r w:rsidR="00661FF5" w:rsidRPr="00AD652D">
        <w:t>‘</w:t>
      </w:r>
      <w:r w:rsidRPr="00AD652D">
        <w:t>chop suey jazz places.</w:t>
      </w:r>
      <w:r w:rsidR="00661FF5" w:rsidRPr="00AD652D">
        <w:t>’</w:t>
      </w:r>
      <w:r w:rsidRPr="00AD652D">
        <w:t xml:space="preserve"> One Chinese night club owner, a former Essex Street laundryman, supposedly wore a huge diamond ring, rode in an imported car, and squired around a bottle-blond burlesque dancer. In San Francisco, most of these new nightspots were in Chinatown . . . . Featuring all-Chinese singers, musicians, chorus lines, and even strippers, clubs like the Forbidden City attracted a clientele of politicians, movie stars, and businessmen out for an exotic good time.</w:t>
      </w:r>
      <w:bookmarkStart w:id="84" w:name="_Ref476406816"/>
      <w:r w:rsidRPr="00AD652D">
        <w:rPr>
          <w:vertAlign w:val="superscript"/>
        </w:rPr>
        <w:footnoteReference w:id="370"/>
      </w:r>
      <w:bookmarkEnd w:id="84"/>
      <w:r w:rsidRPr="00AD652D">
        <w:t xml:space="preserve"> </w:t>
      </w:r>
    </w:p>
    <w:p w14:paraId="399AE5B2" w14:textId="5C88AAE1" w:rsidR="000A607A" w:rsidRPr="00AD652D" w:rsidRDefault="004808C3" w:rsidP="00195169">
      <w:pPr>
        <w:spacing w:after="100" w:afterAutospacing="1"/>
        <w:ind w:firstLine="0"/>
      </w:pPr>
      <w:r w:rsidRPr="00AD652D">
        <w:t>Bing Crosby</w:t>
      </w:r>
      <w:r>
        <w:t>,</w:t>
      </w:r>
      <w:r w:rsidRPr="00AD652D">
        <w:t xml:space="preserve"> </w:t>
      </w:r>
      <w:r w:rsidR="00F609E2" w:rsidRPr="00AD652D">
        <w:t>Bob Hope, Ronald Reagan</w:t>
      </w:r>
      <w:r>
        <w:t>,</w:t>
      </w:r>
      <w:r w:rsidR="00F609E2" w:rsidRPr="00AD652D">
        <w:t xml:space="preserve"> and other celebrities patronized the Forbidden City, </w:t>
      </w:r>
      <w:r w:rsidR="003038E4" w:rsidRPr="00AD652D">
        <w:t xml:space="preserve">a </w:t>
      </w:r>
      <w:r w:rsidR="00702248">
        <w:t xml:space="preserve">glamourous </w:t>
      </w:r>
      <w:r w:rsidR="00AA1CBB" w:rsidRPr="00AD652D">
        <w:t>nightclub</w:t>
      </w:r>
      <w:r w:rsidR="00A01152" w:rsidRPr="00AD652D">
        <w:t xml:space="preserve"> in San Francisco</w:t>
      </w:r>
      <w:r w:rsidR="00661FF5" w:rsidRPr="00AD652D">
        <w:t>’</w:t>
      </w:r>
      <w:r w:rsidR="00A01152" w:rsidRPr="00AD652D">
        <w:t>s Chinatown</w:t>
      </w:r>
      <w:r w:rsidR="004C52C9" w:rsidRPr="00AD652D">
        <w:t>.</w:t>
      </w:r>
      <w:r w:rsidR="004C52C9" w:rsidRPr="00AD652D">
        <w:rPr>
          <w:rStyle w:val="FootnoteReference"/>
        </w:rPr>
        <w:footnoteReference w:id="371"/>
      </w:r>
      <w:r w:rsidR="004C52C9" w:rsidRPr="00AD652D">
        <w:t xml:space="preserve">  </w:t>
      </w:r>
      <w:r w:rsidR="000A607A" w:rsidRPr="00AD652D">
        <w:t xml:space="preserve">The first major Chinese cookbook was published in English in 1945; Chinese food </w:t>
      </w:r>
      <w:r>
        <w:t xml:space="preserve">had been </w:t>
      </w:r>
      <w:r w:rsidR="000A607A" w:rsidRPr="00AD652D">
        <w:t>tame</w:t>
      </w:r>
      <w:r>
        <w:t>d</w:t>
      </w:r>
      <w:r w:rsidR="000A607A" w:rsidRPr="00AD652D">
        <w:t xml:space="preserve"> enough to have around the house.</w:t>
      </w:r>
      <w:r w:rsidR="000A607A" w:rsidRPr="00AD652D">
        <w:rPr>
          <w:rStyle w:val="FootnoteReference"/>
        </w:rPr>
        <w:footnoteReference w:id="372"/>
      </w:r>
    </w:p>
    <w:p w14:paraId="5FCBB7E5" w14:textId="124E0CFB" w:rsidR="008A7697" w:rsidRPr="00AD652D" w:rsidRDefault="0021144C" w:rsidP="00195169">
      <w:pPr>
        <w:autoSpaceDE w:val="0"/>
        <w:autoSpaceDN w:val="0"/>
        <w:adjustRightInd w:val="0"/>
        <w:spacing w:after="100" w:afterAutospacing="1"/>
        <w:ind w:firstLine="0"/>
      </w:pPr>
      <w:r w:rsidRPr="00AD652D">
        <w:tab/>
      </w:r>
      <w:r w:rsidR="000A607A" w:rsidRPr="00AD652D">
        <w:t>And yet, u</w:t>
      </w:r>
      <w:r w:rsidR="00355FFC" w:rsidRPr="00AD652D">
        <w:t xml:space="preserve">nions </w:t>
      </w:r>
      <w:r w:rsidR="003106F2">
        <w:t>were</w:t>
      </w:r>
      <w:r w:rsidR="00355FFC" w:rsidRPr="00AD652D">
        <w:t xml:space="preserve"> right to fear that Chinese restaurants could be a Trojan Horse</w:t>
      </w:r>
      <w:r w:rsidR="000A607A" w:rsidRPr="00AD652D">
        <w:t>, an economic toehold giving the Chinese community a chance to grow</w:t>
      </w:r>
      <w:r w:rsidR="00355FFC" w:rsidRPr="00AD652D">
        <w:t xml:space="preserve">.  As Daniel </w:t>
      </w:r>
      <w:r w:rsidR="00344226">
        <w:t xml:space="preserve">Patrick </w:t>
      </w:r>
      <w:r w:rsidR="00355FFC" w:rsidRPr="00AD652D">
        <w:t xml:space="preserve">Moynihan and Nathan Glazer noted in </w:t>
      </w:r>
      <w:r w:rsidR="00466DE9" w:rsidRPr="00AD652D">
        <w:rPr>
          <w:i/>
        </w:rPr>
        <w:t>Beyond the Melting Pot</w:t>
      </w:r>
      <w:r w:rsidR="00466DE9" w:rsidRPr="00AD652D">
        <w:t xml:space="preserve">, </w:t>
      </w:r>
      <w:r w:rsidR="00F47A0B" w:rsidRPr="00AD652D">
        <w:t xml:space="preserve">restaurants could be centers of economic activity for the larger community: </w:t>
      </w:r>
      <w:r w:rsidR="00661FF5" w:rsidRPr="00AD652D">
        <w:t>“</w:t>
      </w:r>
      <w:r w:rsidR="00F47A0B" w:rsidRPr="00AD652D">
        <w:t>[t]</w:t>
      </w:r>
      <w:r w:rsidR="00466DE9" w:rsidRPr="00AD652D">
        <w:t>he Chinese restaurant uses Chinese laundries, gets its provisions from Chinese food suppliers, provides orders for Chinese noodle makers.</w:t>
      </w:r>
      <w:r w:rsidR="00661FF5" w:rsidRPr="00AD652D">
        <w:t>”</w:t>
      </w:r>
      <w:r w:rsidR="00466DE9" w:rsidRPr="00AD652D">
        <w:rPr>
          <w:rStyle w:val="FootnoteReference"/>
        </w:rPr>
        <w:footnoteReference w:id="373"/>
      </w:r>
      <w:r w:rsidR="00F47A0B" w:rsidRPr="00AD652D">
        <w:t xml:space="preserve">  In addition, a scholar explaining why Chinese Exclusion was partially repealed in 1943 </w:t>
      </w:r>
      <w:r w:rsidR="00702248">
        <w:t>noted</w:t>
      </w:r>
      <w:r w:rsidR="008D6907" w:rsidRPr="00AD652D">
        <w:t xml:space="preserve"> </w:t>
      </w:r>
    </w:p>
    <w:p w14:paraId="4680450B" w14:textId="27BD5310" w:rsidR="00B3547D" w:rsidRPr="00AD652D" w:rsidRDefault="008D6907" w:rsidP="00195169">
      <w:pPr>
        <w:autoSpaceDE w:val="0"/>
        <w:autoSpaceDN w:val="0"/>
        <w:adjustRightInd w:val="0"/>
        <w:spacing w:after="100" w:afterAutospacing="1"/>
        <w:ind w:left="720" w:firstLine="0"/>
      </w:pPr>
      <w:r w:rsidRPr="00AD652D">
        <w:t xml:space="preserve">[a]n </w:t>
      </w:r>
      <w:r w:rsidR="00B3547D" w:rsidRPr="00AD652D">
        <w:t>important factor</w:t>
      </w:r>
      <w:r w:rsidR="008A7697" w:rsidRPr="00AD652D">
        <w:t xml:space="preserve"> . . . </w:t>
      </w:r>
      <w:r w:rsidR="00B3547D" w:rsidRPr="00AD652D">
        <w:t>was</w:t>
      </w:r>
      <w:r w:rsidR="00B32378" w:rsidRPr="00AD652D">
        <w:t xml:space="preserve"> </w:t>
      </w:r>
      <w:r w:rsidR="00B3547D" w:rsidRPr="00AD652D">
        <w:t>their entrance into characteristic occupations held as a natural</w:t>
      </w:r>
      <w:r w:rsidR="00B32378" w:rsidRPr="00AD652D">
        <w:t xml:space="preserve"> </w:t>
      </w:r>
      <w:r w:rsidR="00B3547D" w:rsidRPr="00AD652D">
        <w:t>monopoly, notably, the hand</w:t>
      </w:r>
      <w:r w:rsidRPr="00AD652D">
        <w:t xml:space="preserve"> laundry and Chinese restaurant . . .  </w:t>
      </w:r>
      <w:r w:rsidR="00B3547D" w:rsidRPr="00AD652D">
        <w:t>This occupational</w:t>
      </w:r>
      <w:r w:rsidR="00B32378" w:rsidRPr="00AD652D">
        <w:t xml:space="preserve"> </w:t>
      </w:r>
      <w:r w:rsidRPr="00AD652D">
        <w:t xml:space="preserve">specialization destroyed </w:t>
      </w:r>
      <w:r w:rsidR="00661FF5" w:rsidRPr="00AD652D">
        <w:t>‘</w:t>
      </w:r>
      <w:r w:rsidR="00B3547D" w:rsidRPr="00AD652D">
        <w:t>white</w:t>
      </w:r>
      <w:r w:rsidR="00661FF5" w:rsidRPr="00AD652D">
        <w:t>’</w:t>
      </w:r>
      <w:r w:rsidR="00B3547D" w:rsidRPr="00AD652D">
        <w:t xml:space="preserve"> labor</w:t>
      </w:r>
      <w:r w:rsidR="00661FF5" w:rsidRPr="00AD652D">
        <w:t>’</w:t>
      </w:r>
      <w:r w:rsidR="00B3547D" w:rsidRPr="00AD652D">
        <w:t>s fear of competition, while</w:t>
      </w:r>
      <w:r w:rsidR="00B32378" w:rsidRPr="00AD652D">
        <w:t xml:space="preserve"> </w:t>
      </w:r>
      <w:r w:rsidR="00B3547D" w:rsidRPr="00AD652D">
        <w:t>enjoyment of the Chinese cuisine and other services won for the</w:t>
      </w:r>
      <w:r w:rsidR="00B32378" w:rsidRPr="00AD652D">
        <w:t xml:space="preserve"> </w:t>
      </w:r>
      <w:r w:rsidR="00661FF5" w:rsidRPr="00AD652D">
        <w:t>“</w:t>
      </w:r>
      <w:r w:rsidR="00B3547D" w:rsidRPr="00AD652D">
        <w:t>Celestial</w:t>
      </w:r>
      <w:r w:rsidR="00661FF5" w:rsidRPr="00AD652D">
        <w:t>”</w:t>
      </w:r>
      <w:r w:rsidR="00B3547D" w:rsidRPr="00AD652D">
        <w:t xml:space="preserve"> the patronizing good-will, if not the friendship, of a</w:t>
      </w:r>
      <w:r w:rsidR="00B32378" w:rsidRPr="00AD652D">
        <w:t xml:space="preserve"> </w:t>
      </w:r>
      <w:r w:rsidR="00B3547D" w:rsidRPr="00AD652D">
        <w:t>substantial section of the American public.</w:t>
      </w:r>
      <w:r w:rsidR="008A7697" w:rsidRPr="00AD652D">
        <w:rPr>
          <w:rStyle w:val="FootnoteReference"/>
        </w:rPr>
        <w:footnoteReference w:id="374"/>
      </w:r>
    </w:p>
    <w:p w14:paraId="752FD87F" w14:textId="47916896" w:rsidR="00F304CA" w:rsidRDefault="00F304CA" w:rsidP="00F304CA">
      <w:pPr>
        <w:spacing w:after="100" w:afterAutospacing="1"/>
        <w:ind w:firstLine="0"/>
      </w:pPr>
      <w:r w:rsidRPr="00AD652D">
        <w:t>Chinese restaurants not only provided Chinese people an opportunity to earn a living, they offered the possibility of somewhat more personal encounters with non-Chinese than was routine with a laundry.</w:t>
      </w:r>
      <w:bookmarkStart w:id="85" w:name="_Ref462526007"/>
      <w:r w:rsidRPr="00AD652D">
        <w:rPr>
          <w:rStyle w:val="FootnoteReference"/>
        </w:rPr>
        <w:footnoteReference w:id="375"/>
      </w:r>
      <w:bookmarkEnd w:id="85"/>
    </w:p>
    <w:p w14:paraId="1A5196FE" w14:textId="77777777" w:rsidR="00C146A3" w:rsidRDefault="00C146A3" w:rsidP="00F304CA">
      <w:pPr>
        <w:spacing w:after="100" w:afterAutospacing="1"/>
        <w:ind w:firstLine="0"/>
        <w:rPr>
          <w:b/>
        </w:rPr>
      </w:pPr>
    </w:p>
    <w:p w14:paraId="0F0B60DC" w14:textId="1099EEBD" w:rsidR="00B3547D" w:rsidRPr="007B18FD" w:rsidRDefault="009C7DFA" w:rsidP="00702248">
      <w:pPr>
        <w:spacing w:after="100" w:afterAutospacing="1"/>
        <w:ind w:firstLine="0"/>
        <w:jc w:val="center"/>
        <w:rPr>
          <w:b/>
        </w:rPr>
      </w:pPr>
      <w:r w:rsidRPr="007B18FD">
        <w:rPr>
          <w:b/>
        </w:rPr>
        <w:t xml:space="preserve">Conclusion: </w:t>
      </w:r>
      <w:r w:rsidR="007B18FD" w:rsidRPr="007B18FD">
        <w:rPr>
          <w:b/>
        </w:rPr>
        <w:t>Remembering the War</w:t>
      </w:r>
    </w:p>
    <w:p w14:paraId="4F6CE8C5" w14:textId="41DF398A" w:rsidR="006C3C20" w:rsidRDefault="00D253F3" w:rsidP="006C3C20">
      <w:pPr>
        <w:spacing w:after="100" w:afterAutospacing="1"/>
        <w:rPr>
          <w:bCs/>
        </w:rPr>
      </w:pPr>
      <w:r>
        <w:rPr>
          <w:bCs/>
        </w:rPr>
        <w:t xml:space="preserve">Recognizing </w:t>
      </w:r>
      <w:r w:rsidR="00F304CA">
        <w:rPr>
          <w:bCs/>
        </w:rPr>
        <w:t xml:space="preserve">that there was a </w:t>
      </w:r>
      <w:r>
        <w:rPr>
          <w:bCs/>
        </w:rPr>
        <w:t>war against Chinese restaurants offers several insights into American law.  I</w:t>
      </w:r>
      <w:r w:rsidR="006C3C20" w:rsidRPr="00AD652D">
        <w:rPr>
          <w:bCs/>
        </w:rPr>
        <w:t xml:space="preserve">t is an example of how legal ideas </w:t>
      </w:r>
      <w:r w:rsidR="003106F2">
        <w:rPr>
          <w:bCs/>
        </w:rPr>
        <w:t xml:space="preserve">can </w:t>
      </w:r>
      <w:r w:rsidR="006C3C20" w:rsidRPr="00AD652D">
        <w:rPr>
          <w:bCs/>
        </w:rPr>
        <w:t xml:space="preserve">propagate.  In this case, innovation occurred not through </w:t>
      </w:r>
      <w:r w:rsidR="00BA6886">
        <w:rPr>
          <w:bCs/>
        </w:rPr>
        <w:t>judges,</w:t>
      </w:r>
      <w:bookmarkStart w:id="86" w:name="_Ref476406942"/>
      <w:r w:rsidR="00BA6886">
        <w:rPr>
          <w:rStyle w:val="FootnoteReference"/>
          <w:bCs/>
        </w:rPr>
        <w:footnoteReference w:id="376"/>
      </w:r>
      <w:bookmarkEnd w:id="86"/>
      <w:r w:rsidR="00BA6886">
        <w:rPr>
          <w:bCs/>
        </w:rPr>
        <w:t xml:space="preserve"> </w:t>
      </w:r>
      <w:r w:rsidR="003265A7">
        <w:rPr>
          <w:bCs/>
        </w:rPr>
        <w:t>international organizations,</w:t>
      </w:r>
      <w:r w:rsidR="003265A7">
        <w:rPr>
          <w:rStyle w:val="FootnoteReference"/>
          <w:bCs/>
        </w:rPr>
        <w:footnoteReference w:id="377"/>
      </w:r>
      <w:r w:rsidR="003265A7">
        <w:rPr>
          <w:bCs/>
        </w:rPr>
        <w:t xml:space="preserve"> or </w:t>
      </w:r>
      <w:r w:rsidR="00FC032A">
        <w:rPr>
          <w:bCs/>
        </w:rPr>
        <w:t>coloni</w:t>
      </w:r>
      <w:r w:rsidR="00F304CA">
        <w:rPr>
          <w:bCs/>
        </w:rPr>
        <w:t>al bureaucrats</w:t>
      </w:r>
      <w:r w:rsidR="00FC032A">
        <w:rPr>
          <w:bCs/>
        </w:rPr>
        <w:t>,</w:t>
      </w:r>
      <w:r w:rsidR="003265A7">
        <w:rPr>
          <w:rStyle w:val="FootnoteReference"/>
          <w:bCs/>
        </w:rPr>
        <w:footnoteReference w:id="378"/>
      </w:r>
      <w:r w:rsidR="003265A7">
        <w:rPr>
          <w:bCs/>
        </w:rPr>
        <w:t xml:space="preserve"> </w:t>
      </w:r>
      <w:r w:rsidR="00FC032A">
        <w:rPr>
          <w:bCs/>
        </w:rPr>
        <w:t xml:space="preserve">or </w:t>
      </w:r>
      <w:r w:rsidR="00C146A3">
        <w:rPr>
          <w:bCs/>
        </w:rPr>
        <w:t xml:space="preserve">organizations of </w:t>
      </w:r>
      <w:r w:rsidR="00FC032A">
        <w:rPr>
          <w:bCs/>
        </w:rPr>
        <w:t xml:space="preserve">lawyers </w:t>
      </w:r>
      <w:r w:rsidR="00C146A3">
        <w:rPr>
          <w:bCs/>
        </w:rPr>
        <w:t xml:space="preserve">like </w:t>
      </w:r>
      <w:r w:rsidR="006C3C20" w:rsidRPr="00AD652D">
        <w:rPr>
          <w:bCs/>
        </w:rPr>
        <w:t>the National Conference of Commissioners on Uniform State Laws or the American Law Institute</w:t>
      </w:r>
      <w:r w:rsidR="00FC032A">
        <w:rPr>
          <w:bCs/>
        </w:rPr>
        <w:t>.</w:t>
      </w:r>
      <w:r w:rsidR="006C3C20" w:rsidRPr="00AD652D">
        <w:rPr>
          <w:bCs/>
        </w:rPr>
        <w:t xml:space="preserve"> </w:t>
      </w:r>
      <w:r w:rsidR="006B1904">
        <w:rPr>
          <w:bCs/>
        </w:rPr>
        <w:t xml:space="preserve">Instead, </w:t>
      </w:r>
      <w:r w:rsidR="006C3C20" w:rsidRPr="00AD652D">
        <w:rPr>
          <w:bCs/>
        </w:rPr>
        <w:t>labor organizations and the motivated private citizens who belonged to them</w:t>
      </w:r>
      <w:r w:rsidR="006B1904">
        <w:rPr>
          <w:bCs/>
        </w:rPr>
        <w:t xml:space="preserve"> obtained hearings for their ideas.</w:t>
      </w:r>
    </w:p>
    <w:p w14:paraId="156066DD" w14:textId="1FA764C2" w:rsidR="00B845F6" w:rsidRDefault="006B1904" w:rsidP="006B1904">
      <w:pPr>
        <w:spacing w:after="100" w:afterAutospacing="1"/>
        <w:rPr>
          <w:bCs/>
        </w:rPr>
      </w:pPr>
      <w:r w:rsidRPr="00AD652D">
        <w:rPr>
          <w:bCs/>
        </w:rPr>
        <w:t xml:space="preserve">The </w:t>
      </w:r>
      <w:r w:rsidR="00F304CA">
        <w:rPr>
          <w:bCs/>
        </w:rPr>
        <w:t>w</w:t>
      </w:r>
      <w:r>
        <w:rPr>
          <w:bCs/>
        </w:rPr>
        <w:t xml:space="preserve">ar on Chinese </w:t>
      </w:r>
      <w:r w:rsidR="00F304CA">
        <w:rPr>
          <w:bCs/>
        </w:rPr>
        <w:t>r</w:t>
      </w:r>
      <w:r>
        <w:rPr>
          <w:bCs/>
        </w:rPr>
        <w:t>estaurants</w:t>
      </w:r>
      <w:r w:rsidRPr="00AD652D">
        <w:rPr>
          <w:bCs/>
        </w:rPr>
        <w:t xml:space="preserve"> is also an example of what Douglas NeJaime has called winning through losing.</w:t>
      </w:r>
      <w:r w:rsidRPr="00AD652D">
        <w:rPr>
          <w:rStyle w:val="FootnoteReference"/>
          <w:bCs/>
        </w:rPr>
        <w:footnoteReference w:id="379"/>
      </w:r>
      <w:r w:rsidRPr="00AD652D">
        <w:t xml:space="preserve"> </w:t>
      </w:r>
      <w:r w:rsidRPr="00AD652D">
        <w:rPr>
          <w:bCs/>
        </w:rPr>
        <w:t xml:space="preserve"> Unions and law enforcement declared war on Chinese restaurants, and the Chinese restaurants won.  The innovative tool invented for the fight, banning white women from eating in Chinese restaurants, </w:t>
      </w:r>
      <w:r w:rsidR="00B845F6">
        <w:rPr>
          <w:bCs/>
        </w:rPr>
        <w:t>became law</w:t>
      </w:r>
      <w:r w:rsidRPr="00AD652D">
        <w:rPr>
          <w:bCs/>
        </w:rPr>
        <w:t xml:space="preserve"> almost nowhere, and was likely </w:t>
      </w:r>
      <w:r>
        <w:rPr>
          <w:bCs/>
        </w:rPr>
        <w:t>legally untenable.  Yet, the unions</w:t>
      </w:r>
      <w:r w:rsidR="00B845F6">
        <w:rPr>
          <w:bCs/>
        </w:rPr>
        <w:t xml:space="preserve"> </w:t>
      </w:r>
      <w:r>
        <w:rPr>
          <w:bCs/>
        </w:rPr>
        <w:t>had their cake and they ate it too</w:t>
      </w:r>
      <w:r w:rsidR="00B845F6">
        <w:rPr>
          <w:bCs/>
        </w:rPr>
        <w:t>;</w:t>
      </w:r>
      <w:r>
        <w:rPr>
          <w:bCs/>
        </w:rPr>
        <w:t xml:space="preserve"> they had the benefits of Chinese restaurants and </w:t>
      </w:r>
      <w:r w:rsidR="004036E2">
        <w:rPr>
          <w:bCs/>
        </w:rPr>
        <w:t>simultaneously</w:t>
      </w:r>
      <w:r w:rsidR="00B845F6">
        <w:rPr>
          <w:bCs/>
        </w:rPr>
        <w:t xml:space="preserve"> </w:t>
      </w:r>
      <w:r>
        <w:rPr>
          <w:bCs/>
        </w:rPr>
        <w:t>restricted competition with Asian workers</w:t>
      </w:r>
      <w:r w:rsidR="00473F3A">
        <w:rPr>
          <w:bCs/>
        </w:rPr>
        <w:t xml:space="preserve"> through federal immigration laws</w:t>
      </w:r>
      <w:r>
        <w:rPr>
          <w:bCs/>
        </w:rPr>
        <w:t xml:space="preserve">.  </w:t>
      </w:r>
    </w:p>
    <w:p w14:paraId="6B2698E6" w14:textId="3B349160" w:rsidR="000A2A38" w:rsidRDefault="00DA4AB5" w:rsidP="006C3C20">
      <w:pPr>
        <w:spacing w:after="100" w:afterAutospacing="1"/>
        <w:rPr>
          <w:bCs/>
        </w:rPr>
      </w:pPr>
      <w:r>
        <w:rPr>
          <w:bCs/>
        </w:rPr>
        <w:t>Because the states lost the battles but won the war,</w:t>
      </w:r>
      <w:r w:rsidR="00B845F6">
        <w:rPr>
          <w:bCs/>
        </w:rPr>
        <w:t xml:space="preserve"> the episode is </w:t>
      </w:r>
      <w:r w:rsidR="004036E2">
        <w:rPr>
          <w:bCs/>
        </w:rPr>
        <w:t>reminiscent of</w:t>
      </w:r>
      <w:r w:rsidR="006B1904">
        <w:rPr>
          <w:bCs/>
        </w:rPr>
        <w:t xml:space="preserve"> </w:t>
      </w:r>
      <w:r w:rsidR="003106F2">
        <w:rPr>
          <w:bCs/>
        </w:rPr>
        <w:t xml:space="preserve">the </w:t>
      </w:r>
      <w:r w:rsidR="006B1904">
        <w:rPr>
          <w:bCs/>
        </w:rPr>
        <w:t>SB 1070 saga</w:t>
      </w:r>
      <w:r w:rsidR="00960820">
        <w:rPr>
          <w:bCs/>
        </w:rPr>
        <w:t>.</w:t>
      </w:r>
      <w:r w:rsidR="00090667">
        <w:rPr>
          <w:rStyle w:val="FootnoteReference"/>
          <w:bCs/>
        </w:rPr>
        <w:footnoteReference w:id="380"/>
      </w:r>
      <w:r w:rsidR="00960820">
        <w:rPr>
          <w:bCs/>
        </w:rPr>
        <w:t xml:space="preserve"> Arizona’s SB1070,</w:t>
      </w:r>
      <w:r w:rsidR="00090667">
        <w:rPr>
          <w:bCs/>
        </w:rPr>
        <w:t xml:space="preserve"> enacted in 2010 and</w:t>
      </w:r>
      <w:r w:rsidR="00960820">
        <w:rPr>
          <w:bCs/>
        </w:rPr>
        <w:t xml:space="preserve"> copied by many states, </w:t>
      </w:r>
      <w:r w:rsidR="00B845F6">
        <w:rPr>
          <w:bCs/>
        </w:rPr>
        <w:t xml:space="preserve">sought to impose </w:t>
      </w:r>
      <w:r w:rsidR="00960820">
        <w:rPr>
          <w:bCs/>
        </w:rPr>
        <w:t xml:space="preserve">state </w:t>
      </w:r>
      <w:r w:rsidR="00B845F6">
        <w:rPr>
          <w:bCs/>
        </w:rPr>
        <w:t>system</w:t>
      </w:r>
      <w:r w:rsidR="00960820">
        <w:rPr>
          <w:bCs/>
        </w:rPr>
        <w:t>s</w:t>
      </w:r>
      <w:r w:rsidR="00B845F6">
        <w:rPr>
          <w:bCs/>
        </w:rPr>
        <w:t xml:space="preserve"> of regulation </w:t>
      </w:r>
      <w:r w:rsidR="00960820">
        <w:rPr>
          <w:bCs/>
        </w:rPr>
        <w:t xml:space="preserve">on </w:t>
      </w:r>
      <w:r w:rsidR="002B4F74">
        <w:rPr>
          <w:bCs/>
        </w:rPr>
        <w:t>undocumented immigrants.</w:t>
      </w:r>
      <w:r w:rsidR="0067098A">
        <w:rPr>
          <w:rStyle w:val="FootnoteReference"/>
          <w:bCs/>
        </w:rPr>
        <w:footnoteReference w:id="381"/>
      </w:r>
      <w:r w:rsidR="002B4F74">
        <w:rPr>
          <w:bCs/>
        </w:rPr>
        <w:t xml:space="preserve">  </w:t>
      </w:r>
      <w:r w:rsidR="005E04E9">
        <w:rPr>
          <w:bCs/>
        </w:rPr>
        <w:t>U</w:t>
      </w:r>
      <w:r w:rsidR="002B4F74">
        <w:rPr>
          <w:bCs/>
        </w:rPr>
        <w:t xml:space="preserve">nlike </w:t>
      </w:r>
      <w:r w:rsidR="0067098A">
        <w:rPr>
          <w:bCs/>
        </w:rPr>
        <w:t>their predecessors in state legislatures in the first decades of the 20</w:t>
      </w:r>
      <w:r w:rsidR="0067098A" w:rsidRPr="0067098A">
        <w:rPr>
          <w:bCs/>
          <w:vertAlign w:val="superscript"/>
        </w:rPr>
        <w:t>th</w:t>
      </w:r>
      <w:r w:rsidR="0067098A">
        <w:rPr>
          <w:bCs/>
        </w:rPr>
        <w:t xml:space="preserve"> century, </w:t>
      </w:r>
      <w:r w:rsidR="00960820">
        <w:rPr>
          <w:bCs/>
        </w:rPr>
        <w:t>modern legislators</w:t>
      </w:r>
      <w:r w:rsidR="005E04E9">
        <w:rPr>
          <w:bCs/>
        </w:rPr>
        <w:t xml:space="preserve"> insisted on </w:t>
      </w:r>
      <w:r>
        <w:rPr>
          <w:bCs/>
        </w:rPr>
        <w:t xml:space="preserve">enacting the laws and subjecting them to judicial tests </w:t>
      </w:r>
      <w:r w:rsidR="005E04E9">
        <w:rPr>
          <w:bCs/>
        </w:rPr>
        <w:t>even though the</w:t>
      </w:r>
      <w:r>
        <w:rPr>
          <w:bCs/>
        </w:rPr>
        <w:t xml:space="preserve"> statutes</w:t>
      </w:r>
      <w:r w:rsidR="005E04E9">
        <w:rPr>
          <w:bCs/>
        </w:rPr>
        <w:t xml:space="preserve"> were </w:t>
      </w:r>
      <w:r w:rsidR="0067098A">
        <w:rPr>
          <w:bCs/>
        </w:rPr>
        <w:t>palpably unconstitutional</w:t>
      </w:r>
      <w:r>
        <w:rPr>
          <w:bCs/>
        </w:rPr>
        <w:t>;</w:t>
      </w:r>
      <w:r w:rsidR="0067098A">
        <w:rPr>
          <w:rStyle w:val="FootnoteReference"/>
          <w:bCs/>
        </w:rPr>
        <w:footnoteReference w:id="382"/>
      </w:r>
      <w:r w:rsidR="0067098A">
        <w:rPr>
          <w:bCs/>
        </w:rPr>
        <w:t xml:space="preserve"> </w:t>
      </w:r>
      <w:r w:rsidR="005E04E9">
        <w:rPr>
          <w:bCs/>
        </w:rPr>
        <w:t xml:space="preserve">the Supreme Court struck </w:t>
      </w:r>
      <w:r w:rsidR="00473F3A">
        <w:rPr>
          <w:bCs/>
        </w:rPr>
        <w:t>down SB 1070</w:t>
      </w:r>
      <w:r>
        <w:rPr>
          <w:bCs/>
        </w:rPr>
        <w:t xml:space="preserve"> in 2012</w:t>
      </w:r>
      <w:r w:rsidR="005E04E9">
        <w:rPr>
          <w:bCs/>
        </w:rPr>
        <w:t>.</w:t>
      </w:r>
      <w:r w:rsidR="005E04E9">
        <w:rPr>
          <w:rStyle w:val="FootnoteReference"/>
          <w:bCs/>
        </w:rPr>
        <w:footnoteReference w:id="383"/>
      </w:r>
      <w:r w:rsidR="005E04E9">
        <w:rPr>
          <w:bCs/>
        </w:rPr>
        <w:t xml:space="preserve">  </w:t>
      </w:r>
    </w:p>
    <w:p w14:paraId="7320AF89" w14:textId="5000EC10" w:rsidR="006B1904" w:rsidRPr="00AD652D" w:rsidRDefault="006827E0" w:rsidP="006C3C20">
      <w:pPr>
        <w:spacing w:after="100" w:afterAutospacing="1"/>
        <w:rPr>
          <w:bCs/>
        </w:rPr>
      </w:pPr>
      <w:r>
        <w:rPr>
          <w:bCs/>
        </w:rPr>
        <w:t>Though a legal failure, SB 1070 was a smashing political</w:t>
      </w:r>
      <w:r w:rsidR="00473F3A">
        <w:rPr>
          <w:bCs/>
        </w:rPr>
        <w:t xml:space="preserve"> success</w:t>
      </w:r>
      <w:r>
        <w:rPr>
          <w:bCs/>
        </w:rPr>
        <w:t xml:space="preserve">.  </w:t>
      </w:r>
      <w:r w:rsidR="000A2A38">
        <w:rPr>
          <w:bCs/>
        </w:rPr>
        <w:t xml:space="preserve">It contributed to making immigration an </w:t>
      </w:r>
      <w:r w:rsidR="004036E2">
        <w:rPr>
          <w:bCs/>
        </w:rPr>
        <w:t xml:space="preserve">important </w:t>
      </w:r>
      <w:r w:rsidR="000A2A38">
        <w:rPr>
          <w:bCs/>
        </w:rPr>
        <w:t xml:space="preserve">issue in the 2016 presidential campaign.  </w:t>
      </w:r>
      <w:r>
        <w:rPr>
          <w:bCs/>
        </w:rPr>
        <w:t xml:space="preserve">SB 1070 attempted to </w:t>
      </w:r>
      <w:r w:rsidR="000A2A38">
        <w:rPr>
          <w:bCs/>
        </w:rPr>
        <w:t>allow</w:t>
      </w:r>
      <w:r>
        <w:rPr>
          <w:bCs/>
        </w:rPr>
        <w:t xml:space="preserve"> state </w:t>
      </w:r>
      <w:r w:rsidR="000A2A38">
        <w:rPr>
          <w:bCs/>
        </w:rPr>
        <w:t>and local police to enforce</w:t>
      </w:r>
      <w:r>
        <w:rPr>
          <w:bCs/>
        </w:rPr>
        <w:t xml:space="preserve"> federal immigration law</w:t>
      </w:r>
      <w:r w:rsidR="000A2A38">
        <w:rPr>
          <w:bCs/>
        </w:rPr>
        <w:t>;</w:t>
      </w:r>
      <w:r>
        <w:rPr>
          <w:bCs/>
        </w:rPr>
        <w:t xml:space="preserve"> much of what it proposed to do is on </w:t>
      </w:r>
      <w:r w:rsidR="00473F3A">
        <w:rPr>
          <w:bCs/>
        </w:rPr>
        <w:t>t</w:t>
      </w:r>
      <w:r>
        <w:rPr>
          <w:bCs/>
        </w:rPr>
        <w:t>he Trump Administ</w:t>
      </w:r>
      <w:r w:rsidR="00473F3A">
        <w:rPr>
          <w:bCs/>
        </w:rPr>
        <w:t>ration’s agenda.</w:t>
      </w:r>
      <w:r>
        <w:rPr>
          <w:bCs/>
        </w:rPr>
        <w:t xml:space="preserve">  </w:t>
      </w:r>
      <w:r w:rsidR="00814A10">
        <w:rPr>
          <w:bCs/>
        </w:rPr>
        <w:t>T</w:t>
      </w:r>
      <w:r w:rsidR="006B1904" w:rsidRPr="00AD652D">
        <w:rPr>
          <w:bCs/>
        </w:rPr>
        <w:t>he failure and unconstitutionality of local measures did not make political impulses disappear, it channeled them to the branch and level of government with the power to act</w:t>
      </w:r>
      <w:r w:rsidR="001364F5">
        <w:rPr>
          <w:bCs/>
        </w:rPr>
        <w:t>, just as</w:t>
      </w:r>
      <w:r w:rsidR="000A2A38">
        <w:rPr>
          <w:bCs/>
        </w:rPr>
        <w:t xml:space="preserve"> t</w:t>
      </w:r>
      <w:r w:rsidR="006B1904" w:rsidRPr="00AD652D">
        <w:rPr>
          <w:bCs/>
        </w:rPr>
        <w:t>he drumbeat of the economic and moral danger posed by Chinese restaurants and other Asian activities</w:t>
      </w:r>
      <w:r w:rsidR="000A2A38">
        <w:rPr>
          <w:bCs/>
        </w:rPr>
        <w:t>, and the inability to regulate them at the state level,</w:t>
      </w:r>
      <w:r w:rsidR="006B1904" w:rsidRPr="00AD652D">
        <w:rPr>
          <w:bCs/>
        </w:rPr>
        <w:t xml:space="preserve"> contributed to a climate in which Asian Exclusion could dramatically expand in 1917 and 1924.  </w:t>
      </w:r>
    </w:p>
    <w:p w14:paraId="77D184E6" w14:textId="4E6D0C6F" w:rsidR="006C3C20" w:rsidRDefault="006C3C20" w:rsidP="00814A10">
      <w:pPr>
        <w:spacing w:after="100" w:afterAutospacing="1"/>
        <w:rPr>
          <w:bCs/>
        </w:rPr>
      </w:pPr>
      <w:r w:rsidRPr="00AD652D">
        <w:rPr>
          <w:bCs/>
        </w:rPr>
        <w:t xml:space="preserve">The episode also helps explain the idea of Asian </w:t>
      </w:r>
      <w:r>
        <w:rPr>
          <w:bCs/>
        </w:rPr>
        <w:t xml:space="preserve">Pacific </w:t>
      </w:r>
      <w:r w:rsidRPr="00AD652D">
        <w:rPr>
          <w:bCs/>
        </w:rPr>
        <w:t>Americans</w:t>
      </w:r>
      <w:r w:rsidR="00B93F75">
        <w:rPr>
          <w:bCs/>
        </w:rPr>
        <w:t xml:space="preserve"> as a </w:t>
      </w:r>
      <w:r w:rsidR="000A2A38">
        <w:rPr>
          <w:bCs/>
        </w:rPr>
        <w:t xml:space="preserve">cognizable </w:t>
      </w:r>
      <w:r w:rsidR="00B93F75">
        <w:rPr>
          <w:bCs/>
        </w:rPr>
        <w:t>group</w:t>
      </w:r>
      <w:r w:rsidRPr="00AD652D">
        <w:rPr>
          <w:bCs/>
        </w:rPr>
        <w:t xml:space="preserve">.  Of course, Chinese, Japanese, Koreans, Indians, </w:t>
      </w:r>
      <w:r w:rsidR="00B93F75">
        <w:rPr>
          <w:bCs/>
        </w:rPr>
        <w:t xml:space="preserve">Cambodians, Vietnamese, </w:t>
      </w:r>
      <w:r w:rsidR="002B4226">
        <w:rPr>
          <w:bCs/>
        </w:rPr>
        <w:t xml:space="preserve">Pilipinos, </w:t>
      </w:r>
      <w:r w:rsidRPr="00AD652D">
        <w:rPr>
          <w:bCs/>
        </w:rPr>
        <w:t>and members of all other Asian national groups have different cultures and histories, often different languages, and sometimes distinct appearances.  Yet, for legal purposes, they were often amalgamated</w:t>
      </w:r>
      <w:r w:rsidR="002B4226">
        <w:rPr>
          <w:bCs/>
        </w:rPr>
        <w:t xml:space="preserve"> as a single race</w:t>
      </w:r>
      <w:r w:rsidRPr="00AD652D">
        <w:rPr>
          <w:bCs/>
        </w:rPr>
        <w:t>, because the public perception of them was that they were all part of the same yellow peril.</w:t>
      </w:r>
      <w:r w:rsidR="00814A10">
        <w:rPr>
          <w:bCs/>
        </w:rPr>
        <w:t xml:space="preserve">  Concerned about Chinese, restaurant legislation, like </w:t>
      </w:r>
      <w:r w:rsidR="002B4226">
        <w:rPr>
          <w:bCs/>
        </w:rPr>
        <w:t xml:space="preserve">federal </w:t>
      </w:r>
      <w:r w:rsidR="00814A10">
        <w:rPr>
          <w:bCs/>
        </w:rPr>
        <w:t>immigration legislation, often targeted Asians</w:t>
      </w:r>
      <w:r w:rsidR="00BC77D3">
        <w:rPr>
          <w:bCs/>
        </w:rPr>
        <w:t xml:space="preserve"> as a</w:t>
      </w:r>
      <w:r w:rsidR="001364F5">
        <w:rPr>
          <w:bCs/>
        </w:rPr>
        <w:t>n undifferentiated</w:t>
      </w:r>
      <w:r w:rsidR="00BC77D3">
        <w:rPr>
          <w:bCs/>
        </w:rPr>
        <w:t xml:space="preserve"> group</w:t>
      </w:r>
      <w:r w:rsidR="00814A10">
        <w:rPr>
          <w:bCs/>
        </w:rPr>
        <w:t>.</w:t>
      </w:r>
    </w:p>
    <w:p w14:paraId="42ECA47D" w14:textId="1540628F" w:rsidR="00DA1EE1" w:rsidRDefault="00E5626C" w:rsidP="00B93F75">
      <w:pPr>
        <w:spacing w:after="100" w:afterAutospacing="1"/>
        <w:rPr>
          <w:bCs/>
        </w:rPr>
      </w:pPr>
      <w:r>
        <w:rPr>
          <w:bCs/>
        </w:rPr>
        <w:t>T</w:t>
      </w:r>
      <w:r w:rsidR="006C3C20" w:rsidRPr="00AD652D">
        <w:rPr>
          <w:bCs/>
        </w:rPr>
        <w:t xml:space="preserve">he story </w:t>
      </w:r>
      <w:r>
        <w:rPr>
          <w:bCs/>
        </w:rPr>
        <w:t xml:space="preserve">reveals </w:t>
      </w:r>
      <w:r w:rsidR="006C3C20" w:rsidRPr="00AD652D">
        <w:rPr>
          <w:bCs/>
        </w:rPr>
        <w:t>that Asian Pacific American legal history, and, for that matter, history, has been under-investigated.  It is no surprise that Arizona, California, Montana, Oregon, and Utah targeted Asian</w:t>
      </w:r>
      <w:r w:rsidR="004E1A88">
        <w:rPr>
          <w:bCs/>
        </w:rPr>
        <w:t>s</w:t>
      </w:r>
      <w:r w:rsidR="006C3C20" w:rsidRPr="00AD652D">
        <w:rPr>
          <w:bCs/>
        </w:rPr>
        <w:t>; those states enacted laws prohibiting Asians from intermarrying with whites,</w:t>
      </w:r>
      <w:r w:rsidR="006C3C20" w:rsidRPr="00AD652D">
        <w:rPr>
          <w:rStyle w:val="FootnoteReference"/>
          <w:bCs/>
        </w:rPr>
        <w:footnoteReference w:id="384"/>
      </w:r>
      <w:r w:rsidR="006C3C20" w:rsidRPr="00AD652D">
        <w:rPr>
          <w:bCs/>
        </w:rPr>
        <w:t xml:space="preserve"> and owning land.</w:t>
      </w:r>
      <w:r w:rsidR="006C3C20" w:rsidRPr="00AD652D">
        <w:rPr>
          <w:rStyle w:val="FootnoteReference"/>
          <w:bCs/>
        </w:rPr>
        <w:footnoteReference w:id="385"/>
      </w:r>
      <w:r w:rsidR="006C3C20" w:rsidRPr="00AD652D">
        <w:rPr>
          <w:bCs/>
        </w:rPr>
        <w:t xml:space="preserve"> </w:t>
      </w:r>
      <w:r>
        <w:rPr>
          <w:bCs/>
        </w:rPr>
        <w:t xml:space="preserve"> </w:t>
      </w:r>
      <w:r w:rsidR="006C3C20" w:rsidRPr="00AD652D">
        <w:rPr>
          <w:bCs/>
        </w:rPr>
        <w:t xml:space="preserve">Given their animus, additional </w:t>
      </w:r>
      <w:r>
        <w:rPr>
          <w:bCs/>
        </w:rPr>
        <w:t>discriminatory</w:t>
      </w:r>
      <w:r w:rsidR="006C3C20" w:rsidRPr="00AD652D">
        <w:rPr>
          <w:bCs/>
        </w:rPr>
        <w:t xml:space="preserve"> actions were predictable. But </w:t>
      </w:r>
      <w:r w:rsidR="00E5228C">
        <w:rPr>
          <w:bCs/>
        </w:rPr>
        <w:t xml:space="preserve">the eastern and </w:t>
      </w:r>
      <w:r w:rsidR="004E1A88">
        <w:rPr>
          <w:bCs/>
        </w:rPr>
        <w:t>m</w:t>
      </w:r>
      <w:r w:rsidR="00E5228C">
        <w:rPr>
          <w:bCs/>
        </w:rPr>
        <w:t xml:space="preserve">idwestern states of </w:t>
      </w:r>
      <w:r w:rsidR="006C3C20" w:rsidRPr="00AD652D">
        <w:rPr>
          <w:bCs/>
        </w:rPr>
        <w:t xml:space="preserve">Illinois, Massachusetts, Minnesota, </w:t>
      </w:r>
      <w:r w:rsidR="001823A5">
        <w:rPr>
          <w:bCs/>
        </w:rPr>
        <w:t xml:space="preserve">New York, </w:t>
      </w:r>
      <w:r w:rsidR="006C3C20" w:rsidRPr="00AD652D">
        <w:rPr>
          <w:bCs/>
        </w:rPr>
        <w:t xml:space="preserve">Ohio, and Pennsylvania had no race-based miscegenation or land laws.  Yet, those states or cities within them carried on </w:t>
      </w:r>
      <w:r w:rsidR="008A39DC">
        <w:rPr>
          <w:bCs/>
        </w:rPr>
        <w:t xml:space="preserve">heretofore unexplored </w:t>
      </w:r>
      <w:r w:rsidR="00E5228C">
        <w:rPr>
          <w:bCs/>
        </w:rPr>
        <w:t>legal attack</w:t>
      </w:r>
      <w:r w:rsidR="004E1A88">
        <w:rPr>
          <w:bCs/>
        </w:rPr>
        <w:t>s on</w:t>
      </w:r>
      <w:r w:rsidR="00E5228C">
        <w:rPr>
          <w:bCs/>
        </w:rPr>
        <w:t xml:space="preserve"> </w:t>
      </w:r>
      <w:r w:rsidR="006C3C20" w:rsidRPr="00AD652D">
        <w:rPr>
          <w:bCs/>
        </w:rPr>
        <w:t xml:space="preserve">Chinese </w:t>
      </w:r>
      <w:r w:rsidR="004E1A88">
        <w:rPr>
          <w:bCs/>
        </w:rPr>
        <w:t>economic activity</w:t>
      </w:r>
      <w:r w:rsidR="006C3C20" w:rsidRPr="00AD652D">
        <w:rPr>
          <w:bCs/>
        </w:rPr>
        <w:t>.</w:t>
      </w:r>
    </w:p>
    <w:p w14:paraId="3B2EB99A" w14:textId="11B6E2E0" w:rsidR="00B93F75" w:rsidRPr="00AD652D" w:rsidRDefault="00DA1EE1" w:rsidP="006C3C20">
      <w:pPr>
        <w:spacing w:after="100" w:afterAutospacing="1"/>
        <w:rPr>
          <w:bCs/>
        </w:rPr>
      </w:pPr>
      <w:r>
        <w:rPr>
          <w:bCs/>
        </w:rPr>
        <w:t xml:space="preserve">One </w:t>
      </w:r>
      <w:r w:rsidR="000A2A38">
        <w:rPr>
          <w:bCs/>
        </w:rPr>
        <w:t>advantage</w:t>
      </w:r>
      <w:r>
        <w:rPr>
          <w:bCs/>
        </w:rPr>
        <w:t xml:space="preserve"> </w:t>
      </w:r>
      <w:r w:rsidR="000A2A38">
        <w:rPr>
          <w:bCs/>
        </w:rPr>
        <w:t>revealed by campaigns against Chinese restaurants is that the Chinese</w:t>
      </w:r>
      <w:r>
        <w:rPr>
          <w:bCs/>
        </w:rPr>
        <w:t xml:space="preserve"> enjoyed some d</w:t>
      </w:r>
      <w:r w:rsidR="00B93F75">
        <w:t>iplomatic protection</w:t>
      </w:r>
      <w:r>
        <w:t xml:space="preserve"> of their interests</w:t>
      </w:r>
      <w:r w:rsidR="00B93F75">
        <w:t xml:space="preserve">.  </w:t>
      </w:r>
      <w:r w:rsidR="00B93F75" w:rsidRPr="00AD652D">
        <w:t xml:space="preserve">In 1901, the Chinese legation filed a claim </w:t>
      </w:r>
      <w:r w:rsidR="004E1A88">
        <w:t xml:space="preserve">for damages </w:t>
      </w:r>
      <w:r w:rsidR="00B93F75" w:rsidRPr="00AD652D">
        <w:t xml:space="preserve">with the State Department </w:t>
      </w:r>
      <w:r w:rsidR="004E1A88">
        <w:t>for mistreatment by Americans.</w:t>
      </w:r>
      <w:r w:rsidR="00B93F75" w:rsidRPr="00AD652D">
        <w:rPr>
          <w:rStyle w:val="FootnoteReference"/>
        </w:rPr>
        <w:footnoteReference w:id="386"/>
      </w:r>
      <w:r>
        <w:t xml:space="preserve">  When the Pittsburgh City Council threatened discriminatory legislation, </w:t>
      </w:r>
      <w:r w:rsidR="00B93F75" w:rsidRPr="00AD652D">
        <w:t xml:space="preserve">Chinese restaurant keepers </w:t>
      </w:r>
      <w:r w:rsidR="00FF633F">
        <w:t xml:space="preserve">could seek help from their </w:t>
      </w:r>
      <w:r w:rsidR="00B93F75" w:rsidRPr="00AD652D">
        <w:t>ambassador</w:t>
      </w:r>
      <w:r w:rsidR="00FF633F">
        <w:t xml:space="preserve">, and invoke their </w:t>
      </w:r>
      <w:r w:rsidR="00B93F75" w:rsidRPr="00AD652D">
        <w:t>treaty rights</w:t>
      </w:r>
      <w:r w:rsidR="00D62A70">
        <w:t>;</w:t>
      </w:r>
      <w:r w:rsidR="00B93F75" w:rsidRPr="00AD652D">
        <w:rPr>
          <w:vertAlign w:val="superscript"/>
        </w:rPr>
        <w:footnoteReference w:id="387"/>
      </w:r>
      <w:r w:rsidR="00B93F75" w:rsidRPr="00AD652D">
        <w:t xml:space="preserve"> </w:t>
      </w:r>
      <w:r w:rsidR="00D62A70">
        <w:t>a letter from the Secretary of State shut down an anti-Chinese restaurant bill in Montana.</w:t>
      </w:r>
      <w:r w:rsidR="004A261A">
        <w:rPr>
          <w:rStyle w:val="FootnoteReference"/>
        </w:rPr>
        <w:footnoteReference w:id="388"/>
      </w:r>
      <w:r w:rsidR="00D62A70">
        <w:t xml:space="preserve">  </w:t>
      </w:r>
      <w:r w:rsidR="00FF633F">
        <w:t>When Chinese men</w:t>
      </w:r>
      <w:r w:rsidR="00D62A70">
        <w:t xml:space="preserve"> around the country</w:t>
      </w:r>
      <w:r w:rsidR="00FF633F">
        <w:t xml:space="preserve"> were harassed by the police after the murder of Elsie Sigel, members of the community could </w:t>
      </w:r>
      <w:r w:rsidR="00D62A70">
        <w:t xml:space="preserve">call </w:t>
      </w:r>
      <w:r w:rsidR="00B93F75" w:rsidRPr="00AD652D">
        <w:t>“on the Chinese Legation and afterward went to the State Department [to protest] the manner in which . . . the Chinamen of New York, Philadelphia, and other large cities of the country are being persecuted by police.”</w:t>
      </w:r>
      <w:r w:rsidR="00B93F75" w:rsidRPr="00AD652D">
        <w:rPr>
          <w:rStyle w:val="FootnoteReference"/>
        </w:rPr>
        <w:footnoteReference w:id="389"/>
      </w:r>
      <w:r w:rsidR="00B93F75" w:rsidRPr="00AD652D">
        <w:t xml:space="preserve"> </w:t>
      </w:r>
      <w:r w:rsidR="00D62A70">
        <w:t>Of course, invoking diplomatic assistance hardly assured victory.  But it was almost certainly better than nothing</w:t>
      </w:r>
      <w:r w:rsidR="004E1A88">
        <w:t>.</w:t>
      </w:r>
      <w:r w:rsidR="004A261A">
        <w:t xml:space="preserve"> </w:t>
      </w:r>
      <w:r w:rsidR="004E1A88">
        <w:t xml:space="preserve"> By contrast, </w:t>
      </w:r>
      <w:r w:rsidR="004A261A">
        <w:t xml:space="preserve">African Americans and Indians in the United States could rarely turn to </w:t>
      </w:r>
      <w:r w:rsidR="00D67523">
        <w:t xml:space="preserve">an outside power for </w:t>
      </w:r>
      <w:r w:rsidR="004E1A88">
        <w:t>protection</w:t>
      </w:r>
      <w:r w:rsidR="00D62A70">
        <w:t>.</w:t>
      </w:r>
    </w:p>
    <w:p w14:paraId="2165A853" w14:textId="32D5FA0B" w:rsidR="00AD652D" w:rsidRPr="00AD652D" w:rsidRDefault="006C3C20" w:rsidP="004E1A88">
      <w:pPr>
        <w:spacing w:after="100" w:afterAutospacing="1"/>
        <w:ind w:firstLine="0"/>
      </w:pPr>
      <w:r>
        <w:tab/>
      </w:r>
      <w:r w:rsidR="009D2D1E">
        <w:t xml:space="preserve">Perhaps the most important implication of the campaign is that it </w:t>
      </w:r>
      <w:r w:rsidR="008A39DC">
        <w:t>represents another</w:t>
      </w:r>
      <w:r w:rsidR="004E1A88">
        <w:t xml:space="preserve"> chapter in </w:t>
      </w:r>
      <w:r w:rsidR="001823A5">
        <w:t>the persistent</w:t>
      </w:r>
      <w:r w:rsidR="004E1A88">
        <w:t>,</w:t>
      </w:r>
      <w:r w:rsidR="001823A5">
        <w:t xml:space="preserve"> systematic economic exploitation of </w:t>
      </w:r>
      <w:r w:rsidR="00AD652D" w:rsidRPr="00AD652D">
        <w:t xml:space="preserve">people of color </w:t>
      </w:r>
      <w:r w:rsidR="004E1A88">
        <w:t>in the United States</w:t>
      </w:r>
      <w:r w:rsidR="00AD652D" w:rsidRPr="00AD652D">
        <w:t>.  For example, the Constitution protected slavery, designed to derive advantage from involuntary African American labor.</w:t>
      </w:r>
      <w:r w:rsidR="00AD652D" w:rsidRPr="00AD652D">
        <w:rPr>
          <w:rStyle w:val="FootnoteReference"/>
        </w:rPr>
        <w:footnoteReference w:id="390"/>
      </w:r>
      <w:r w:rsidR="00AD652D" w:rsidRPr="00AD652D">
        <w:t xml:space="preserve">  After the Civil War, Reconstruction, and Redemption, in many parts of the country African Americans were compelled to work by a compromised criminal justice system.</w:t>
      </w:r>
      <w:r w:rsidR="00AD652D" w:rsidRPr="00AD652D">
        <w:rPr>
          <w:rStyle w:val="FootnoteReference"/>
        </w:rPr>
        <w:footnoteReference w:id="391"/>
      </w:r>
      <w:r w:rsidR="00AD652D" w:rsidRPr="00AD652D">
        <w:t xml:space="preserve">  Similarly, Latinos in the United States have often labored without the opportunity for </w:t>
      </w:r>
      <w:r w:rsidR="008F248E">
        <w:t>equal treatment</w:t>
      </w:r>
      <w:r w:rsidR="00AD652D" w:rsidRPr="00AD652D">
        <w:t>.</w:t>
      </w:r>
      <w:r w:rsidR="00AD652D" w:rsidRPr="00AD652D">
        <w:rPr>
          <w:rStyle w:val="FootnoteReference"/>
        </w:rPr>
        <w:footnoteReference w:id="392"/>
      </w:r>
      <w:r w:rsidR="00AD652D" w:rsidRPr="00AD652D">
        <w:t xml:space="preserve">  The Indian tribes </w:t>
      </w:r>
      <w:r w:rsidR="00450754">
        <w:t xml:space="preserve">once </w:t>
      </w:r>
      <w:r w:rsidR="00AD652D" w:rsidRPr="00AD652D">
        <w:t xml:space="preserve">possessed priceless real estate, </w:t>
      </w:r>
      <w:r w:rsidR="00450754">
        <w:t>now they do not</w:t>
      </w:r>
      <w:r w:rsidR="00AD652D" w:rsidRPr="00AD652D">
        <w:t>.</w:t>
      </w:r>
      <w:r w:rsidR="00AD652D" w:rsidRPr="00AD652D">
        <w:rPr>
          <w:rStyle w:val="FootnoteReference"/>
        </w:rPr>
        <w:footnoteReference w:id="393"/>
      </w:r>
      <w:r w:rsidR="00AD652D" w:rsidRPr="00AD652D">
        <w:t xml:space="preserve"> Later, the United States held a fortune in Indian property “in trust,” an obligation which, in the decades it has been in force, has been honored occasionally if at all.</w:t>
      </w:r>
      <w:r w:rsidR="00AD652D" w:rsidRPr="00AD652D">
        <w:rPr>
          <w:rStyle w:val="FootnoteReference"/>
        </w:rPr>
        <w:footnoteReference w:id="394"/>
      </w:r>
      <w:r w:rsidR="00AD652D" w:rsidRPr="00AD652D">
        <w:t xml:space="preserve">  </w:t>
      </w:r>
    </w:p>
    <w:p w14:paraId="640FDCE8" w14:textId="177C361F" w:rsidR="000268AD" w:rsidRDefault="00AD652D" w:rsidP="006D6906">
      <w:pPr>
        <w:spacing w:after="100" w:afterAutospacing="1"/>
      </w:pPr>
      <w:r w:rsidRPr="00AD652D">
        <w:t>Chinese Americans and other Asian Americans were also targeted by law</w:t>
      </w:r>
      <w:r w:rsidR="00F80D2B">
        <w:t xml:space="preserve">, for </w:t>
      </w:r>
      <w:r w:rsidR="008A39DC">
        <w:t>economic</w:t>
      </w:r>
      <w:r w:rsidR="00F80D2B">
        <w:t xml:space="preserve"> reasons</w:t>
      </w:r>
      <w:r w:rsidR="008F248E">
        <w:t xml:space="preserve">.  On its face, </w:t>
      </w:r>
      <w:r w:rsidRPr="00AD652D">
        <w:t>the method was different. Southern planters and other business owners desired African American labor at below-market prices, illegally importing enslaved persons before the Civil War,</w:t>
      </w:r>
      <w:r w:rsidRPr="00AD652D">
        <w:rPr>
          <w:rStyle w:val="FootnoteReference"/>
        </w:rPr>
        <w:footnoteReference w:id="395"/>
      </w:r>
      <w:r w:rsidRPr="00AD652D">
        <w:t xml:space="preserve"> and, even after the formal abolition of slavery, using law to prevent African American migration out of the South.</w:t>
      </w:r>
      <w:r w:rsidRPr="00AD652D">
        <w:rPr>
          <w:rStyle w:val="FootnoteReference"/>
        </w:rPr>
        <w:footnoteReference w:id="396"/>
      </w:r>
      <w:r w:rsidRPr="00AD652D">
        <w:t xml:space="preserve">  With Chinese and other Asians, the concern was economic competition with workers on the Pacific coast, and the legal solution was exclusion, both of future competitors and of those already present in the United States</w:t>
      </w:r>
      <w:r w:rsidR="00AB5CDB">
        <w:t>, with little regard for their lawful presence or the fact that some were citizens.</w:t>
      </w:r>
      <w:r w:rsidRPr="00AD652D">
        <w:t xml:space="preserve">  </w:t>
      </w:r>
    </w:p>
    <w:p w14:paraId="53F7294E" w14:textId="13350FFE" w:rsidR="00AD652D" w:rsidRPr="00AD652D" w:rsidRDefault="006D6906" w:rsidP="00195169">
      <w:pPr>
        <w:spacing w:after="100" w:afterAutospacing="1"/>
      </w:pPr>
      <w:r w:rsidRPr="00AD652D">
        <w:t>California’s anti-Asian alien land law, which prohibited Asians from owning agricultural land, was intended “to discourage the coming of Japanese into this state.”</w:t>
      </w:r>
      <w:bookmarkStart w:id="87" w:name="_Ref461984698"/>
      <w:r w:rsidRPr="00AD652D">
        <w:rPr>
          <w:rStyle w:val="FootnoteReference"/>
        </w:rPr>
        <w:footnoteReference w:id="397"/>
      </w:r>
      <w:bookmarkEnd w:id="87"/>
      <w:r w:rsidRPr="00AD652D">
        <w:t xml:space="preserve">  Laws prohibiting land ownership by Asians</w:t>
      </w:r>
      <w:r w:rsidR="00F80D2B">
        <w:t>,</w:t>
      </w:r>
      <w:r w:rsidRPr="00AD652D">
        <w:t xml:space="preserve"> adopted throughout the West, were upheld by the Supreme Court.</w:t>
      </w:r>
      <w:r w:rsidRPr="00AD652D">
        <w:rPr>
          <w:rStyle w:val="FootnoteReference"/>
        </w:rPr>
        <w:footnoteReference w:id="398"/>
      </w:r>
      <w:r w:rsidRPr="00AD652D">
        <w:t xml:space="preserve"> Targeting businesses owned by or employing Chinese would </w:t>
      </w:r>
      <w:r w:rsidR="00F80D2B">
        <w:t>likewise</w:t>
      </w:r>
      <w:r w:rsidRPr="00AD652D">
        <w:t xml:space="preserve"> encourage their departure.</w:t>
      </w:r>
      <w:r w:rsidRPr="00AD652D">
        <w:rPr>
          <w:rStyle w:val="FootnoteReference"/>
        </w:rPr>
        <w:footnoteReference w:id="399"/>
      </w:r>
      <w:r w:rsidRPr="00AD652D">
        <w:t xml:space="preserve">  Discrimination against Chinese laundries is reflected in the celebrated case of </w:t>
      </w:r>
      <w:r w:rsidRPr="00AD652D">
        <w:rPr>
          <w:i/>
        </w:rPr>
        <w:t>Yick Wo v. Hopkins</w:t>
      </w:r>
      <w:r w:rsidRPr="00AD652D">
        <w:t>,</w:t>
      </w:r>
      <w:r w:rsidRPr="00AD652D">
        <w:rPr>
          <w:rStyle w:val="FootnoteReference"/>
        </w:rPr>
        <w:footnoteReference w:id="400"/>
      </w:r>
      <w:r w:rsidRPr="00AD652D">
        <w:t xml:space="preserve"> which exemplifies the decades-long West Coast effort to prevent Chinese laundries from gaining an economic foothold and becoming permanent competitors.</w:t>
      </w:r>
      <w:r w:rsidRPr="00AD652D">
        <w:rPr>
          <w:rStyle w:val="FootnoteReference"/>
        </w:rPr>
        <w:footnoteReference w:id="401"/>
      </w:r>
      <w:r w:rsidRPr="00AD652D">
        <w:t xml:space="preserve"> </w:t>
      </w:r>
      <w:r w:rsidR="000268AD">
        <w:t xml:space="preserve"> </w:t>
      </w:r>
      <w:r w:rsidR="00321A6B">
        <w:t xml:space="preserve">The effort to drive out lawful Chinese residents is reminiscent of </w:t>
      </w:r>
      <w:r w:rsidR="007805F0">
        <w:t>the periods of economic difficulty when p</w:t>
      </w:r>
      <w:r w:rsidR="00B813BE">
        <w:t xml:space="preserve">ersons of Mexican ancestry, citizen and noncitizen alike, </w:t>
      </w:r>
      <w:r w:rsidR="00E516D8">
        <w:t>were “repatriated” to Mexico</w:t>
      </w:r>
      <w:r w:rsidR="007805F0">
        <w:t xml:space="preserve"> to ease the</w:t>
      </w:r>
      <w:r w:rsidR="001753F4">
        <w:t>ir competition for jobs with whites</w:t>
      </w:r>
      <w:r w:rsidR="00E516D8">
        <w:t>.</w:t>
      </w:r>
      <w:r w:rsidR="00E516D8">
        <w:rPr>
          <w:rStyle w:val="FootnoteReference"/>
        </w:rPr>
        <w:footnoteReference w:id="402"/>
      </w:r>
      <w:r w:rsidR="00B813BE">
        <w:t xml:space="preserve"> </w:t>
      </w:r>
      <w:r w:rsidR="007B7C6A">
        <w:t xml:space="preserve"> </w:t>
      </w:r>
      <w:r w:rsidR="007B3475">
        <w:t xml:space="preserve">Although the </w:t>
      </w:r>
      <w:r w:rsidR="00AB5CDB">
        <w:t xml:space="preserve">specific </w:t>
      </w:r>
      <w:r w:rsidR="007B3475">
        <w:t xml:space="preserve">techniques used against various non-white groups differed, </w:t>
      </w:r>
      <w:r w:rsidR="005A6F26">
        <w:t>they shared</w:t>
      </w:r>
      <w:r w:rsidR="005F2370">
        <w:t xml:space="preserve"> the </w:t>
      </w:r>
      <w:r w:rsidR="007B3475">
        <w:t xml:space="preserve">underlying </w:t>
      </w:r>
      <w:r w:rsidR="005F2370">
        <w:t>idea that public policy should be structured to benefit white Americans.</w:t>
      </w:r>
    </w:p>
    <w:p w14:paraId="0BC1CE56" w14:textId="75B336BF" w:rsidR="00031A2C" w:rsidRDefault="006C39AF" w:rsidP="00195169">
      <w:pPr>
        <w:spacing w:after="100" w:afterAutospacing="1"/>
        <w:rPr>
          <w:rFonts w:eastAsia="Times New Roman"/>
        </w:rPr>
      </w:pPr>
      <w:r w:rsidRPr="00AD652D">
        <w:rPr>
          <w:bCs/>
        </w:rPr>
        <w:t>E</w:t>
      </w:r>
      <w:r w:rsidR="00DC279E" w:rsidRPr="00AD652D">
        <w:rPr>
          <w:bCs/>
        </w:rPr>
        <w:t xml:space="preserve">ven now, Chinese restaurants run for people of all races often by American-born U.S. citizens seem to contribute to the conceptualization of Asians as </w:t>
      </w:r>
      <w:r w:rsidR="005A6F26">
        <w:rPr>
          <w:bCs/>
        </w:rPr>
        <w:t xml:space="preserve">perpetual </w:t>
      </w:r>
      <w:r w:rsidR="00DC279E" w:rsidRPr="00AD652D">
        <w:rPr>
          <w:bCs/>
        </w:rPr>
        <w:t xml:space="preserve">foreigners.  </w:t>
      </w:r>
      <w:r w:rsidR="0071448D" w:rsidRPr="00AD652D">
        <w:rPr>
          <w:rFonts w:eastAsia="Times New Roman"/>
        </w:rPr>
        <w:t xml:space="preserve">During a moment of tension with China, </w:t>
      </w:r>
      <w:r w:rsidR="00661FF5" w:rsidRPr="00AD652D">
        <w:rPr>
          <w:rFonts w:eastAsia="Times New Roman"/>
        </w:rPr>
        <w:t>“</w:t>
      </w:r>
      <w:r w:rsidR="0071448D" w:rsidRPr="00AD652D">
        <w:rPr>
          <w:rFonts w:eastAsia="Times New Roman"/>
        </w:rPr>
        <w:t>[a]</w:t>
      </w:r>
      <w:r w:rsidR="00031A2C" w:rsidRPr="00AD652D">
        <w:rPr>
          <w:rFonts w:eastAsia="Times New Roman"/>
        </w:rPr>
        <w:t xml:space="preserve"> radio station disc jockey in Springfield, Illinois suggested boycotting Chinese restaurants.</w:t>
      </w:r>
      <w:r w:rsidR="00661FF5" w:rsidRPr="00AD652D">
        <w:rPr>
          <w:rFonts w:eastAsia="Times New Roman"/>
        </w:rPr>
        <w:t>”</w:t>
      </w:r>
      <w:r w:rsidR="0071448D" w:rsidRPr="00AD652D">
        <w:rPr>
          <w:rStyle w:val="FootnoteReference"/>
          <w:rFonts w:eastAsia="Times New Roman"/>
        </w:rPr>
        <w:footnoteReference w:id="403"/>
      </w:r>
      <w:r w:rsidR="00DC279E" w:rsidRPr="00AD652D">
        <w:rPr>
          <w:rFonts w:eastAsia="Times New Roman"/>
        </w:rPr>
        <w:t xml:space="preserve">  </w:t>
      </w:r>
      <w:r w:rsidR="00AB5CDB">
        <w:rPr>
          <w:rFonts w:eastAsia="Times New Roman"/>
        </w:rPr>
        <w:t xml:space="preserve">U.S. citizen </w:t>
      </w:r>
      <w:r w:rsidR="005D3FAF" w:rsidRPr="00AD652D">
        <w:rPr>
          <w:rFonts w:eastAsia="Times New Roman"/>
        </w:rPr>
        <w:t xml:space="preserve">Wen Ho </w:t>
      </w:r>
      <w:r w:rsidRPr="00AD652D">
        <w:rPr>
          <w:rFonts w:eastAsia="Times New Roman"/>
        </w:rPr>
        <w:t>L</w:t>
      </w:r>
      <w:r w:rsidR="005D3FAF" w:rsidRPr="00AD652D">
        <w:rPr>
          <w:rFonts w:eastAsia="Times New Roman"/>
        </w:rPr>
        <w:t>ee</w:t>
      </w:r>
      <w:r w:rsidRPr="00AD652D">
        <w:rPr>
          <w:rFonts w:eastAsia="Times New Roman"/>
        </w:rPr>
        <w:t xml:space="preserve">, a </w:t>
      </w:r>
      <w:r w:rsidR="00FE322B">
        <w:rPr>
          <w:rFonts w:eastAsia="Times New Roman"/>
        </w:rPr>
        <w:t xml:space="preserve">nuclear </w:t>
      </w:r>
      <w:r w:rsidRPr="00AD652D">
        <w:rPr>
          <w:rFonts w:eastAsia="Times New Roman"/>
        </w:rPr>
        <w:t>scientist of Chinese racial ancestry wrongly accused of spying for China</w:t>
      </w:r>
      <w:r w:rsidR="005D3FAF" w:rsidRPr="00AD652D">
        <w:rPr>
          <w:rFonts w:eastAsia="Times New Roman"/>
        </w:rPr>
        <w:t xml:space="preserve"> </w:t>
      </w:r>
      <w:r w:rsidRPr="00AD652D">
        <w:rPr>
          <w:rFonts w:eastAsia="Times New Roman"/>
        </w:rPr>
        <w:t xml:space="preserve">may have been charged in part because of Chinese restaurants.   </w:t>
      </w:r>
      <w:r w:rsidR="00C8208D">
        <w:rPr>
          <w:rFonts w:eastAsia="Times New Roman"/>
        </w:rPr>
        <w:t xml:space="preserve">A witness </w:t>
      </w:r>
      <w:r w:rsidR="00661FF5" w:rsidRPr="00AD652D">
        <w:rPr>
          <w:rFonts w:eastAsia="Times New Roman"/>
        </w:rPr>
        <w:t>“</w:t>
      </w:r>
      <w:r w:rsidR="00031A2C" w:rsidRPr="00AD652D">
        <w:rPr>
          <w:rFonts w:eastAsia="Times New Roman"/>
        </w:rPr>
        <w:t>noting something nefarious about the number of Chinese restaurants in Los Alamos</w:t>
      </w:r>
      <w:r w:rsidR="00C8208D">
        <w:rPr>
          <w:rFonts w:eastAsia="Times New Roman"/>
        </w:rPr>
        <w:t>;</w:t>
      </w:r>
      <w:r w:rsidR="00661FF5" w:rsidRPr="00AD652D">
        <w:rPr>
          <w:rFonts w:eastAsia="Times New Roman"/>
        </w:rPr>
        <w:t>”</w:t>
      </w:r>
      <w:r w:rsidR="00DB5256" w:rsidRPr="00AD652D">
        <w:rPr>
          <w:rFonts w:eastAsia="Times New Roman"/>
        </w:rPr>
        <w:t xml:space="preserve"> </w:t>
      </w:r>
      <w:r w:rsidR="0041291D" w:rsidRPr="00AD652D">
        <w:rPr>
          <w:rFonts w:eastAsia="Times New Roman"/>
        </w:rPr>
        <w:t xml:space="preserve">an investigator </w:t>
      </w:r>
      <w:r w:rsidR="00C8208D">
        <w:rPr>
          <w:rFonts w:eastAsia="Times New Roman"/>
        </w:rPr>
        <w:t>reportedly said</w:t>
      </w:r>
      <w:r w:rsidR="00031A2C" w:rsidRPr="00AD652D">
        <w:rPr>
          <w:rFonts w:eastAsia="Times New Roman"/>
        </w:rPr>
        <w:t xml:space="preserve"> </w:t>
      </w:r>
      <w:r w:rsidR="00661FF5" w:rsidRPr="00AD652D">
        <w:rPr>
          <w:rFonts w:eastAsia="Times New Roman"/>
        </w:rPr>
        <w:t>“</w:t>
      </w:r>
      <w:r w:rsidR="00031A2C" w:rsidRPr="00AD652D">
        <w:rPr>
          <w:rFonts w:eastAsia="Times New Roman"/>
        </w:rPr>
        <w:t>just the fact that there are five Chinese restaurants here meant that the Chinese government had an interest.</w:t>
      </w:r>
      <w:r w:rsidR="00661FF5" w:rsidRPr="00AD652D">
        <w:rPr>
          <w:rFonts w:eastAsia="Times New Roman"/>
        </w:rPr>
        <w:t>”</w:t>
      </w:r>
      <w:r w:rsidR="009B74CC" w:rsidRPr="00AD652D">
        <w:rPr>
          <w:rStyle w:val="FootnoteReference"/>
          <w:rFonts w:eastAsia="Times New Roman"/>
        </w:rPr>
        <w:footnoteReference w:id="404"/>
      </w:r>
    </w:p>
    <w:p w14:paraId="094D55DD" w14:textId="6A7F9CEF" w:rsidR="003D5521" w:rsidRDefault="00FE322B" w:rsidP="00590C19">
      <w:pPr>
        <w:spacing w:after="100" w:afterAutospacing="1"/>
      </w:pPr>
      <w:r>
        <w:rPr>
          <w:rFonts w:eastAsia="Times New Roman"/>
        </w:rPr>
        <w:t>The Trump Administration’s actions and ideology</w:t>
      </w:r>
      <w:r w:rsidR="00423B7C">
        <w:rPr>
          <w:rFonts w:eastAsia="Times New Roman"/>
        </w:rPr>
        <w:t xml:space="preserve"> </w:t>
      </w:r>
      <w:r w:rsidR="0091156C">
        <w:rPr>
          <w:rFonts w:eastAsia="Times New Roman"/>
        </w:rPr>
        <w:t xml:space="preserve">seem to </w:t>
      </w:r>
      <w:r w:rsidR="00423B7C">
        <w:rPr>
          <w:rFonts w:eastAsia="Times New Roman"/>
        </w:rPr>
        <w:t xml:space="preserve">reflect </w:t>
      </w:r>
      <w:r w:rsidR="0091156C">
        <w:rPr>
          <w:rFonts w:eastAsia="Times New Roman"/>
        </w:rPr>
        <w:t>traditional</w:t>
      </w:r>
      <w:r w:rsidR="00423B7C">
        <w:rPr>
          <w:rFonts w:eastAsia="Times New Roman"/>
        </w:rPr>
        <w:t xml:space="preserve"> suspicion </w:t>
      </w:r>
      <w:r w:rsidR="00883FA8">
        <w:rPr>
          <w:rFonts w:eastAsia="Times New Roman"/>
        </w:rPr>
        <w:t>of</w:t>
      </w:r>
      <w:r w:rsidR="00423B7C">
        <w:rPr>
          <w:rFonts w:eastAsia="Times New Roman"/>
        </w:rPr>
        <w:t xml:space="preserve"> Asians.  </w:t>
      </w:r>
      <w:r w:rsidR="00883FA8">
        <w:rPr>
          <w:rFonts w:eastAsia="Times New Roman"/>
        </w:rPr>
        <w:t xml:space="preserve">The Department of Homeland Security recently proposed to collect </w:t>
      </w:r>
      <w:r w:rsidR="008A59FA">
        <w:rPr>
          <w:rFonts w:eastAsia="Times New Roman"/>
        </w:rPr>
        <w:t>social media information solely from people from one country, China.</w:t>
      </w:r>
      <w:r w:rsidR="008A59FA">
        <w:rPr>
          <w:rStyle w:val="FootnoteReference"/>
          <w:rFonts w:eastAsia="Times New Roman"/>
        </w:rPr>
        <w:footnoteReference w:id="405"/>
      </w:r>
      <w:r w:rsidR="008A59FA">
        <w:rPr>
          <w:rFonts w:eastAsia="Times New Roman"/>
        </w:rPr>
        <w:t xml:space="preserve">  </w:t>
      </w:r>
      <w:r w:rsidR="00423B7C">
        <w:rPr>
          <w:rFonts w:eastAsia="Times New Roman"/>
        </w:rPr>
        <w:t xml:space="preserve">Steve Bannon, </w:t>
      </w:r>
      <w:r w:rsidR="00507D4D">
        <w:rPr>
          <w:rFonts w:eastAsia="Times New Roman"/>
        </w:rPr>
        <w:t xml:space="preserve">now </w:t>
      </w:r>
      <w:r w:rsidR="00423B7C">
        <w:rPr>
          <w:rFonts w:eastAsia="Times New Roman"/>
        </w:rPr>
        <w:t>a senior White House official, hosted a radio show</w:t>
      </w:r>
      <w:r w:rsidR="00CF0103">
        <w:rPr>
          <w:rFonts w:eastAsia="Times New Roman"/>
        </w:rPr>
        <w:t xml:space="preserve"> in 2015; </w:t>
      </w:r>
      <w:r w:rsidR="00883FA8">
        <w:rPr>
          <w:rFonts w:eastAsia="Times New Roman"/>
        </w:rPr>
        <w:t>d</w:t>
      </w:r>
      <w:r w:rsidR="00CF0103">
        <w:rPr>
          <w:rFonts w:eastAsia="Times New Roman"/>
        </w:rPr>
        <w:t>uring an interview, Donald Trump said “</w:t>
      </w:r>
      <w:r w:rsidR="00D675D6">
        <w:t>You know, we have to keep our talented people in this country</w:t>
      </w:r>
      <w:r w:rsidR="00CF0103">
        <w:t>,</w:t>
      </w:r>
      <w:r w:rsidR="00D675D6">
        <w:t>”</w:t>
      </w:r>
      <w:r w:rsidR="00CF0103">
        <w:t xml:space="preserve">  but Bannon disagreed, saying </w:t>
      </w:r>
      <w:r w:rsidR="00D675D6">
        <w:t>“When two-thirds or three-quarters of the CEOs in Silicon Valley are from South Asia or from Asia, I think.</w:t>
      </w:r>
      <w:r w:rsidR="00CF0103">
        <w:t xml:space="preserve"> </w:t>
      </w:r>
      <w:r w:rsidR="00D675D6">
        <w:t>.</w:t>
      </w:r>
      <w:r w:rsidR="00CF0103">
        <w:t xml:space="preserve"> </w:t>
      </w:r>
      <w:r w:rsidR="00D675D6">
        <w:t>.</w:t>
      </w:r>
      <w:r w:rsidR="00CF0103">
        <w:t xml:space="preserve"> </w:t>
      </w:r>
      <w:r w:rsidR="00D675D6">
        <w:t>A country is more than an economy. We’re a civic society.”</w:t>
      </w:r>
      <w:r w:rsidR="004871F0">
        <w:rPr>
          <w:rStyle w:val="FootnoteReference"/>
        </w:rPr>
        <w:footnoteReference w:id="406"/>
      </w:r>
      <w:r w:rsidR="004871F0">
        <w:t xml:space="preserve">  </w:t>
      </w:r>
      <w:r w:rsidR="00D675D6">
        <w:t>Bannon</w:t>
      </w:r>
      <w:r w:rsidR="000E10C7">
        <w:t xml:space="preserve"> wildly overestimated the number of Asian CEOs; “</w:t>
      </w:r>
      <w:r w:rsidR="00D675D6">
        <w:t>A May 2015 study found that 27 percent of professionals working in Silicon Valley companies were Asian or Asian-American. They represented less than 19 percent of managers and under 14 percent of executives, according to the report.</w:t>
      </w:r>
      <w:r w:rsidR="000E10C7">
        <w:t>”</w:t>
      </w:r>
      <w:r w:rsidR="000E10C7">
        <w:rPr>
          <w:rStyle w:val="FootnoteReference"/>
        </w:rPr>
        <w:footnoteReference w:id="407"/>
      </w:r>
      <w:r w:rsidR="00D4059A">
        <w:t xml:space="preserve">  Of course, many </w:t>
      </w:r>
      <w:r w:rsidR="00D542CC">
        <w:t>American</w:t>
      </w:r>
      <w:r w:rsidR="00F735F3">
        <w:t xml:space="preserve"> citizens</w:t>
      </w:r>
      <w:r w:rsidR="00D542CC">
        <w:t xml:space="preserve"> are of Asian racial ancestry.  It is unfortunate</w:t>
      </w:r>
      <w:r w:rsidR="0091156C">
        <w:t>, but, as this article shows, nothing new,</w:t>
      </w:r>
      <w:r w:rsidR="00D542CC">
        <w:t xml:space="preserve"> that </w:t>
      </w:r>
      <w:r w:rsidR="007B7C6A">
        <w:t xml:space="preserve">some </w:t>
      </w:r>
      <w:r w:rsidR="00D542CC">
        <w:t>believe that</w:t>
      </w:r>
      <w:r w:rsidR="00CE5046">
        <w:t xml:space="preserve"> only</w:t>
      </w:r>
      <w:r w:rsidR="00883FA8">
        <w:t xml:space="preserve"> white </w:t>
      </w:r>
      <w:r w:rsidR="00F735F3">
        <w:t xml:space="preserve">citizens can be a part of </w:t>
      </w:r>
      <w:r w:rsidR="00883FA8">
        <w:t>this nation’s civic society.</w:t>
      </w:r>
      <w:bookmarkStart w:id="88" w:name="_Ref476406951"/>
      <w:r w:rsidR="00C146A3">
        <w:rPr>
          <w:rStyle w:val="FootnoteReference"/>
        </w:rPr>
        <w:footnoteReference w:id="408"/>
      </w:r>
      <w:bookmarkEnd w:id="88"/>
      <w:r w:rsidR="00CE5046">
        <w:t xml:space="preserve"> </w:t>
      </w:r>
    </w:p>
    <w:p w14:paraId="5275C1BA" w14:textId="214BB8F7" w:rsidR="00D675D6" w:rsidRPr="00AD652D" w:rsidRDefault="00D675D6" w:rsidP="00D675D6">
      <w:pPr>
        <w:spacing w:after="100" w:afterAutospacing="1"/>
      </w:pPr>
    </w:p>
    <w:sectPr w:rsidR="00D675D6" w:rsidRPr="00AD652D" w:rsidSect="0086612A">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CDE17" w14:textId="77777777" w:rsidR="00AD438A" w:rsidRDefault="00AD438A" w:rsidP="00B74041">
      <w:r>
        <w:separator/>
      </w:r>
    </w:p>
    <w:p w14:paraId="2A30C47D" w14:textId="77777777" w:rsidR="00AD438A" w:rsidRDefault="00AD438A"/>
  </w:endnote>
  <w:endnote w:type="continuationSeparator" w:id="0">
    <w:p w14:paraId="02974ED5" w14:textId="77777777" w:rsidR="00AD438A" w:rsidRDefault="00AD438A" w:rsidP="00B74041">
      <w:r>
        <w:continuationSeparator/>
      </w:r>
    </w:p>
    <w:p w14:paraId="01B7EAE5" w14:textId="77777777" w:rsidR="00AD438A" w:rsidRDefault="00AD438A"/>
  </w:endnote>
  <w:endnote w:type="continuationNotice" w:id="1">
    <w:p w14:paraId="2AD98F5D" w14:textId="77777777" w:rsidR="00AD438A" w:rsidRDefault="00AD4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43752"/>
      <w:docPartObj>
        <w:docPartGallery w:val="Page Numbers (Bottom of Page)"/>
        <w:docPartUnique/>
      </w:docPartObj>
    </w:sdtPr>
    <w:sdtEndPr>
      <w:rPr>
        <w:noProof/>
      </w:rPr>
    </w:sdtEndPr>
    <w:sdtContent>
      <w:p w14:paraId="496C752C" w14:textId="570FBFE2" w:rsidR="00501D78" w:rsidRDefault="00501D78" w:rsidP="0086612A">
        <w:pPr>
          <w:pStyle w:val="Footer"/>
          <w:ind w:firstLine="0"/>
          <w:jc w:val="center"/>
        </w:pPr>
        <w:r>
          <w:fldChar w:fldCharType="begin"/>
        </w:r>
        <w:r>
          <w:instrText xml:space="preserve"> PAGE   \* MERGEFORMAT </w:instrText>
        </w:r>
        <w:r>
          <w:fldChar w:fldCharType="separate"/>
        </w:r>
        <w:r w:rsidR="00BF08F8">
          <w:rPr>
            <w:noProof/>
          </w:rPr>
          <w:t>1</w:t>
        </w:r>
        <w:r>
          <w:rPr>
            <w:noProof/>
          </w:rPr>
          <w:fldChar w:fldCharType="end"/>
        </w:r>
      </w:p>
    </w:sdtContent>
  </w:sdt>
  <w:p w14:paraId="10E17B67" w14:textId="77777777" w:rsidR="00501D78" w:rsidRDefault="00501D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0F1A9" w14:textId="77777777" w:rsidR="00AD438A" w:rsidRDefault="00AD438A" w:rsidP="00B74041">
      <w:r>
        <w:separator/>
      </w:r>
    </w:p>
    <w:p w14:paraId="05A3BCC9" w14:textId="77777777" w:rsidR="00AD438A" w:rsidRDefault="00AD438A"/>
  </w:footnote>
  <w:footnote w:type="continuationSeparator" w:id="0">
    <w:p w14:paraId="67FE2243" w14:textId="77777777" w:rsidR="00AD438A" w:rsidRDefault="00AD438A" w:rsidP="00B74041">
      <w:r>
        <w:continuationSeparator/>
      </w:r>
    </w:p>
    <w:p w14:paraId="1B7565BE" w14:textId="77777777" w:rsidR="00AD438A" w:rsidRDefault="00AD438A"/>
  </w:footnote>
  <w:footnote w:type="continuationNotice" w:id="1">
    <w:p w14:paraId="2F56BB43" w14:textId="77777777" w:rsidR="00AD438A" w:rsidRDefault="00AD438A">
      <w:pPr>
        <w:spacing w:after="0" w:line="240" w:lineRule="auto"/>
      </w:pPr>
    </w:p>
  </w:footnote>
  <w:footnote w:id="2">
    <w:p w14:paraId="0D73A8AF" w14:textId="6D668CA0" w:rsidR="00501D78" w:rsidRPr="00E343EA" w:rsidRDefault="00501D78" w:rsidP="00B06E49">
      <w:pPr>
        <w:pStyle w:val="FootnoteText"/>
      </w:pPr>
      <w:r w:rsidRPr="00E343EA">
        <w:rPr>
          <w:rStyle w:val="FootnoteReference"/>
        </w:rPr>
        <w:t>*</w:t>
      </w:r>
      <w:r w:rsidRPr="00E343EA">
        <w:t xml:space="preserve"> Edward L. Barrett Jr. Chair </w:t>
      </w:r>
      <w:r>
        <w:t xml:space="preserve">and Martin Luther King Jr. Professor </w:t>
      </w:r>
      <w:r w:rsidRPr="00E343EA">
        <w:t>of Law, UC</w:t>
      </w:r>
      <w:r>
        <w:t xml:space="preserve"> Davis School of Law. We received helpful comments and other assistance from Susan Carter, Michael Chiorazzi, Mary Fan, </w:t>
      </w:r>
      <w:r w:rsidRPr="00E343EA">
        <w:t>Angela Harris,</w:t>
      </w:r>
      <w:r>
        <w:t xml:space="preserve"> </w:t>
      </w:r>
      <w:r w:rsidR="002F4DCB">
        <w:t xml:space="preserve">Andrew Hayashi, </w:t>
      </w:r>
      <w:r>
        <w:t xml:space="preserve">Victor Jew, </w:t>
      </w:r>
      <w:r w:rsidRPr="00E343EA">
        <w:t xml:space="preserve"> </w:t>
      </w:r>
      <w:r>
        <w:t>Kevin Johnson, Thomas Jue, Chris Kwok, Erika Lee, Marc Miller,</w:t>
      </w:r>
      <w:r w:rsidRPr="00E343EA">
        <w:t xml:space="preserve"> </w:t>
      </w:r>
      <w:r>
        <w:t xml:space="preserve">Jean Pfaelzer, Leticia Saucedo, Darien Shanske, Lea Shaver, </w:t>
      </w:r>
      <w:r w:rsidRPr="00E343EA">
        <w:t>Harley Spiller</w:t>
      </w:r>
      <w:r>
        <w:t>,</w:t>
      </w:r>
      <w:r w:rsidRPr="00E343EA">
        <w:t xml:space="preserve"> </w:t>
      </w:r>
      <w:r w:rsidR="002470A1">
        <w:t xml:space="preserve">Henry Tang, </w:t>
      </w:r>
      <w:r>
        <w:t>Anjali Vats, Leti Volpp, Jan Whitaker</w:t>
      </w:r>
      <w:r w:rsidR="0005010A">
        <w:t xml:space="preserve"> and her website, </w:t>
      </w:r>
      <w:r w:rsidR="0005010A" w:rsidRPr="0005010A">
        <w:t>restaurant-ingthroughhistory.com</w:t>
      </w:r>
      <w:r>
        <w:t xml:space="preserve">, William Wiecek, </w:t>
      </w:r>
      <w:r w:rsidRPr="00E343EA">
        <w:t>the facult</w:t>
      </w:r>
      <w:r>
        <w:t xml:space="preserve">ies </w:t>
      </w:r>
      <w:r w:rsidRPr="00E343EA">
        <w:t>of the UC Davis School of Law</w:t>
      </w:r>
      <w:r>
        <w:t>, the University of Hawaii, Richardson School of Law, the University of Virginia School of Law</w:t>
      </w:r>
      <w:r w:rsidR="002470A1">
        <w:t xml:space="preserve">, participants in panels at </w:t>
      </w:r>
      <w:r w:rsidR="00E4699D">
        <w:t xml:space="preserve">Carroll College, </w:t>
      </w:r>
      <w:r w:rsidR="002470A1">
        <w:t xml:space="preserve">the </w:t>
      </w:r>
      <w:r>
        <w:t xml:space="preserve">Social Science History Association and Association for Asian American Studies, the Chinese American Citizens Alliance, Los Angeles Lodge, </w:t>
      </w:r>
      <w:r w:rsidR="00E4699D">
        <w:t xml:space="preserve">the Museum of Chinese in America, </w:t>
      </w:r>
      <w:r>
        <w:t xml:space="preserve">and the Cracchiolo Law Library at the University of Arizona, the Gallagher Law Library at the University of Washington, and the Mabie Law Library at UC Davis.  Thanks also to </w:t>
      </w:r>
      <w:r w:rsidRPr="00E343EA">
        <w:t xml:space="preserve">Dun Liu for excellent research assistance. This article is dedicated to </w:t>
      </w:r>
      <w:r>
        <w:t xml:space="preserve">my late grandmother, Oakland restaurateur Lilac Quan Chin, and to </w:t>
      </w:r>
      <w:r w:rsidRPr="00E343EA">
        <w:t>the Chicago Café in Woodland, California, the Far East Café in Chinatown, San Francisco</w:t>
      </w:r>
      <w:r>
        <w:t>,</w:t>
      </w:r>
      <w:r w:rsidRPr="00E343EA">
        <w:t xml:space="preserve"> and the Pekin Noodle House in Butte, Montana, for, so far, preserving their booths.  </w:t>
      </w:r>
      <w:hyperlink r:id="rId1" w:history="1">
        <w:r w:rsidRPr="00E343EA">
          <w:rPr>
            <w:rStyle w:val="Hyperlink"/>
          </w:rPr>
          <w:t>gjchin@ucdavis.edu</w:t>
        </w:r>
      </w:hyperlink>
      <w:r w:rsidRPr="00E343EA">
        <w:t>; 520 401 6586.</w:t>
      </w:r>
    </w:p>
  </w:footnote>
  <w:footnote w:id="3">
    <w:p w14:paraId="029A7A6D" w14:textId="4EB051C5" w:rsidR="00501D78" w:rsidRPr="00E343EA" w:rsidRDefault="00501D78" w:rsidP="00B06E49">
      <w:pPr>
        <w:pStyle w:val="FootnoteText"/>
      </w:pPr>
      <w:r w:rsidRPr="00E343EA">
        <w:rPr>
          <w:rStyle w:val="FootnoteReference"/>
        </w:rPr>
        <w:t>**</w:t>
      </w:r>
      <w:r w:rsidRPr="00E343EA">
        <w:t xml:space="preserve"> Member, California Bar, J.D., UC Davis School of Law.</w:t>
      </w:r>
    </w:p>
  </w:footnote>
  <w:footnote w:id="4">
    <w:p w14:paraId="043A1A23" w14:textId="3A6A74AE" w:rsidR="00501D78" w:rsidRPr="00E343EA" w:rsidRDefault="00501D78" w:rsidP="00DC24DE">
      <w:pPr>
        <w:pStyle w:val="FootnoteText"/>
      </w:pPr>
      <w:r w:rsidRPr="00E343EA">
        <w:rPr>
          <w:rStyle w:val="FootnoteReference"/>
        </w:rPr>
        <w:footnoteRef/>
      </w:r>
      <w:r w:rsidRPr="00E343EA">
        <w:t xml:space="preserve"> </w:t>
      </w:r>
      <w:r w:rsidRPr="00E343EA">
        <w:rPr>
          <w:i/>
        </w:rPr>
        <w:t>See</w:t>
      </w:r>
      <w:r w:rsidRPr="00E343EA">
        <w:t xml:space="preserve"> O. O. McIntyre, </w:t>
      </w:r>
      <w:r w:rsidRPr="00E343EA">
        <w:rPr>
          <w:i/>
        </w:rPr>
        <w:t>New York Day By Day</w:t>
      </w:r>
      <w:r w:rsidRPr="00E343EA">
        <w:t xml:space="preserve">, </w:t>
      </w:r>
      <w:r w:rsidRPr="00E343EA">
        <w:rPr>
          <w:smallCaps/>
        </w:rPr>
        <w:t xml:space="preserve">Wash. Herald, </w:t>
      </w:r>
      <w:r w:rsidRPr="00E343EA">
        <w:t>May 2, 1918, at 6</w:t>
      </w:r>
      <w:r>
        <w:t xml:space="preserve"> (New York district attorney’s office </w:t>
      </w:r>
      <w:r w:rsidRPr="00AD652D">
        <w:t>“has declared war to the death on the chop suey caravansaries”</w:t>
      </w:r>
      <w:r>
        <w:t xml:space="preserve">); </w:t>
      </w:r>
      <w:r w:rsidRPr="00E343EA">
        <w:rPr>
          <w:i/>
        </w:rPr>
        <w:t>Labor Declares War on Chinese Restaurants</w:t>
      </w:r>
      <w:r w:rsidRPr="00E343EA">
        <w:t xml:space="preserve">, </w:t>
      </w:r>
      <w:r w:rsidRPr="00E343EA">
        <w:rPr>
          <w:smallCaps/>
        </w:rPr>
        <w:t>Wash. Times</w:t>
      </w:r>
      <w:r w:rsidRPr="00E343EA">
        <w:t>, Feb. 16, 1913, at 7;</w:t>
      </w:r>
      <w:r w:rsidRPr="001B61BC">
        <w:rPr>
          <w:sz w:val="24"/>
          <w:szCs w:val="24"/>
        </w:rPr>
        <w:t xml:space="preserve"> </w:t>
      </w:r>
      <w:r w:rsidRPr="00E343EA">
        <w:rPr>
          <w:i/>
        </w:rPr>
        <w:t>May Declare Boycott: Cooks and Waiters</w:t>
      </w:r>
      <w:r>
        <w:rPr>
          <w:i/>
        </w:rPr>
        <w:t>’</w:t>
      </w:r>
      <w:r w:rsidRPr="00E343EA">
        <w:rPr>
          <w:i/>
        </w:rPr>
        <w:t xml:space="preserve"> Unions Opposed to Chinese Restaurants</w:t>
      </w:r>
      <w:r w:rsidRPr="00E343EA">
        <w:t xml:space="preserve">, </w:t>
      </w:r>
      <w:r w:rsidRPr="00E343EA">
        <w:rPr>
          <w:smallCaps/>
        </w:rPr>
        <w:t>St. Paul Globe</w:t>
      </w:r>
      <w:r w:rsidRPr="00E343EA">
        <w:t>, Mar. 22, 1902, at 7 (</w:t>
      </w:r>
      <w:r>
        <w:t>“</w:t>
      </w:r>
      <w:r w:rsidRPr="00E343EA">
        <w:t>The Cook and Waiters</w:t>
      </w:r>
      <w:r>
        <w:t>’</w:t>
      </w:r>
      <w:r w:rsidRPr="00E343EA">
        <w:t xml:space="preserve"> Union had decided to make war on the Chinese restaurants that are running in Minneapolis.</w:t>
      </w:r>
      <w:r>
        <w:t>”</w:t>
      </w:r>
      <w:r w:rsidRPr="00E343EA">
        <w:t xml:space="preserve">); </w:t>
      </w:r>
      <w:r w:rsidRPr="00E343EA">
        <w:rPr>
          <w:i/>
        </w:rPr>
        <w:t>News of the Great West,</w:t>
      </w:r>
      <w:r w:rsidRPr="00E343EA">
        <w:t xml:space="preserve"> </w:t>
      </w:r>
      <w:r w:rsidRPr="00E343EA">
        <w:rPr>
          <w:smallCaps/>
        </w:rPr>
        <w:t>Omaha Daily Bee</w:t>
      </w:r>
      <w:r w:rsidRPr="00E343EA">
        <w:t>, June 6, 1891, at 11 (</w:t>
      </w:r>
      <w:r>
        <w:t>“</w:t>
      </w:r>
      <w:r w:rsidRPr="00E343EA">
        <w:t>A movement is on foot in Butte to carry on a war against Chinese restaurants.</w:t>
      </w:r>
      <w:r>
        <w:t>”</w:t>
      </w:r>
      <w:r w:rsidRPr="00E343EA">
        <w:t>)</w:t>
      </w:r>
      <w:r>
        <w:t xml:space="preserve">; </w:t>
      </w:r>
      <w:r w:rsidRPr="00D87FEB">
        <w:rPr>
          <w:i/>
        </w:rPr>
        <w:t>see also</w:t>
      </w:r>
      <w:r w:rsidRPr="00E47DDB">
        <w:rPr>
          <w:sz w:val="24"/>
          <w:szCs w:val="24"/>
        </w:rPr>
        <w:t xml:space="preserve"> </w:t>
      </w:r>
      <w:r w:rsidRPr="001B61BC">
        <w:t xml:space="preserve">O.M. Boyle, </w:t>
      </w:r>
      <w:r w:rsidRPr="001B61BC">
        <w:rPr>
          <w:i/>
        </w:rPr>
        <w:t>News of the Labor World</w:t>
      </w:r>
      <w:r w:rsidRPr="001B61BC">
        <w:t xml:space="preserve">, </w:t>
      </w:r>
      <w:r w:rsidRPr="00D87FEB">
        <w:rPr>
          <w:smallCaps/>
        </w:rPr>
        <w:t>S.F. Call</w:t>
      </w:r>
      <w:r w:rsidRPr="001B61BC">
        <w:t>, Mar. 19, 1910, at 7 (“The cooks’ helpers union, local no. 110, is still quietly engaged in carrying out the war against Asiatic employes.  It hopes in a short time that employers will supplant the Japanese and Chinese in kitchens of restaurants, cafes and hotels.  The organization is carrying out the wish of the San Francisco labor council in this matter.”);</w:t>
      </w:r>
      <w:r w:rsidR="00D62A44" w:rsidRPr="00D62A44">
        <w:t xml:space="preserve"> </w:t>
      </w:r>
      <w:r w:rsidR="00D62A44">
        <w:t>20</w:t>
      </w:r>
      <w:r w:rsidR="00D62A44" w:rsidRPr="00E343EA">
        <w:t xml:space="preserve"> </w:t>
      </w:r>
      <w:r w:rsidR="00D62A44" w:rsidRPr="00E343EA">
        <w:rPr>
          <w:smallCaps/>
        </w:rPr>
        <w:t>Mixer &amp; Server</w:t>
      </w:r>
      <w:r w:rsidR="00D62A44" w:rsidRPr="00E343EA">
        <w:t xml:space="preserve"> No. </w:t>
      </w:r>
      <w:r w:rsidR="00D62A44">
        <w:t>5</w:t>
      </w:r>
      <w:r w:rsidR="00D62A44" w:rsidRPr="00E343EA">
        <w:t xml:space="preserve">, </w:t>
      </w:r>
      <w:r w:rsidR="00D62A44">
        <w:t>May</w:t>
      </w:r>
      <w:r w:rsidR="00D62A44" w:rsidRPr="00E343EA">
        <w:t>. 15, 19</w:t>
      </w:r>
      <w:r w:rsidR="00D62A44">
        <w:t>11,</w:t>
      </w:r>
      <w:r w:rsidR="00D62A44" w:rsidRPr="00E343EA">
        <w:t xml:space="preserve"> at </w:t>
      </w:r>
      <w:r w:rsidR="00D62A44">
        <w:t>107 (noting application of union in Billings, Montana “to finance a crusade in opposition to Asiatic inva</w:t>
      </w:r>
      <w:r w:rsidR="00C809F6">
        <w:t>s</w:t>
      </w:r>
      <w:r w:rsidR="00D62A44">
        <w:t>ion; concurred in and remittance made</w:t>
      </w:r>
      <w:r w:rsidR="00C809F6">
        <w:t>”</w:t>
      </w:r>
      <w:r w:rsidR="00D62A44">
        <w:t xml:space="preserve">); </w:t>
      </w:r>
      <w:r>
        <w:t>18</w:t>
      </w:r>
      <w:r w:rsidRPr="00E343EA">
        <w:t xml:space="preserve"> </w:t>
      </w:r>
      <w:r w:rsidRPr="00E343EA">
        <w:rPr>
          <w:smallCaps/>
        </w:rPr>
        <w:t>Mixer &amp; Server</w:t>
      </w:r>
      <w:r w:rsidRPr="00E343EA">
        <w:t xml:space="preserve"> No. </w:t>
      </w:r>
      <w:r>
        <w:t>3</w:t>
      </w:r>
      <w:r w:rsidRPr="00E343EA">
        <w:t xml:space="preserve">, </w:t>
      </w:r>
      <w:r>
        <w:t>Mar</w:t>
      </w:r>
      <w:r w:rsidRPr="00E343EA">
        <w:t>. 15, 19</w:t>
      </w:r>
      <w:r>
        <w:t>09,</w:t>
      </w:r>
      <w:r w:rsidRPr="00E343EA">
        <w:t xml:space="preserve"> at </w:t>
      </w:r>
      <w:r>
        <w:t>5</w:t>
      </w:r>
      <w:r w:rsidRPr="00E343EA">
        <w:t>9</w:t>
      </w:r>
      <w:r>
        <w:t xml:space="preserve"> (“Ogden sounded the first note in the battle against Chinese and Japanese restaurants, which will be relentlessly waged henceforth in Ogden.”);</w:t>
      </w:r>
      <w:r w:rsidRPr="001B61BC">
        <w:rPr>
          <w:i/>
        </w:rPr>
        <w:t xml:space="preserve"> </w:t>
      </w:r>
      <w:r w:rsidRPr="00E343EA">
        <w:rPr>
          <w:i/>
        </w:rPr>
        <w:t>After the Chinese: An Effort to Expel them from the Principal Cities of Montana</w:t>
      </w:r>
      <w:r w:rsidRPr="00E343EA">
        <w:t xml:space="preserve">, </w:t>
      </w:r>
      <w:r w:rsidRPr="00E343EA">
        <w:rPr>
          <w:smallCaps/>
        </w:rPr>
        <w:t>Dakota Farmers</w:t>
      </w:r>
      <w:r>
        <w:rPr>
          <w:smallCaps/>
        </w:rPr>
        <w:t>’</w:t>
      </w:r>
      <w:r w:rsidRPr="00E343EA">
        <w:rPr>
          <w:smallCaps/>
        </w:rPr>
        <w:t xml:space="preserve"> Leader</w:t>
      </w:r>
      <w:r w:rsidRPr="00E343EA">
        <w:t>, Feb. 3, 1893, at 3 (</w:t>
      </w:r>
      <w:r>
        <w:t>“</w:t>
      </w:r>
      <w:r w:rsidRPr="00E343EA">
        <w:t>labor organizations of Butte, Anaconda and Missoula waged war against the employment of Chinese, and threats of a boycott were made against citizens employing them in any capacity or patronizing Chinese laundries or restaurants. . . . Already all but one Chinese restaurant have been closed.</w:t>
      </w:r>
      <w:r>
        <w:t>”).</w:t>
      </w:r>
    </w:p>
  </w:footnote>
  <w:footnote w:id="5">
    <w:p w14:paraId="4B9530DA" w14:textId="5F84C4F3" w:rsidR="00501D78" w:rsidRDefault="00501D78" w:rsidP="000A26B7">
      <w:pPr>
        <w:pStyle w:val="FootnoteText"/>
      </w:pPr>
      <w:r>
        <w:rPr>
          <w:rStyle w:val="FootnoteReference"/>
        </w:rPr>
        <w:footnoteRef/>
      </w:r>
      <w:r>
        <w:t xml:space="preserve"> For example, </w:t>
      </w:r>
      <w:r w:rsidR="0098439C">
        <w:t xml:space="preserve">there are a number of recent, excellent histories of Asian Pacific America and of Chinese food in the Americas; </w:t>
      </w:r>
      <w:r>
        <w:t xml:space="preserve">it is </w:t>
      </w:r>
      <w:r w:rsidRPr="00555268">
        <w:t xml:space="preserve">unmentioned in </w:t>
      </w:r>
      <w:r w:rsidR="0098439C">
        <w:t>them.</w:t>
      </w:r>
      <w:r>
        <w:t xml:space="preserve">  </w:t>
      </w:r>
      <w:r w:rsidRPr="00EC6B2B">
        <w:rPr>
          <w:i/>
        </w:rPr>
        <w:t>See</w:t>
      </w:r>
      <w:r>
        <w:t xml:space="preserve"> </w:t>
      </w:r>
      <w:r w:rsidRPr="002E7D24">
        <w:rPr>
          <w:smallCaps/>
        </w:rPr>
        <w:t>Yong Chen, Chop Suey, USA: The Story of Chinese Food in America</w:t>
      </w:r>
      <w:r>
        <w:t xml:space="preserve"> (2014); </w:t>
      </w:r>
      <w:r w:rsidR="00590AAD" w:rsidRPr="006171C6">
        <w:rPr>
          <w:smallCaps/>
        </w:rPr>
        <w:t>Lily Cho, Eating Chinese: Culture on the Menu in Small Town Canada</w:t>
      </w:r>
      <w:r w:rsidR="00590AAD">
        <w:t xml:space="preserve"> (2010); </w:t>
      </w:r>
      <w:r>
        <w:rPr>
          <w:smallCaps/>
        </w:rPr>
        <w:t>Andrew Coe, Chop Suey: A C</w:t>
      </w:r>
      <w:r w:rsidRPr="00E343EA">
        <w:rPr>
          <w:smallCaps/>
        </w:rPr>
        <w:t xml:space="preserve">ultural History of Chinese Food in the United States </w:t>
      </w:r>
      <w:r>
        <w:t xml:space="preserve">(2009); </w:t>
      </w:r>
      <w:r w:rsidRPr="00020E87">
        <w:rPr>
          <w:smallCaps/>
        </w:rPr>
        <w:t>Erika Lee, The Making of Asian America: A History</w:t>
      </w:r>
      <w:r>
        <w:t xml:space="preserve"> (2016); </w:t>
      </w:r>
      <w:r w:rsidRPr="003F7859">
        <w:rPr>
          <w:smallCaps/>
        </w:rPr>
        <w:t>Anne Mendelson, Chow Chop Suey: Food and the Chinese American Journey</w:t>
      </w:r>
      <w:r>
        <w:t xml:space="preserve"> (2016); </w:t>
      </w:r>
      <w:r w:rsidRPr="00E343EA">
        <w:rPr>
          <w:smallCaps/>
        </w:rPr>
        <w:t>Shelley Sang-Hee Lee</w:t>
      </w:r>
      <w:r>
        <w:rPr>
          <w:smallCaps/>
        </w:rPr>
        <w:t>,</w:t>
      </w:r>
      <w:r w:rsidRPr="00E343EA">
        <w:rPr>
          <w:smallCaps/>
        </w:rPr>
        <w:t xml:space="preserve"> A New History of Asian America</w:t>
      </w:r>
      <w:r>
        <w:rPr>
          <w:smallCaps/>
        </w:rPr>
        <w:t xml:space="preserve"> </w:t>
      </w:r>
      <w:r>
        <w:t>131-33</w:t>
      </w:r>
      <w:r w:rsidRPr="00E343EA">
        <w:t xml:space="preserve"> (2014)</w:t>
      </w:r>
      <w:r>
        <w:t>;</w:t>
      </w:r>
      <w:r w:rsidRPr="00E343EA">
        <w:t xml:space="preserve"> </w:t>
      </w:r>
      <w:r w:rsidRPr="00C31B4E">
        <w:rPr>
          <w:smallCaps/>
        </w:rPr>
        <w:t>Haiming Liu, From Canton Restaurant to Panda Express: A History of Chinese Food in the United States</w:t>
      </w:r>
      <w:r w:rsidRPr="00BB077C">
        <w:t xml:space="preserve"> (2015)</w:t>
      </w:r>
      <w:r>
        <w:t xml:space="preserve">; </w:t>
      </w:r>
      <w:r w:rsidRPr="00B344BA">
        <w:rPr>
          <w:smallCaps/>
        </w:rPr>
        <w:t>Eating Asian America: A Food Studies Reader</w:t>
      </w:r>
      <w:r>
        <w:t xml:space="preserve"> (Robert Ji-Song Ku et al., Eds., 2013); Heather Ruth Lee, Entrepreneurs in the Age of Chinese Exclusion, Transnational Capital, Migrant Labor and Chinese Restaurants in New York City, 1850-1943 (Brown U. Ph.D. dissertation, 2014).</w:t>
      </w:r>
    </w:p>
  </w:footnote>
  <w:footnote w:id="6">
    <w:p w14:paraId="652A33E3" w14:textId="535C802F" w:rsidR="00501D78" w:rsidRPr="00E343EA" w:rsidRDefault="00501D78" w:rsidP="00387F8B">
      <w:pPr>
        <w:pStyle w:val="FootnoteText"/>
      </w:pPr>
      <w:r w:rsidRPr="00E343EA">
        <w:rPr>
          <w:rStyle w:val="FootnoteReference"/>
        </w:rPr>
        <w:footnoteRef/>
      </w:r>
      <w:r w:rsidRPr="00E343EA">
        <w:t xml:space="preserve"> </w:t>
      </w:r>
      <w:r w:rsidRPr="00E343EA">
        <w:rPr>
          <w:smallCaps/>
        </w:rPr>
        <w:t>Report of Proceedings of the Thirty-Third Annual Conv</w:t>
      </w:r>
      <w:r>
        <w:rPr>
          <w:smallCaps/>
        </w:rPr>
        <w:t>ent</w:t>
      </w:r>
      <w:r w:rsidRPr="00E343EA">
        <w:rPr>
          <w:smallCaps/>
        </w:rPr>
        <w:t>ion of the American Federation of Labor held at Seattle, Washington Nov. 10-22, inclusive 1913,</w:t>
      </w:r>
      <w:r w:rsidRPr="00E343EA">
        <w:t xml:space="preserve"> 370.</w:t>
      </w:r>
    </w:p>
  </w:footnote>
  <w:footnote w:id="7">
    <w:p w14:paraId="4BC38E43" w14:textId="1439766F" w:rsidR="00501D78" w:rsidRDefault="00501D78">
      <w:pPr>
        <w:pStyle w:val="FootnoteText"/>
      </w:pPr>
      <w:r>
        <w:rPr>
          <w:rStyle w:val="FootnoteReference"/>
        </w:rPr>
        <w:footnoteRef/>
      </w:r>
      <w:r>
        <w:t xml:space="preserve"> </w:t>
      </w:r>
      <w:r w:rsidRPr="00E343EA">
        <w:rPr>
          <w:i/>
        </w:rPr>
        <w:t>Card to the Public</w:t>
      </w:r>
      <w:r w:rsidRPr="00E343EA">
        <w:t xml:space="preserve">, </w:t>
      </w:r>
      <w:r w:rsidRPr="00E343EA">
        <w:rPr>
          <w:smallCaps/>
        </w:rPr>
        <w:t>Tonopah Bonanza</w:t>
      </w:r>
      <w:r>
        <w:rPr>
          <w:smallCaps/>
        </w:rPr>
        <w:t xml:space="preserve"> </w:t>
      </w:r>
      <w:r w:rsidRPr="00E343EA">
        <w:rPr>
          <w:smallCaps/>
        </w:rPr>
        <w:t>(</w:t>
      </w:r>
      <w:r w:rsidRPr="00EB7E6D">
        <w:t>Nev.</w:t>
      </w:r>
      <w:r w:rsidRPr="00E343EA">
        <w:rPr>
          <w:smallCaps/>
        </w:rPr>
        <w:t>)</w:t>
      </w:r>
      <w:r w:rsidRPr="00E343EA">
        <w:t>, Jan. 17, 1903, at 6</w:t>
      </w:r>
      <w:r>
        <w:t>.</w:t>
      </w:r>
    </w:p>
  </w:footnote>
  <w:footnote w:id="8">
    <w:p w14:paraId="74225DBA" w14:textId="7B81440E" w:rsidR="00501D78" w:rsidRDefault="00501D78" w:rsidP="006F2B01">
      <w:pPr>
        <w:pStyle w:val="FootnoteText"/>
      </w:pPr>
      <w:r>
        <w:rPr>
          <w:rStyle w:val="FootnoteReference"/>
        </w:rPr>
        <w:footnoteRef/>
      </w:r>
      <w:r>
        <w:t xml:space="preserve"> </w:t>
      </w:r>
      <w:r w:rsidRPr="001C1DCC">
        <w:rPr>
          <w:i/>
        </w:rPr>
        <w:t>Chinese Restaurants in Madera</w:t>
      </w:r>
      <w:r>
        <w:t xml:space="preserve">, </w:t>
      </w:r>
      <w:r w:rsidRPr="004E26E7">
        <w:rPr>
          <w:smallCaps/>
        </w:rPr>
        <w:t>Madera Mercury (</w:t>
      </w:r>
      <w:r w:rsidRPr="00EB7E6D">
        <w:t>Cal.</w:t>
      </w:r>
      <w:r w:rsidRPr="004E26E7">
        <w:rPr>
          <w:smallCaps/>
        </w:rPr>
        <w:t>)</w:t>
      </w:r>
      <w:r>
        <w:t>, Jan. 20, 1912, at 2.</w:t>
      </w:r>
    </w:p>
  </w:footnote>
  <w:footnote w:id="9">
    <w:p w14:paraId="0C158BC8" w14:textId="65030F40" w:rsidR="00501D78" w:rsidRPr="00E343EA" w:rsidRDefault="00501D78" w:rsidP="00301FE9">
      <w:pPr>
        <w:pStyle w:val="FootnoteText"/>
      </w:pPr>
      <w:r w:rsidRPr="00E343EA">
        <w:rPr>
          <w:rStyle w:val="FootnoteReference"/>
        </w:rPr>
        <w:footnoteRef/>
      </w:r>
      <w:r w:rsidRPr="00E343EA">
        <w:t xml:space="preserve"> </w:t>
      </w:r>
      <w:r w:rsidRPr="00E343EA">
        <w:rPr>
          <w:i/>
        </w:rPr>
        <w:t>Minneapolis Labor After the Chinese</w:t>
      </w:r>
      <w:r w:rsidRPr="00E343EA">
        <w:t xml:space="preserve">, </w:t>
      </w:r>
      <w:r w:rsidRPr="00E343EA">
        <w:rPr>
          <w:smallCaps/>
        </w:rPr>
        <w:t>Lab</w:t>
      </w:r>
      <w:r>
        <w:rPr>
          <w:smallCaps/>
        </w:rPr>
        <w:t>.</w:t>
      </w:r>
      <w:r w:rsidRPr="00E343EA">
        <w:rPr>
          <w:smallCaps/>
        </w:rPr>
        <w:t xml:space="preserve"> World</w:t>
      </w:r>
      <w:r>
        <w:rPr>
          <w:smallCaps/>
        </w:rPr>
        <w:t xml:space="preserve"> (</w:t>
      </w:r>
      <w:r w:rsidRPr="00EB7E6D">
        <w:t>Minn.</w:t>
      </w:r>
      <w:r>
        <w:rPr>
          <w:smallCaps/>
        </w:rPr>
        <w:t>)</w:t>
      </w:r>
      <w:r w:rsidRPr="00E343EA">
        <w:t>, Nov. 19, 1904, at 1.</w:t>
      </w:r>
    </w:p>
  </w:footnote>
  <w:footnote w:id="10">
    <w:p w14:paraId="0EAA9E70" w14:textId="54030DF5" w:rsidR="00501D78" w:rsidRPr="00E343EA" w:rsidRDefault="00501D78" w:rsidP="00B06E49">
      <w:pPr>
        <w:pStyle w:val="FootnoteText"/>
      </w:pPr>
      <w:r w:rsidRPr="00E343EA">
        <w:rPr>
          <w:rStyle w:val="FootnoteReference"/>
        </w:rPr>
        <w:footnoteRef/>
      </w:r>
      <w:r w:rsidRPr="00E343EA">
        <w:t xml:space="preserve"> </w:t>
      </w:r>
      <w:r w:rsidRPr="008E389C">
        <w:t xml:space="preserve">Bethany R. Berger, </w:t>
      </w:r>
      <w:r w:rsidRPr="008E389C">
        <w:rPr>
          <w:i/>
        </w:rPr>
        <w:t xml:space="preserve">Birthright Citizenship on Trial: </w:t>
      </w:r>
      <w:r w:rsidRPr="008E389C">
        <w:t xml:space="preserve">Elk v. Wilkins </w:t>
      </w:r>
      <w:r w:rsidRPr="008E389C">
        <w:rPr>
          <w:i/>
        </w:rPr>
        <w:t>and</w:t>
      </w:r>
      <w:r w:rsidRPr="008E389C">
        <w:t xml:space="preserve"> United States v. Wong Kim Ark, 37 </w:t>
      </w:r>
      <w:r w:rsidRPr="008E389C">
        <w:rPr>
          <w:smallCaps/>
        </w:rPr>
        <w:t>Cardozo L. Rev</w:t>
      </w:r>
      <w:r w:rsidRPr="008E389C">
        <w:t>. 1185, 1254–55 (2016)</w:t>
      </w:r>
      <w:r>
        <w:t xml:space="preserve"> (citing </w:t>
      </w:r>
      <w:r w:rsidRPr="00946008">
        <w:rPr>
          <w:smallCaps/>
        </w:rPr>
        <w:t>Jennifer 8. Lee, The Fortune Cookie Chronicles: Adventures in the World of Chinese Food</w:t>
      </w:r>
      <w:r>
        <w:t xml:space="preserve"> 9, 209 (2008)); </w:t>
      </w:r>
      <w:r w:rsidRPr="008E389C">
        <w:rPr>
          <w:i/>
        </w:rPr>
        <w:t xml:space="preserve">see also </w:t>
      </w:r>
      <w:r w:rsidRPr="00E343EA">
        <w:rPr>
          <w:i/>
        </w:rPr>
        <w:t>Let</w:t>
      </w:r>
      <w:r>
        <w:rPr>
          <w:i/>
        </w:rPr>
        <w:t>’</w:t>
      </w:r>
      <w:r w:rsidRPr="00E343EA">
        <w:rPr>
          <w:i/>
        </w:rPr>
        <w:t>s Eat Chinese Tonight</w:t>
      </w:r>
      <w:r w:rsidRPr="00E343EA">
        <w:t xml:space="preserve">, 38 </w:t>
      </w:r>
      <w:r w:rsidRPr="00E343EA">
        <w:rPr>
          <w:smallCaps/>
        </w:rPr>
        <w:t xml:space="preserve">Am. Heritage </w:t>
      </w:r>
      <w:r>
        <w:t>N</w:t>
      </w:r>
      <w:r w:rsidRPr="00E343EA">
        <w:t xml:space="preserve">o. 8, at 98 (1987). </w:t>
      </w:r>
      <w:r>
        <w:t xml:space="preserve"> Thus, in her confirmation hearing, Supreme Court Justice Elena Kagan discussed the tradition of Jewish people eating Chinese food on Christmas.  Adam Chandler, </w:t>
      </w:r>
      <w:r w:rsidRPr="00C1342D">
        <w:rPr>
          <w:i/>
        </w:rPr>
        <w:t>Why American Jews Eat Chinese Food on Christmas</w:t>
      </w:r>
      <w:r>
        <w:t xml:space="preserve">, </w:t>
      </w:r>
      <w:r w:rsidRPr="00C1342D">
        <w:rPr>
          <w:smallCaps/>
        </w:rPr>
        <w:t>The Atlantic</w:t>
      </w:r>
      <w:r>
        <w:t>, Dec. 23, 2014 (</w:t>
      </w:r>
      <w:hyperlink r:id="rId2" w:history="1">
        <w:r w:rsidRPr="001556BC">
          <w:rPr>
            <w:rStyle w:val="Hyperlink"/>
          </w:rPr>
          <w:t>https://www.theatlantic.com/national/archive/2014/12/why-american-jews-eat-chinese-food-on-christmas/384011/</w:t>
        </w:r>
      </w:hyperlink>
      <w:r>
        <w:t>).</w:t>
      </w:r>
    </w:p>
  </w:footnote>
  <w:footnote w:id="11">
    <w:p w14:paraId="09B7FEEE" w14:textId="1AAF63C3" w:rsidR="00501D78" w:rsidRDefault="00501D78">
      <w:pPr>
        <w:pStyle w:val="FootnoteText"/>
      </w:pPr>
      <w:r>
        <w:rPr>
          <w:rStyle w:val="FootnoteReference"/>
        </w:rPr>
        <w:footnoteRef/>
      </w:r>
      <w:r>
        <w:t xml:space="preserve"> Immigration Act of 1917, 39 Stat. 874.</w:t>
      </w:r>
    </w:p>
  </w:footnote>
  <w:footnote w:id="12">
    <w:p w14:paraId="673EEDA0" w14:textId="6C96FE59" w:rsidR="00501D78" w:rsidRDefault="00501D78">
      <w:pPr>
        <w:pStyle w:val="FootnoteText"/>
      </w:pPr>
      <w:r>
        <w:rPr>
          <w:rStyle w:val="FootnoteReference"/>
        </w:rPr>
        <w:footnoteRef/>
      </w:r>
      <w:r>
        <w:t xml:space="preserve"> Immigration Act of 1924, 43 Stat. 153.</w:t>
      </w:r>
    </w:p>
  </w:footnote>
  <w:footnote w:id="13">
    <w:p w14:paraId="42BC656E" w14:textId="6B1865DC" w:rsidR="00501D78" w:rsidRDefault="00501D78">
      <w:pPr>
        <w:pStyle w:val="FootnoteText"/>
      </w:pPr>
      <w:r>
        <w:rPr>
          <w:rStyle w:val="FootnoteReference"/>
        </w:rPr>
        <w:footnoteRef/>
      </w:r>
      <w:r>
        <w:t xml:space="preserve"> </w:t>
      </w:r>
      <w:r w:rsidRPr="00D96680">
        <w:rPr>
          <w:i/>
        </w:rPr>
        <w:t>See infra</w:t>
      </w:r>
      <w:r>
        <w:t xml:space="preserve"> notes </w:t>
      </w:r>
      <w:r>
        <w:fldChar w:fldCharType="begin"/>
      </w:r>
      <w:r>
        <w:instrText xml:space="preserve"> NOTEREF _Ref476406493 \h </w:instrText>
      </w:r>
      <w:r>
        <w:fldChar w:fldCharType="separate"/>
      </w:r>
      <w:r w:rsidR="008A4890">
        <w:t>48</w:t>
      </w:r>
      <w:r>
        <w:fldChar w:fldCharType="end"/>
      </w:r>
      <w:r>
        <w:t>-</w:t>
      </w:r>
      <w:r>
        <w:fldChar w:fldCharType="begin"/>
      </w:r>
      <w:r>
        <w:instrText xml:space="preserve"> NOTEREF _Ref476406526 \h </w:instrText>
      </w:r>
      <w:r>
        <w:fldChar w:fldCharType="separate"/>
      </w:r>
      <w:r w:rsidR="008A4890">
        <w:t>95</w:t>
      </w:r>
      <w:r>
        <w:fldChar w:fldCharType="end"/>
      </w:r>
      <w:r>
        <w:t>, and accompanying text.</w:t>
      </w:r>
    </w:p>
  </w:footnote>
  <w:footnote w:id="14">
    <w:p w14:paraId="4DF92640" w14:textId="074F693E" w:rsidR="00501D78" w:rsidRDefault="00501D78" w:rsidP="00D03DA0">
      <w:pPr>
        <w:pStyle w:val="FootnoteText"/>
      </w:pPr>
      <w:r>
        <w:rPr>
          <w:rStyle w:val="FootnoteReference"/>
        </w:rPr>
        <w:footnoteRef/>
      </w:r>
      <w:r>
        <w:t xml:space="preserve"> </w:t>
      </w:r>
      <w:r w:rsidRPr="00D96680">
        <w:rPr>
          <w:i/>
        </w:rPr>
        <w:t>See infra</w:t>
      </w:r>
      <w:r>
        <w:t xml:space="preserve"> notes </w:t>
      </w:r>
      <w:r>
        <w:fldChar w:fldCharType="begin"/>
      </w:r>
      <w:r>
        <w:instrText xml:space="preserve"> NOTEREF _Ref461986149 \h </w:instrText>
      </w:r>
      <w:r>
        <w:fldChar w:fldCharType="separate"/>
      </w:r>
      <w:r w:rsidR="008A4890">
        <w:t>96</w:t>
      </w:r>
      <w:r>
        <w:fldChar w:fldCharType="end"/>
      </w:r>
      <w:r>
        <w:t>-</w:t>
      </w:r>
      <w:r>
        <w:fldChar w:fldCharType="begin"/>
      </w:r>
      <w:r>
        <w:instrText xml:space="preserve"> NOTEREF _Ref476406591 \h </w:instrText>
      </w:r>
      <w:r>
        <w:fldChar w:fldCharType="separate"/>
      </w:r>
      <w:r w:rsidR="008A4890">
        <w:t>138</w:t>
      </w:r>
      <w:r>
        <w:fldChar w:fldCharType="end"/>
      </w:r>
      <w:r>
        <w:t>, and accompanying text.</w:t>
      </w:r>
    </w:p>
  </w:footnote>
  <w:footnote w:id="15">
    <w:p w14:paraId="6B8B99E8" w14:textId="67FC12B3" w:rsidR="00501D78" w:rsidRDefault="00501D78" w:rsidP="00387A36">
      <w:pPr>
        <w:pStyle w:val="FootnoteText"/>
      </w:pPr>
      <w:r>
        <w:rPr>
          <w:rStyle w:val="FootnoteReference"/>
        </w:rPr>
        <w:footnoteRef/>
      </w:r>
      <w:r>
        <w:t xml:space="preserve"> </w:t>
      </w:r>
      <w:r w:rsidRPr="00D96680">
        <w:rPr>
          <w:i/>
        </w:rPr>
        <w:t>See infra</w:t>
      </w:r>
      <w:r>
        <w:t xml:space="preserve"> notes </w:t>
      </w:r>
      <w:r>
        <w:fldChar w:fldCharType="begin"/>
      </w:r>
      <w:r>
        <w:instrText xml:space="preserve"> NOTEREF _Ref476406644 \h </w:instrText>
      </w:r>
      <w:r>
        <w:fldChar w:fldCharType="separate"/>
      </w:r>
      <w:r w:rsidR="008A4890">
        <w:t>141</w:t>
      </w:r>
      <w:r>
        <w:fldChar w:fldCharType="end"/>
      </w:r>
      <w:r>
        <w:t>-</w:t>
      </w:r>
      <w:r>
        <w:fldChar w:fldCharType="begin"/>
      </w:r>
      <w:r>
        <w:instrText xml:space="preserve"> NOTEREF _Ref476406664 \h </w:instrText>
      </w:r>
      <w:r>
        <w:fldChar w:fldCharType="separate"/>
      </w:r>
      <w:r w:rsidR="008A4890">
        <w:t>153</w:t>
      </w:r>
      <w:r>
        <w:fldChar w:fldCharType="end"/>
      </w:r>
      <w:r>
        <w:t>, and accompanying text.</w:t>
      </w:r>
    </w:p>
  </w:footnote>
  <w:footnote w:id="16">
    <w:p w14:paraId="7378B935" w14:textId="0F357C78" w:rsidR="00501D78" w:rsidRDefault="00501D78" w:rsidP="00F92ED0">
      <w:pPr>
        <w:pStyle w:val="FootnoteText"/>
      </w:pPr>
      <w:r>
        <w:rPr>
          <w:rStyle w:val="FootnoteReference"/>
        </w:rPr>
        <w:footnoteRef/>
      </w:r>
      <w:r>
        <w:t xml:space="preserve"> </w:t>
      </w:r>
      <w:r w:rsidRPr="00D96680">
        <w:rPr>
          <w:i/>
        </w:rPr>
        <w:t>See infra</w:t>
      </w:r>
      <w:r>
        <w:t xml:space="preserve"> notes </w:t>
      </w:r>
      <w:r>
        <w:fldChar w:fldCharType="begin"/>
      </w:r>
      <w:r>
        <w:instrText xml:space="preserve"> NOTEREF _Ref476406681 \h </w:instrText>
      </w:r>
      <w:r>
        <w:fldChar w:fldCharType="separate"/>
      </w:r>
      <w:r w:rsidR="008A4890">
        <w:t>154</w:t>
      </w:r>
      <w:r>
        <w:fldChar w:fldCharType="end"/>
      </w:r>
      <w:r>
        <w:t>-</w:t>
      </w:r>
      <w:r>
        <w:fldChar w:fldCharType="begin"/>
      </w:r>
      <w:r>
        <w:instrText xml:space="preserve"> NOTEREF _Ref476406707 \h </w:instrText>
      </w:r>
      <w:r>
        <w:fldChar w:fldCharType="separate"/>
      </w:r>
      <w:r w:rsidR="008A4890">
        <w:t>200</w:t>
      </w:r>
      <w:r>
        <w:fldChar w:fldCharType="end"/>
      </w:r>
      <w:r>
        <w:t>, and accompanying text.</w:t>
      </w:r>
    </w:p>
  </w:footnote>
  <w:footnote w:id="17">
    <w:p w14:paraId="23C7B1F3" w14:textId="4A4D4435" w:rsidR="00501D78" w:rsidRDefault="00501D78" w:rsidP="003360C4">
      <w:pPr>
        <w:pStyle w:val="FootnoteText"/>
      </w:pPr>
      <w:r>
        <w:rPr>
          <w:rStyle w:val="FootnoteReference"/>
        </w:rPr>
        <w:footnoteRef/>
      </w:r>
      <w:r>
        <w:t xml:space="preserve"> </w:t>
      </w:r>
      <w:r w:rsidRPr="00D96680">
        <w:rPr>
          <w:i/>
        </w:rPr>
        <w:t>See infra</w:t>
      </w:r>
      <w:r>
        <w:t xml:space="preserve"> notes </w:t>
      </w:r>
      <w:r>
        <w:fldChar w:fldCharType="begin"/>
      </w:r>
      <w:r>
        <w:instrText xml:space="preserve"> NOTEREF _Ref476406729 \h </w:instrText>
      </w:r>
      <w:r>
        <w:fldChar w:fldCharType="separate"/>
      </w:r>
      <w:r w:rsidR="008A4890">
        <w:t>201</w:t>
      </w:r>
      <w:r>
        <w:fldChar w:fldCharType="end"/>
      </w:r>
      <w:r>
        <w:t>-</w:t>
      </w:r>
      <w:r>
        <w:fldChar w:fldCharType="begin"/>
      </w:r>
      <w:r>
        <w:instrText xml:space="preserve"> NOTEREF _Ref476406772 \h </w:instrText>
      </w:r>
      <w:r>
        <w:fldChar w:fldCharType="separate"/>
      </w:r>
      <w:r w:rsidR="008A4890">
        <w:t>347</w:t>
      </w:r>
      <w:r>
        <w:fldChar w:fldCharType="end"/>
      </w:r>
      <w:r>
        <w:t>, and accompanying text.</w:t>
      </w:r>
    </w:p>
  </w:footnote>
  <w:footnote w:id="18">
    <w:p w14:paraId="506BEDD9" w14:textId="0B8BD63E" w:rsidR="00501D78" w:rsidRDefault="00501D78" w:rsidP="0026396C">
      <w:pPr>
        <w:pStyle w:val="FootnoteText"/>
      </w:pPr>
      <w:r>
        <w:rPr>
          <w:rStyle w:val="FootnoteReference"/>
        </w:rPr>
        <w:footnoteRef/>
      </w:r>
      <w:r>
        <w:t xml:space="preserve"> </w:t>
      </w:r>
      <w:r w:rsidRPr="00D96680">
        <w:rPr>
          <w:i/>
        </w:rPr>
        <w:t>See infra</w:t>
      </w:r>
      <w:r>
        <w:t xml:space="preserve"> notes </w:t>
      </w:r>
      <w:r>
        <w:fldChar w:fldCharType="begin"/>
      </w:r>
      <w:r>
        <w:instrText xml:space="preserve"> NOTEREF _Ref476406795 \h </w:instrText>
      </w:r>
      <w:r>
        <w:fldChar w:fldCharType="separate"/>
      </w:r>
      <w:r w:rsidR="008A4890">
        <w:t>348</w:t>
      </w:r>
      <w:r>
        <w:fldChar w:fldCharType="end"/>
      </w:r>
      <w:r>
        <w:t>-</w:t>
      </w:r>
      <w:r>
        <w:fldChar w:fldCharType="begin"/>
      </w:r>
      <w:r>
        <w:instrText xml:space="preserve"> NOTEREF _Ref462526007 \h </w:instrText>
      </w:r>
      <w:r>
        <w:fldChar w:fldCharType="separate"/>
      </w:r>
      <w:r w:rsidR="008A4890">
        <w:t>372</w:t>
      </w:r>
      <w:r>
        <w:fldChar w:fldCharType="end"/>
      </w:r>
      <w:r>
        <w:t>, and accompanying text.</w:t>
      </w:r>
    </w:p>
  </w:footnote>
  <w:footnote w:id="19">
    <w:p w14:paraId="07240D2C" w14:textId="3D49E0B0" w:rsidR="00501D78" w:rsidRDefault="00501D78" w:rsidP="00F92ED0">
      <w:pPr>
        <w:pStyle w:val="FootnoteText"/>
      </w:pPr>
      <w:r>
        <w:rPr>
          <w:rStyle w:val="FootnoteReference"/>
        </w:rPr>
        <w:footnoteRef/>
      </w:r>
      <w:r>
        <w:t xml:space="preserve"> </w:t>
      </w:r>
      <w:r w:rsidRPr="00D96680">
        <w:rPr>
          <w:i/>
        </w:rPr>
        <w:t>See infra</w:t>
      </w:r>
      <w:r>
        <w:t xml:space="preserve"> notes </w:t>
      </w:r>
      <w:r>
        <w:fldChar w:fldCharType="begin"/>
      </w:r>
      <w:r>
        <w:instrText xml:space="preserve"> NOTEREF _Ref476406845 \h </w:instrText>
      </w:r>
      <w:r>
        <w:fldChar w:fldCharType="separate"/>
      </w:r>
      <w:r w:rsidR="008A4890">
        <w:t>352</w:t>
      </w:r>
      <w:r>
        <w:fldChar w:fldCharType="end"/>
      </w:r>
      <w:r>
        <w:t>-</w:t>
      </w:r>
      <w:r>
        <w:fldChar w:fldCharType="begin"/>
      </w:r>
      <w:r>
        <w:instrText xml:space="preserve"> NOTEREF _Ref476406866 \h </w:instrText>
      </w:r>
      <w:r>
        <w:fldChar w:fldCharType="separate"/>
      </w:r>
      <w:r w:rsidR="008A4890">
        <w:t>358</w:t>
      </w:r>
      <w:r>
        <w:fldChar w:fldCharType="end"/>
      </w:r>
      <w:r>
        <w:t>, and accompanying text.</w:t>
      </w:r>
    </w:p>
  </w:footnote>
  <w:footnote w:id="20">
    <w:p w14:paraId="01F3E9C8" w14:textId="085360A0" w:rsidR="00501D78" w:rsidRDefault="00501D78" w:rsidP="0064511E">
      <w:pPr>
        <w:pStyle w:val="FootnoteText"/>
      </w:pPr>
      <w:r>
        <w:rPr>
          <w:rStyle w:val="FootnoteReference"/>
        </w:rPr>
        <w:footnoteRef/>
      </w:r>
      <w:r>
        <w:t xml:space="preserve"> </w:t>
      </w:r>
      <w:r w:rsidRPr="00D96680">
        <w:rPr>
          <w:i/>
        </w:rPr>
        <w:t>See infra</w:t>
      </w:r>
      <w:r>
        <w:t xml:space="preserve"> notes </w:t>
      </w:r>
      <w:r>
        <w:fldChar w:fldCharType="begin"/>
      </w:r>
      <w:r>
        <w:instrText xml:space="preserve"> NOTEREF _Ref476406942 \h </w:instrText>
      </w:r>
      <w:r>
        <w:fldChar w:fldCharType="separate"/>
      </w:r>
      <w:r w:rsidR="008A4890">
        <w:t>373</w:t>
      </w:r>
      <w:r>
        <w:fldChar w:fldCharType="end"/>
      </w:r>
      <w:r>
        <w:t>-</w:t>
      </w:r>
      <w:r>
        <w:fldChar w:fldCharType="begin"/>
      </w:r>
      <w:r>
        <w:instrText xml:space="preserve"> NOTEREF _Ref476406951 \h </w:instrText>
      </w:r>
      <w:r>
        <w:fldChar w:fldCharType="separate"/>
      </w:r>
      <w:r w:rsidR="008A4890">
        <w:t>405</w:t>
      </w:r>
      <w:r>
        <w:fldChar w:fldCharType="end"/>
      </w:r>
      <w:r>
        <w:t>, and accompanying text.</w:t>
      </w:r>
    </w:p>
  </w:footnote>
  <w:footnote w:id="21">
    <w:p w14:paraId="1748E95F" w14:textId="58B58944" w:rsidR="00501D78" w:rsidRDefault="00501D78" w:rsidP="002F37B8">
      <w:pPr>
        <w:pStyle w:val="FootnoteText"/>
      </w:pPr>
      <w:r>
        <w:rPr>
          <w:rStyle w:val="FootnoteReference"/>
        </w:rPr>
        <w:footnoteRef/>
      </w:r>
      <w:r>
        <w:t xml:space="preserve"> “Neither Congress nor the states attempted to impose quantitative limits on immigration” until 1921. Gerald L. Neuman, </w:t>
      </w:r>
      <w:r w:rsidRPr="002F37B8">
        <w:rPr>
          <w:i/>
        </w:rPr>
        <w:t>The Lost Century of American Immigration Law (1776-1875)</w:t>
      </w:r>
      <w:r>
        <w:t xml:space="preserve">, 93 </w:t>
      </w:r>
      <w:r w:rsidRPr="002F37B8">
        <w:rPr>
          <w:smallCaps/>
        </w:rPr>
        <w:t>Colum. L. Rev.</w:t>
      </w:r>
      <w:r>
        <w:t xml:space="preserve"> 1833, 1834 (1993)</w:t>
      </w:r>
    </w:p>
  </w:footnote>
  <w:footnote w:id="22">
    <w:p w14:paraId="44245724" w14:textId="3AE342BC" w:rsidR="00501D78" w:rsidRDefault="00501D78">
      <w:pPr>
        <w:pStyle w:val="FootnoteText"/>
      </w:pPr>
      <w:r>
        <w:rPr>
          <w:rStyle w:val="FootnoteReference"/>
        </w:rPr>
        <w:footnoteRef/>
      </w:r>
      <w:r>
        <w:t xml:space="preserve"> Act of May 19, 1921, ch. 8, § 2, 42 Stat. 2 (temporary quota law).</w:t>
      </w:r>
    </w:p>
  </w:footnote>
  <w:footnote w:id="23">
    <w:p w14:paraId="4E25180A" w14:textId="0CCD0125" w:rsidR="00501D78" w:rsidRDefault="00501D78" w:rsidP="005871FC">
      <w:pPr>
        <w:pStyle w:val="FootnoteText"/>
      </w:pPr>
      <w:r>
        <w:rPr>
          <w:rStyle w:val="FootnoteReference"/>
        </w:rPr>
        <w:footnoteRef/>
      </w:r>
      <w:r>
        <w:t xml:space="preserve"> Gabriel J. Chin, </w:t>
      </w:r>
      <w:r w:rsidRPr="001E38C0">
        <w:rPr>
          <w:i/>
        </w:rPr>
        <w:t>The Civil Rights Revolution Comes to Immigration Law: A New Look at the Immigration and Nationality Act of 1965</w:t>
      </w:r>
      <w:r>
        <w:t>, 75</w:t>
      </w:r>
      <w:r w:rsidRPr="003954A0">
        <w:rPr>
          <w:smallCaps/>
        </w:rPr>
        <w:t xml:space="preserve"> N.C. L. Rev.</w:t>
      </w:r>
      <w:r>
        <w:t xml:space="preserve"> 273, 279 (1996).</w:t>
      </w:r>
    </w:p>
  </w:footnote>
  <w:footnote w:id="24">
    <w:p w14:paraId="39087138" w14:textId="01394306" w:rsidR="00501D78" w:rsidRPr="00E343EA" w:rsidRDefault="00501D78" w:rsidP="000A113F">
      <w:pPr>
        <w:pStyle w:val="FootnoteText"/>
      </w:pPr>
      <w:r w:rsidRPr="00E343EA">
        <w:rPr>
          <w:rStyle w:val="FootnoteReference"/>
        </w:rPr>
        <w:footnoteRef/>
      </w:r>
      <w:r w:rsidRPr="00E343EA">
        <w:t xml:space="preserve"> </w:t>
      </w:r>
      <w:r>
        <w:t xml:space="preserve">As the great historian Oscar Handlin explained, “By the end of the [nineteenth] century the pattern of racist practices and ideas seemed fully developed: the Orientals were to be totally excluded; the Negroes were to live in a segregated enclave; the Indians were to be confined to reservations as permanent wards of the nation . . .” Gabriel J. Chin &amp; Daniel K. Tu, </w:t>
      </w:r>
      <w:r w:rsidRPr="000A113F">
        <w:rPr>
          <w:i/>
        </w:rPr>
        <w:t>Comprehensive Immigration Reform in the Jim Crow Era: Chinese Exclusion and the McCreary Act of 1893</w:t>
      </w:r>
      <w:r>
        <w:t xml:space="preserve">, 23 </w:t>
      </w:r>
      <w:r w:rsidRPr="000A113F">
        <w:rPr>
          <w:smallCaps/>
        </w:rPr>
        <w:t>Asian Am. L.J.</w:t>
      </w:r>
      <w:r>
        <w:t xml:space="preserve"> 39, 41 (2016) (quoting </w:t>
      </w:r>
      <w:r w:rsidRPr="000A113F">
        <w:rPr>
          <w:smallCaps/>
        </w:rPr>
        <w:t>Oscar Handlin, Race and Nationality in American Life</w:t>
      </w:r>
      <w:r w:rsidRPr="000A113F">
        <w:t xml:space="preserve"> 48 (1957)</w:t>
      </w:r>
      <w:r>
        <w:t>)</w:t>
      </w:r>
      <w:r w:rsidRPr="000A113F">
        <w:t xml:space="preserve">. </w:t>
      </w:r>
      <w:r>
        <w:t xml:space="preserve">Many believed the United States was intrinsically a white country, that is, that it should be run for the benefit of whites.  </w:t>
      </w:r>
      <w:r w:rsidRPr="00E343EA">
        <w:t xml:space="preserve">Thus, U.S. Senator John Perceval Jones of Nevada argued in favor of the Chinese Exclusion Act: </w:t>
      </w:r>
    </w:p>
    <w:p w14:paraId="5B0B9899" w14:textId="4FF69868" w:rsidR="00501D78" w:rsidRPr="00E343EA" w:rsidRDefault="00501D78" w:rsidP="000F2815">
      <w:pPr>
        <w:pStyle w:val="FootnoteText"/>
        <w:ind w:left="720" w:firstLine="0"/>
      </w:pPr>
      <w:r w:rsidRPr="00E343EA">
        <w:t>Does anybody pretend to tell me that it is a blessing to this country that [African Americans] are here? It is no fault of ours that they are here; it is no fault of theirs; it is the fault of a past generation; but their presence here is a great misfortune to us to-day, and the question of the adjustment of the relations between the two races socially and politically is no nearer a settlement now than it was the day Sumter was fired upon... [The Chinaman</w:t>
      </w:r>
      <w:r>
        <w:t>’</w:t>
      </w:r>
      <w:r w:rsidRPr="00E343EA">
        <w:t xml:space="preserve">s] race is socially more incongruous to ours and less capable of assimilation with us than is the negro race. . . What encouragement do we find in the history of our dealings with the negro race or in our dealings with the Indian race to induce us to permit another race-struggle in our midst? </w:t>
      </w:r>
    </w:p>
    <w:p w14:paraId="70DF5EFC" w14:textId="4FFBAA18" w:rsidR="00501D78" w:rsidRPr="00E343EA" w:rsidRDefault="00501D78" w:rsidP="000F2815">
      <w:pPr>
        <w:pStyle w:val="FootnoteText"/>
        <w:ind w:firstLine="0"/>
      </w:pPr>
      <w:r w:rsidRPr="00E343EA">
        <w:t xml:space="preserve">13 </w:t>
      </w:r>
      <w:r w:rsidRPr="00E343EA">
        <w:rPr>
          <w:smallCaps/>
        </w:rPr>
        <w:t>Cong</w:t>
      </w:r>
      <w:r>
        <w:rPr>
          <w:smallCaps/>
        </w:rPr>
        <w:t>.</w:t>
      </w:r>
      <w:r w:rsidRPr="00E343EA">
        <w:rPr>
          <w:smallCaps/>
        </w:rPr>
        <w:t xml:space="preserve"> Rec.</w:t>
      </w:r>
      <w:r w:rsidRPr="00E343EA">
        <w:t xml:space="preserve"> 1744-45 (1882).</w:t>
      </w:r>
    </w:p>
  </w:footnote>
  <w:footnote w:id="25">
    <w:p w14:paraId="43C898F2" w14:textId="6FCF5F5B" w:rsidR="00501D78" w:rsidRDefault="00501D78">
      <w:pPr>
        <w:pStyle w:val="FootnoteText"/>
      </w:pPr>
      <w:r>
        <w:rPr>
          <w:rStyle w:val="FootnoteReference"/>
        </w:rPr>
        <w:footnoteRef/>
      </w:r>
      <w:r>
        <w:t xml:space="preserve"> Chin, </w:t>
      </w:r>
      <w:r w:rsidRPr="00C53002">
        <w:rPr>
          <w:i/>
        </w:rPr>
        <w:t>supra</w:t>
      </w:r>
      <w:r>
        <w:t xml:space="preserve"> note </w:t>
      </w:r>
      <w:r>
        <w:fldChar w:fldCharType="begin"/>
      </w:r>
      <w:r>
        <w:instrText xml:space="preserve"> NOTEREF _Ref476063289 \h </w:instrText>
      </w:r>
      <w:r>
        <w:fldChar w:fldCharType="separate"/>
      </w:r>
      <w:r w:rsidR="008A4890">
        <w:t>20</w:t>
      </w:r>
      <w:r>
        <w:fldChar w:fldCharType="end"/>
      </w:r>
      <w:r>
        <w:t>, at 281.</w:t>
      </w:r>
    </w:p>
  </w:footnote>
  <w:footnote w:id="26">
    <w:p w14:paraId="60349D38" w14:textId="5ECA18D4" w:rsidR="00501D78" w:rsidRDefault="00501D78">
      <w:pPr>
        <w:pStyle w:val="FootnoteText"/>
      </w:pPr>
      <w:r>
        <w:rPr>
          <w:rStyle w:val="FootnoteReference"/>
        </w:rPr>
        <w:footnoteRef/>
      </w:r>
      <w:r>
        <w:t xml:space="preserve"> </w:t>
      </w:r>
      <w:r w:rsidRPr="00AD652D">
        <w:t xml:space="preserve">For example, the Supreme Court found discrimination against Chinese laundries in San Francisco in </w:t>
      </w:r>
      <w:r w:rsidRPr="00AD652D">
        <w:rPr>
          <w:i/>
        </w:rPr>
        <w:t>Yick Wo v. Hopkins</w:t>
      </w:r>
      <w:r w:rsidRPr="00364F4F">
        <w:t xml:space="preserve">, 118 U.S. 356 </w:t>
      </w:r>
      <w:r w:rsidRPr="00283CD4">
        <w:t>(</w:t>
      </w:r>
      <w:r w:rsidRPr="00AD652D">
        <w:t>1886</w:t>
      </w:r>
      <w:r>
        <w:t>)</w:t>
      </w:r>
      <w:r w:rsidRPr="00AD652D">
        <w:t>.</w:t>
      </w:r>
    </w:p>
  </w:footnote>
  <w:footnote w:id="27">
    <w:p w14:paraId="4E0FFF9E" w14:textId="4FAB825E" w:rsidR="00501D78" w:rsidRDefault="00501D78">
      <w:pPr>
        <w:pStyle w:val="FootnoteText"/>
      </w:pPr>
      <w:r>
        <w:rPr>
          <w:rStyle w:val="FootnoteReference"/>
        </w:rPr>
        <w:footnoteRef/>
      </w:r>
      <w:r>
        <w:t xml:space="preserve"> </w:t>
      </w:r>
      <w:r w:rsidRPr="006C0AA7">
        <w:t xml:space="preserve">Chin, </w:t>
      </w:r>
      <w:r w:rsidRPr="006C0AA7">
        <w:rPr>
          <w:i/>
        </w:rPr>
        <w:t>supra</w:t>
      </w:r>
      <w:r w:rsidRPr="006C0AA7">
        <w:t xml:space="preserve"> note </w:t>
      </w:r>
      <w:r w:rsidRPr="006C0AA7">
        <w:fldChar w:fldCharType="begin"/>
      </w:r>
      <w:r w:rsidRPr="006C0AA7">
        <w:instrText xml:space="preserve"> NOTEREF _Ref476063289 \h </w:instrText>
      </w:r>
      <w:r w:rsidRPr="006C0AA7">
        <w:fldChar w:fldCharType="separate"/>
      </w:r>
      <w:r w:rsidR="008A4890">
        <w:t>20</w:t>
      </w:r>
      <w:r w:rsidRPr="006C0AA7">
        <w:fldChar w:fldCharType="end"/>
      </w:r>
      <w:r w:rsidRPr="006C0AA7">
        <w:t>, at 281.</w:t>
      </w:r>
    </w:p>
  </w:footnote>
  <w:footnote w:id="28">
    <w:p w14:paraId="56BF2143" w14:textId="2D8D1DB4" w:rsidR="00501D78" w:rsidRDefault="00501D78">
      <w:pPr>
        <w:pStyle w:val="FootnoteText"/>
      </w:pPr>
      <w:r>
        <w:rPr>
          <w:rStyle w:val="FootnoteReference"/>
        </w:rPr>
        <w:footnoteRef/>
      </w:r>
      <w:r>
        <w:t xml:space="preserve"> Reflecting the pan-Asian nature of the issue, in 1907 the Japanese and Korean Exclusion League renamed itself the Asiatic Exclusion League. </w:t>
      </w:r>
      <w:r w:rsidRPr="00741EF5">
        <w:rPr>
          <w:i/>
        </w:rPr>
        <w:t>See</w:t>
      </w:r>
      <w:r>
        <w:t xml:space="preserve"> </w:t>
      </w:r>
      <w:r w:rsidRPr="00741EF5">
        <w:rPr>
          <w:smallCaps/>
        </w:rPr>
        <w:t>Proceedings of the Asiatic Exclusion League</w:t>
      </w:r>
      <w:r>
        <w:t xml:space="preserve"> 11 (Dec. 1907).</w:t>
      </w:r>
      <w:r w:rsidR="00D745E8">
        <w:t xml:space="preserve">  There was, of course, respectable </w:t>
      </w:r>
      <w:r w:rsidR="00AF1091">
        <w:t xml:space="preserve">scholarly support for racially selective immigration.  </w:t>
      </w:r>
      <w:r w:rsidR="00AF1091" w:rsidRPr="00AF1091">
        <w:rPr>
          <w:i/>
        </w:rPr>
        <w:t>See, e.g.,</w:t>
      </w:r>
      <w:r w:rsidR="00AF1091">
        <w:t xml:space="preserve"> Thomas C. Leonard, </w:t>
      </w:r>
      <w:r w:rsidR="00AF1091" w:rsidRPr="00AF1091">
        <w:rPr>
          <w:i/>
        </w:rPr>
        <w:t>Eugenics and Economics in the Progressive Era</w:t>
      </w:r>
      <w:r w:rsidR="00AF1091">
        <w:t xml:space="preserve">, 19 </w:t>
      </w:r>
      <w:r w:rsidR="00AF1091" w:rsidRPr="00F168E5">
        <w:rPr>
          <w:smallCaps/>
        </w:rPr>
        <w:t>J. Econ. Perspectives</w:t>
      </w:r>
      <w:r w:rsidR="00AF1091">
        <w:t xml:space="preserve"> 207, 210 (2005)</w:t>
      </w:r>
      <w:r w:rsidR="00F168E5">
        <w:t xml:space="preserve"> (noting that Edward A. Ross believed that while inferior, “’Latins. Slavs, Asiatics and Hebrews’ were better adapted to the conditions of industrial capitalism and thus would outbreed the superior Anglo-Saxon race.”)</w:t>
      </w:r>
      <w:r w:rsidR="00AF1091">
        <w:t xml:space="preserve">. </w:t>
      </w:r>
    </w:p>
  </w:footnote>
  <w:footnote w:id="29">
    <w:p w14:paraId="025A7BC2" w14:textId="4C56353A" w:rsidR="00501D78" w:rsidRPr="00E343EA" w:rsidRDefault="00501D78" w:rsidP="00B06E49">
      <w:pPr>
        <w:pStyle w:val="FootnoteText"/>
      </w:pPr>
      <w:r w:rsidRPr="00E343EA">
        <w:rPr>
          <w:rStyle w:val="FootnoteReference"/>
        </w:rPr>
        <w:footnoteRef/>
      </w:r>
      <w:r w:rsidRPr="00E343EA">
        <w:t xml:space="preserve"> </w:t>
      </w:r>
      <w:r w:rsidRPr="00E343EA">
        <w:rPr>
          <w:i/>
        </w:rPr>
        <w:t>See, e.g.</w:t>
      </w:r>
      <w:r w:rsidRPr="00E343EA">
        <w:t xml:space="preserve">, </w:t>
      </w:r>
      <w:r w:rsidRPr="00E343EA">
        <w:rPr>
          <w:i/>
        </w:rPr>
        <w:t>In re</w:t>
      </w:r>
      <w:r w:rsidRPr="00E343EA">
        <w:t xml:space="preserve"> Hong Yen Chang, 24 P. 156 (</w:t>
      </w:r>
      <w:r>
        <w:t xml:space="preserve">Cal. </w:t>
      </w:r>
      <w:r w:rsidRPr="00E343EA">
        <w:t xml:space="preserve">1890) (denying admission to the California bar based on Chinese race), </w:t>
      </w:r>
      <w:r w:rsidRPr="00E343EA">
        <w:rPr>
          <w:i/>
        </w:rPr>
        <w:t>abrogated by In re</w:t>
      </w:r>
      <w:r w:rsidRPr="00E343EA">
        <w:t xml:space="preserve"> Hong Yen Chang, 344 P.3d 288 (</w:t>
      </w:r>
      <w:r>
        <w:t xml:space="preserve">Cal. </w:t>
      </w:r>
      <w:r w:rsidRPr="00E343EA">
        <w:t>2015).</w:t>
      </w:r>
    </w:p>
  </w:footnote>
  <w:footnote w:id="30">
    <w:p w14:paraId="683B605B" w14:textId="397E2A3C" w:rsidR="00501D78" w:rsidRDefault="00501D78">
      <w:pPr>
        <w:pStyle w:val="FootnoteText"/>
      </w:pPr>
      <w:r>
        <w:rPr>
          <w:rStyle w:val="FootnoteReference"/>
        </w:rPr>
        <w:footnoteRef/>
      </w:r>
      <w:r>
        <w:t xml:space="preserve"> </w:t>
      </w:r>
      <w:r w:rsidRPr="008A4E63">
        <w:rPr>
          <w:i/>
        </w:rPr>
        <w:t>See, e.g.,</w:t>
      </w:r>
      <w:r>
        <w:t xml:space="preserve"> </w:t>
      </w:r>
      <w:r w:rsidRPr="005012E9">
        <w:rPr>
          <w:smallCaps/>
        </w:rPr>
        <w:t>Erika Lee</w:t>
      </w:r>
      <w:r>
        <w:t xml:space="preserve">, </w:t>
      </w:r>
      <w:r w:rsidRPr="005012E9">
        <w:rPr>
          <w:i/>
        </w:rPr>
        <w:t>supra</w:t>
      </w:r>
      <w:r>
        <w:t xml:space="preserve"> note </w:t>
      </w:r>
      <w:r>
        <w:fldChar w:fldCharType="begin"/>
      </w:r>
      <w:r>
        <w:instrText xml:space="preserve"> NOTEREF _Ref475540046 \h </w:instrText>
      </w:r>
      <w:r>
        <w:fldChar w:fldCharType="separate"/>
      </w:r>
      <w:r w:rsidR="008A4890">
        <w:t>2</w:t>
      </w:r>
      <w:r>
        <w:fldChar w:fldCharType="end"/>
      </w:r>
      <w:r>
        <w:t xml:space="preserve">, at 76 (Chinese were “[s]hut out from other jobs because of racial discrimination.”); Priscilla Spires Wegars, </w:t>
      </w:r>
      <w:r w:rsidRPr="008A4E63">
        <w:rPr>
          <w:i/>
        </w:rPr>
        <w:t>Chinese in Moscow, Idaho, 1883-1909</w:t>
      </w:r>
      <w:r>
        <w:t xml:space="preserve">, 52 </w:t>
      </w:r>
      <w:r w:rsidRPr="008A4E63">
        <w:rPr>
          <w:smallCaps/>
        </w:rPr>
        <w:t>The Historian</w:t>
      </w:r>
      <w:r>
        <w:t xml:space="preserve"> No. 1 82, 96-97 (Nov. 1989) (describing hotels and restaurants advertising white-only employees); </w:t>
      </w:r>
      <w:r w:rsidRPr="005D58CC">
        <w:rPr>
          <w:smallCaps/>
        </w:rPr>
        <w:t>Proceedings of the Asiatic Exclusion League</w:t>
      </w:r>
      <w:r>
        <w:t xml:space="preserve"> 3 (June 1909) (reporting that some employers “have changed their Asiatic help for whites [as] soon</w:t>
      </w:r>
      <w:r w:rsidR="00A120C7">
        <w:t xml:space="preserve"> as the latter was obtainable”); Nathaniel Hilger, </w:t>
      </w:r>
      <w:r w:rsidR="00A120C7" w:rsidRPr="00A120C7">
        <w:t>Upward Mobility and Discrimination: The Case of Asian Americans</w:t>
      </w:r>
      <w:r w:rsidR="00D31225">
        <w:t xml:space="preserve"> </w:t>
      </w:r>
      <w:r w:rsidR="00C87D93">
        <w:t xml:space="preserve">11 </w:t>
      </w:r>
      <w:r w:rsidR="00D31225">
        <w:t>(NBER Working Paper 22748)</w:t>
      </w:r>
      <w:r w:rsidR="00C87D93">
        <w:t xml:space="preserve"> (“Asians faced similar or greater historical discrimination than blacks in pre-war CA in citizenship and suffrage, due process, employment, labor unions, land ownership and leasing, housing markets, public education, and of course internment and expropriation during WWII”).</w:t>
      </w:r>
    </w:p>
  </w:footnote>
  <w:footnote w:id="31">
    <w:p w14:paraId="406BCA45" w14:textId="331B27D0" w:rsidR="00501D78" w:rsidRPr="00E343EA" w:rsidRDefault="00501D78" w:rsidP="007B18FD">
      <w:pPr>
        <w:pStyle w:val="FootnoteText"/>
      </w:pPr>
      <w:r w:rsidRPr="00E343EA">
        <w:rPr>
          <w:rStyle w:val="FootnoteReference"/>
        </w:rPr>
        <w:footnoteRef/>
      </w:r>
      <w:r w:rsidRPr="00E343EA">
        <w:t xml:space="preserve"> </w:t>
      </w:r>
      <w:r w:rsidRPr="005012E9">
        <w:rPr>
          <w:smallCaps/>
        </w:rPr>
        <w:t>Erika Lee</w:t>
      </w:r>
      <w:r>
        <w:t xml:space="preserve">, </w:t>
      </w:r>
      <w:r w:rsidRPr="005012E9">
        <w:rPr>
          <w:i/>
        </w:rPr>
        <w:t>supra</w:t>
      </w:r>
      <w:r>
        <w:t xml:space="preserve"> note </w:t>
      </w:r>
      <w:r>
        <w:fldChar w:fldCharType="begin"/>
      </w:r>
      <w:r>
        <w:instrText xml:space="preserve"> NOTEREF _Ref475540046 \h </w:instrText>
      </w:r>
      <w:r>
        <w:fldChar w:fldCharType="separate"/>
      </w:r>
      <w:r w:rsidR="008A4890">
        <w:t>2</w:t>
      </w:r>
      <w:r>
        <w:fldChar w:fldCharType="end"/>
      </w:r>
      <w:r>
        <w:t xml:space="preserve">, at 76 (“By the early twentieth century, restaurants were a mainstay for many immigrant families, who opened up chop suey houses catering to non-Chinese clientele across the country.  As Chinese moved across the United States, so did Chinese laundries and restaurants.”); </w:t>
      </w:r>
      <w:r w:rsidRPr="00E343EA">
        <w:rPr>
          <w:smallCaps/>
        </w:rPr>
        <w:t>Ronald Takaki, Strangers from a Different Shore: A History of Asian</w:t>
      </w:r>
      <w:r w:rsidRPr="00E343EA">
        <w:t xml:space="preserve"> </w:t>
      </w:r>
      <w:r w:rsidRPr="00E343EA">
        <w:rPr>
          <w:smallCaps/>
        </w:rPr>
        <w:t>Americans</w:t>
      </w:r>
      <w:r w:rsidRPr="00E343EA">
        <w:t xml:space="preserve"> 240 (1989) (</w:t>
      </w:r>
      <w:r>
        <w:t>“</w:t>
      </w:r>
      <w:r w:rsidRPr="00E343EA">
        <w:t>By 1920, 58 percent of the Chinese were in services, most of them in restaurant and laundry work . . . .</w:t>
      </w:r>
      <w:r>
        <w:t>”</w:t>
      </w:r>
      <w:r w:rsidRPr="00E343EA">
        <w:t>);</w:t>
      </w:r>
      <w:r w:rsidRPr="00E23F3F">
        <w:t xml:space="preserve"> </w:t>
      </w:r>
      <w:r w:rsidRPr="00E343EA">
        <w:t xml:space="preserve">Samantha Barbas, </w:t>
      </w:r>
      <w:r>
        <w:rPr>
          <w:i/>
        </w:rPr>
        <w:t>“</w:t>
      </w:r>
      <w:r w:rsidRPr="00E343EA">
        <w:rPr>
          <w:i/>
        </w:rPr>
        <w:t>I</w:t>
      </w:r>
      <w:r>
        <w:rPr>
          <w:i/>
        </w:rPr>
        <w:t>’</w:t>
      </w:r>
      <w:r w:rsidRPr="00E343EA">
        <w:rPr>
          <w:i/>
        </w:rPr>
        <w:t>ll Take Chop Suey</w:t>
      </w:r>
      <w:r>
        <w:rPr>
          <w:i/>
        </w:rPr>
        <w:t>”</w:t>
      </w:r>
      <w:r w:rsidRPr="00E343EA">
        <w:rPr>
          <w:i/>
        </w:rPr>
        <w:t>: Restaurants as Agents of Culinary and Cultural Change</w:t>
      </w:r>
      <w:r w:rsidRPr="00E343EA">
        <w:t xml:space="preserve">, 36 </w:t>
      </w:r>
      <w:r w:rsidRPr="00E343EA">
        <w:rPr>
          <w:smallCaps/>
        </w:rPr>
        <w:t>J. Popular Culture 669, 67</w:t>
      </w:r>
      <w:r>
        <w:rPr>
          <w:smallCaps/>
        </w:rPr>
        <w:t>3</w:t>
      </w:r>
      <w:r w:rsidRPr="00E343EA">
        <w:rPr>
          <w:smallCaps/>
        </w:rPr>
        <w:t>-7</w:t>
      </w:r>
      <w:r>
        <w:rPr>
          <w:smallCaps/>
        </w:rPr>
        <w:t>4</w:t>
      </w:r>
      <w:r w:rsidRPr="00E343EA">
        <w:rPr>
          <w:smallCaps/>
        </w:rPr>
        <w:t xml:space="preserve"> (2003) (</w:t>
      </w:r>
      <w:r w:rsidRPr="009F4265">
        <w:t>noting that the Chinese</w:t>
      </w:r>
      <w:r>
        <w:rPr>
          <w:smallCaps/>
        </w:rPr>
        <w:t xml:space="preserve"> “</w:t>
      </w:r>
      <w:r w:rsidRPr="00E343EA">
        <w:t xml:space="preserve">had been forced out of the general labor market by hostile labor unions, exclusionary legal policies, and racial discrimination, and segregated into an ethnic labor niche. The new work opportunities </w:t>
      </w:r>
      <w:r>
        <w:t xml:space="preserve">. . . </w:t>
      </w:r>
      <w:r w:rsidRPr="00E343EA">
        <w:t xml:space="preserve"> centered primarily around service occupations, such as laundry and restaurant work, based in Chinatowns and catering to largely Chinese customers</w:t>
      </w:r>
      <w:r w:rsidRPr="00E343EA">
        <w:rPr>
          <w:smallCaps/>
        </w:rPr>
        <w:t xml:space="preserve">.); </w:t>
      </w:r>
      <w:r w:rsidRPr="00E343EA">
        <w:t xml:space="preserve">Siegen K. Chou, </w:t>
      </w:r>
      <w:r w:rsidRPr="00E343EA">
        <w:rPr>
          <w:i/>
        </w:rPr>
        <w:t>America Through Chinese Eyes</w:t>
      </w:r>
      <w:r w:rsidRPr="00E343EA">
        <w:t xml:space="preserve">, 24 </w:t>
      </w:r>
      <w:r w:rsidRPr="00E343EA">
        <w:rPr>
          <w:smallCaps/>
        </w:rPr>
        <w:t>Chinese Students Monthly</w:t>
      </w:r>
      <w:r w:rsidRPr="00E343EA">
        <w:t xml:space="preserve"> 81, 83 (1928) (</w:t>
      </w:r>
      <w:r>
        <w:t>“</w:t>
      </w:r>
      <w:r w:rsidRPr="00E343EA">
        <w:t>Restaurant and laundry business is synonymous with the Chinese.</w:t>
      </w:r>
      <w:r>
        <w:t>”</w:t>
      </w:r>
      <w:r w:rsidRPr="00E343EA">
        <w:t>)</w:t>
      </w:r>
      <w:r>
        <w:t xml:space="preserve">; Huping Ling, </w:t>
      </w:r>
      <w:r w:rsidRPr="00B73C4B">
        <w:rPr>
          <w:i/>
        </w:rPr>
        <w:t>Family and Marriage of Late-Nineteenth and Early-Twentieth Century Chinese Immigrant Women</w:t>
      </w:r>
      <w:r>
        <w:t xml:space="preserve">, 19 </w:t>
      </w:r>
      <w:r w:rsidRPr="00B73C4B">
        <w:rPr>
          <w:smallCaps/>
        </w:rPr>
        <w:t>J. Am. Ethnic Hist.</w:t>
      </w:r>
      <w:r>
        <w:t xml:space="preserve"> 43, 47-48 (2000).</w:t>
      </w:r>
    </w:p>
  </w:footnote>
  <w:footnote w:id="32">
    <w:p w14:paraId="5F8CB776" w14:textId="0C4E2CF7" w:rsidR="00501D78" w:rsidRPr="00E343EA" w:rsidRDefault="00501D78" w:rsidP="00B06E49">
      <w:pPr>
        <w:pStyle w:val="FootnoteText"/>
      </w:pPr>
      <w:r w:rsidRPr="00E343EA">
        <w:rPr>
          <w:rStyle w:val="FootnoteReference"/>
        </w:rPr>
        <w:footnoteRef/>
      </w:r>
      <w:r w:rsidRPr="00E343EA">
        <w:t xml:space="preserve"> </w:t>
      </w:r>
      <w:r w:rsidRPr="00E343EA">
        <w:rPr>
          <w:smallCaps/>
        </w:rPr>
        <w:t>B.L. Sung, The Story of the Chinese in America</w:t>
      </w:r>
      <w:r w:rsidRPr="00E343EA">
        <w:t xml:space="preserve"> 202-03 (1967); </w:t>
      </w:r>
      <w:r w:rsidRPr="00E343EA">
        <w:rPr>
          <w:i/>
        </w:rPr>
        <w:t xml:space="preserve">see also </w:t>
      </w:r>
      <w:r w:rsidRPr="00E343EA">
        <w:rPr>
          <w:smallCaps/>
        </w:rPr>
        <w:t xml:space="preserve">Annual Report of the Commissioner General of Immigration to the Secretary of Labor </w:t>
      </w:r>
      <w:r w:rsidRPr="00E343EA">
        <w:t>403 (1920) (</w:t>
      </w:r>
      <w:r>
        <w:t>“</w:t>
      </w:r>
      <w:r w:rsidRPr="00E343EA">
        <w:t>The bureau, of course, is well aware of the fact that throughout this district as well as the whole country Chinese restaurant and similar enterprises are growing in number, size, and evident prosperity.</w:t>
      </w:r>
      <w:r>
        <w:t>”</w:t>
      </w:r>
      <w:r w:rsidRPr="00E343EA">
        <w:t>);</w:t>
      </w:r>
      <w:r w:rsidRPr="00E343EA">
        <w:rPr>
          <w:i/>
        </w:rPr>
        <w:t xml:space="preserve"> </w:t>
      </w:r>
      <w:r w:rsidRPr="00E343EA">
        <w:t xml:space="preserve">28 </w:t>
      </w:r>
      <w:r w:rsidRPr="00E343EA">
        <w:rPr>
          <w:smallCaps/>
        </w:rPr>
        <w:t>Mixer &amp; Server</w:t>
      </w:r>
      <w:r w:rsidRPr="00E343EA">
        <w:t xml:space="preserve"> No. 8, Aug. 15, 1919 at 63 (stating that Chinese restaurants were </w:t>
      </w:r>
      <w:r>
        <w:t>“</w:t>
      </w:r>
      <w:r w:rsidRPr="00E343EA">
        <w:t>springing up like mushrooms</w:t>
      </w:r>
      <w:r>
        <w:t>”</w:t>
      </w:r>
      <w:r w:rsidRPr="00E343EA">
        <w:t xml:space="preserve">); Andrew P. Haley, </w:t>
      </w:r>
      <w:r w:rsidRPr="00E343EA">
        <w:rPr>
          <w:i/>
        </w:rPr>
        <w:t>The Nation before Taste: The Challenges of American Culinary History</w:t>
      </w:r>
      <w:r w:rsidRPr="00E343EA">
        <w:rPr>
          <w:smallCaps/>
        </w:rPr>
        <w:t>, 34 Pub. Hist.</w:t>
      </w:r>
      <w:r w:rsidRPr="00E343EA">
        <w:t xml:space="preserve"> No. 2, 74 (Spring 2012) (describing growth of Chinese restaurants in various U.S. cities).</w:t>
      </w:r>
    </w:p>
  </w:footnote>
  <w:footnote w:id="33">
    <w:p w14:paraId="34671038" w14:textId="3FFAA7EE" w:rsidR="00501D78" w:rsidRPr="00E343EA" w:rsidRDefault="00501D78" w:rsidP="00B06E49">
      <w:pPr>
        <w:pStyle w:val="FootnoteText"/>
      </w:pPr>
      <w:r w:rsidRPr="00E343EA">
        <w:rPr>
          <w:rStyle w:val="FootnoteReference"/>
        </w:rPr>
        <w:footnoteRef/>
      </w:r>
      <w:r w:rsidRPr="00E343EA">
        <w:t xml:space="preserve"> Haiming Loi, </w:t>
      </w:r>
      <w:r w:rsidRPr="00E343EA">
        <w:rPr>
          <w:i/>
        </w:rPr>
        <w:t>Chop Suey as Imagined Authentic Chinese Food: The Culinary Identity of Chinese Restaurants in the United States</w:t>
      </w:r>
      <w:r w:rsidRPr="00E343EA">
        <w:t xml:space="preserve">, 1 </w:t>
      </w:r>
      <w:r w:rsidRPr="00E343EA">
        <w:rPr>
          <w:smallCaps/>
        </w:rPr>
        <w:t>J. Transnat</w:t>
      </w:r>
      <w:r>
        <w:rPr>
          <w:smallCaps/>
        </w:rPr>
        <w:t>’</w:t>
      </w:r>
      <w:r w:rsidRPr="00E343EA">
        <w:rPr>
          <w:smallCaps/>
        </w:rPr>
        <w:t>l Am. Studs</w:t>
      </w:r>
      <w:r>
        <w:rPr>
          <w:smallCaps/>
        </w:rPr>
        <w:t>.</w:t>
      </w:r>
      <w:r w:rsidRPr="00E343EA">
        <w:rPr>
          <w:smallCaps/>
        </w:rPr>
        <w:t xml:space="preserve"> 12 (2009); </w:t>
      </w:r>
      <w:r w:rsidRPr="00E343EA">
        <w:rPr>
          <w:i/>
        </w:rPr>
        <w:t>see</w:t>
      </w:r>
      <w:r w:rsidRPr="00E343EA">
        <w:t xml:space="preserve"> Barbas,</w:t>
      </w:r>
      <w:r>
        <w:t xml:space="preserve"> </w:t>
      </w:r>
      <w:r w:rsidRPr="00E23F3F">
        <w:rPr>
          <w:i/>
        </w:rPr>
        <w:t>supra</w:t>
      </w:r>
      <w:r>
        <w:t xml:space="preserve"> note </w:t>
      </w:r>
      <w:r>
        <w:fldChar w:fldCharType="begin"/>
      </w:r>
      <w:r>
        <w:instrText xml:space="preserve"> NOTEREF _Ref461985394 \h </w:instrText>
      </w:r>
      <w:r>
        <w:fldChar w:fldCharType="separate"/>
      </w:r>
      <w:r w:rsidR="008A4890">
        <w:t>28</w:t>
      </w:r>
      <w:r>
        <w:fldChar w:fldCharType="end"/>
      </w:r>
      <w:r>
        <w:t xml:space="preserve">, at </w:t>
      </w:r>
      <w:r w:rsidRPr="00E343EA">
        <w:rPr>
          <w:smallCaps/>
        </w:rPr>
        <w:t>67</w:t>
      </w:r>
      <w:r>
        <w:rPr>
          <w:smallCaps/>
        </w:rPr>
        <w:t>4</w:t>
      </w:r>
      <w:r w:rsidRPr="00E343EA">
        <w:rPr>
          <w:smallCaps/>
        </w:rPr>
        <w:t>-7</w:t>
      </w:r>
      <w:r>
        <w:rPr>
          <w:smallCaps/>
        </w:rPr>
        <w:t>6</w:t>
      </w:r>
      <w:r w:rsidRPr="00E343EA">
        <w:rPr>
          <w:smallCaps/>
        </w:rPr>
        <w:t>;</w:t>
      </w:r>
      <w:r w:rsidRPr="00E343EA">
        <w:rPr>
          <w:i/>
        </w:rPr>
        <w:t xml:space="preserve"> </w:t>
      </w:r>
      <w:r w:rsidRPr="00E343EA">
        <w:rPr>
          <w:smallCaps/>
        </w:rPr>
        <w:t>John Jung, Sweet and Sour: Life in Chinese Family Restaurants</w:t>
      </w:r>
      <w:r w:rsidRPr="00E343EA">
        <w:t xml:space="preserve"> 43 (2010).</w:t>
      </w:r>
    </w:p>
  </w:footnote>
  <w:footnote w:id="34">
    <w:p w14:paraId="70E612D3" w14:textId="00AF6E69" w:rsidR="00501D78" w:rsidRPr="00E343EA" w:rsidRDefault="00501D78" w:rsidP="00B06E49">
      <w:pPr>
        <w:pStyle w:val="FootnoteText"/>
      </w:pPr>
      <w:r w:rsidRPr="00E343EA">
        <w:rPr>
          <w:rStyle w:val="FootnoteReference"/>
        </w:rPr>
        <w:footnoteRef/>
      </w:r>
      <w:r w:rsidRPr="00E343EA">
        <w:t xml:space="preserve"> Barbas, </w:t>
      </w:r>
      <w:r w:rsidRPr="00BD61CF">
        <w:rPr>
          <w:i/>
        </w:rPr>
        <w:t>supra</w:t>
      </w:r>
      <w:r>
        <w:t xml:space="preserve"> note </w:t>
      </w:r>
      <w:r>
        <w:fldChar w:fldCharType="begin"/>
      </w:r>
      <w:r>
        <w:instrText xml:space="preserve"> NOTEREF _Ref461985394 \h </w:instrText>
      </w:r>
      <w:r>
        <w:fldChar w:fldCharType="separate"/>
      </w:r>
      <w:r w:rsidR="008A4890">
        <w:t>28</w:t>
      </w:r>
      <w:r>
        <w:fldChar w:fldCharType="end"/>
      </w:r>
      <w:r>
        <w:t xml:space="preserve">, at </w:t>
      </w:r>
      <w:r w:rsidRPr="00E343EA">
        <w:rPr>
          <w:smallCaps/>
        </w:rPr>
        <w:t xml:space="preserve">674-76; </w:t>
      </w:r>
      <w:r w:rsidRPr="00E343EA">
        <w:t xml:space="preserve">Ivan Light, </w:t>
      </w:r>
      <w:r w:rsidRPr="00E343EA">
        <w:rPr>
          <w:i/>
        </w:rPr>
        <w:t>From Vice District to Tourist Attraction: The Moral Career of American Chinatowns, 1880-1940</w:t>
      </w:r>
      <w:r w:rsidRPr="00E343EA">
        <w:t xml:space="preserve">, 43 </w:t>
      </w:r>
      <w:r w:rsidRPr="00E343EA">
        <w:rPr>
          <w:smallCaps/>
        </w:rPr>
        <w:t xml:space="preserve">Pac. Hist. Rev. 367, 385 (1974); Takaki, </w:t>
      </w:r>
      <w:r w:rsidRPr="00E576ED">
        <w:rPr>
          <w:i/>
        </w:rPr>
        <w:t>supra</w:t>
      </w:r>
      <w:r w:rsidRPr="00E576ED">
        <w:t xml:space="preserve"> note </w:t>
      </w:r>
      <w:r>
        <w:fldChar w:fldCharType="begin"/>
      </w:r>
      <w:r>
        <w:instrText xml:space="preserve"> NOTEREF _Ref461985394 \h </w:instrText>
      </w:r>
      <w:r>
        <w:fldChar w:fldCharType="separate"/>
      </w:r>
      <w:r w:rsidR="008A4890">
        <w:t>28</w:t>
      </w:r>
      <w:r>
        <w:fldChar w:fldCharType="end"/>
      </w:r>
      <w:r w:rsidRPr="00E576ED">
        <w:t>, at</w:t>
      </w:r>
      <w:r>
        <w:rPr>
          <w:smallCaps/>
        </w:rPr>
        <w:t xml:space="preserve"> </w:t>
      </w:r>
      <w:r w:rsidRPr="00E343EA">
        <w:t>79.</w:t>
      </w:r>
    </w:p>
  </w:footnote>
  <w:footnote w:id="35">
    <w:p w14:paraId="456D2ABA" w14:textId="2C89AC3A" w:rsidR="00501D78" w:rsidRPr="00E343EA" w:rsidRDefault="00501D78" w:rsidP="00B06E49">
      <w:pPr>
        <w:pStyle w:val="FootnoteText"/>
      </w:pPr>
      <w:r w:rsidRPr="00E343EA">
        <w:rPr>
          <w:rStyle w:val="FootnoteReference"/>
        </w:rPr>
        <w:footnoteRef/>
      </w:r>
      <w:r w:rsidRPr="00E343EA">
        <w:t xml:space="preserve"> This of course was due to </w:t>
      </w:r>
      <w:r>
        <w:t>the exclusion policy</w:t>
      </w:r>
      <w:r w:rsidRPr="00E343EA">
        <w:t>.</w:t>
      </w:r>
    </w:p>
  </w:footnote>
  <w:footnote w:id="36">
    <w:p w14:paraId="080D0800" w14:textId="4E3CE5BB" w:rsidR="00501D78" w:rsidRPr="00E343EA" w:rsidRDefault="00501D78" w:rsidP="00B06E49">
      <w:pPr>
        <w:pStyle w:val="FootnoteText"/>
      </w:pPr>
      <w:r w:rsidRPr="00E343EA">
        <w:rPr>
          <w:rStyle w:val="FootnoteReference"/>
        </w:rPr>
        <w:footnoteRef/>
      </w:r>
      <w:r w:rsidRPr="00E343EA">
        <w:t xml:space="preserve"> </w:t>
      </w:r>
      <w:r w:rsidRPr="00E343EA">
        <w:rPr>
          <w:i/>
        </w:rPr>
        <w:t xml:space="preserve">See </w:t>
      </w:r>
      <w:r w:rsidRPr="00E343EA">
        <w:t xml:space="preserve">Light, </w:t>
      </w:r>
      <w:r w:rsidRPr="00E343EA">
        <w:rPr>
          <w:i/>
        </w:rPr>
        <w:t xml:space="preserve">supra </w:t>
      </w:r>
      <w:r w:rsidRPr="00E343EA">
        <w:t xml:space="preserve">note </w:t>
      </w:r>
      <w:r w:rsidRPr="00E343EA">
        <w:fldChar w:fldCharType="begin"/>
      </w:r>
      <w:r w:rsidRPr="00E343EA">
        <w:instrText xml:space="preserve"> NOTEREF _Ref460866700 \h </w:instrText>
      </w:r>
      <w:r>
        <w:instrText xml:space="preserve"> \* MERGEFORMAT </w:instrText>
      </w:r>
      <w:r w:rsidRPr="00E343EA">
        <w:fldChar w:fldCharType="separate"/>
      </w:r>
      <w:r w:rsidR="008A4890">
        <w:t>31</w:t>
      </w:r>
      <w:r w:rsidRPr="00E343EA">
        <w:fldChar w:fldCharType="end"/>
      </w:r>
      <w:r w:rsidRPr="00E343EA">
        <w:t>, at 385.</w:t>
      </w:r>
    </w:p>
  </w:footnote>
  <w:footnote w:id="37">
    <w:p w14:paraId="6CAB1F8E" w14:textId="77777777" w:rsidR="00501D78" w:rsidRPr="00E343EA" w:rsidRDefault="00501D78" w:rsidP="007B5EDE">
      <w:pPr>
        <w:pStyle w:val="FootnoteText"/>
      </w:pPr>
      <w:r w:rsidRPr="00E343EA">
        <w:rPr>
          <w:rStyle w:val="FootnoteReference"/>
        </w:rPr>
        <w:footnoteRef/>
      </w:r>
      <w:r w:rsidRPr="00E343EA">
        <w:t xml:space="preserve"> Allen Forman, </w:t>
      </w:r>
      <w:r w:rsidRPr="00E343EA">
        <w:rPr>
          <w:i/>
        </w:rPr>
        <w:t>The Chinese in New York</w:t>
      </w:r>
      <w:r w:rsidRPr="00E343EA">
        <w:t xml:space="preserve">, </w:t>
      </w:r>
      <w:r w:rsidRPr="00E343EA">
        <w:rPr>
          <w:smallCaps/>
        </w:rPr>
        <w:t>Salt Lake Evening Democrat</w:t>
      </w:r>
      <w:r w:rsidRPr="00E343EA">
        <w:t>, Apr. 9, 1887, at 3.</w:t>
      </w:r>
    </w:p>
  </w:footnote>
  <w:footnote w:id="38">
    <w:p w14:paraId="7BE67129" w14:textId="752F9E00" w:rsidR="00501D78" w:rsidRPr="00E343EA" w:rsidRDefault="00501D78" w:rsidP="007B5EDE">
      <w:pPr>
        <w:pStyle w:val="FootnoteText"/>
        <w:rPr>
          <w:smallCaps/>
        </w:rPr>
      </w:pPr>
      <w:r w:rsidRPr="00E343EA">
        <w:rPr>
          <w:rStyle w:val="FootnoteReference"/>
        </w:rPr>
        <w:footnoteRef/>
      </w:r>
      <w:r w:rsidRPr="00E343EA">
        <w:t xml:space="preserve"> </w:t>
      </w:r>
      <w:r w:rsidRPr="00E343EA">
        <w:rPr>
          <w:i/>
        </w:rPr>
        <w:t>Society Eats Dog Hash</w:t>
      </w:r>
      <w:r w:rsidRPr="00E343EA">
        <w:t xml:space="preserve">, </w:t>
      </w:r>
      <w:r w:rsidRPr="00E343EA">
        <w:rPr>
          <w:smallCaps/>
        </w:rPr>
        <w:t>Bourbon News</w:t>
      </w:r>
      <w:r w:rsidRPr="00283CD4">
        <w:t xml:space="preserve"> (Ky.)</w:t>
      </w:r>
      <w:r w:rsidRPr="00E343EA">
        <w:t xml:space="preserve">, Oct. 13, 1905, at 3; </w:t>
      </w:r>
      <w:r w:rsidRPr="00E343EA">
        <w:rPr>
          <w:i/>
        </w:rPr>
        <w:t>see also Cat Chop Suey</w:t>
      </w:r>
      <w:r w:rsidRPr="00E343EA">
        <w:t xml:space="preserve">, </w:t>
      </w:r>
      <w:r>
        <w:rPr>
          <w:smallCaps/>
        </w:rPr>
        <w:t>T</w:t>
      </w:r>
      <w:r w:rsidRPr="00E343EA">
        <w:rPr>
          <w:smallCaps/>
        </w:rPr>
        <w:t>he Caucasian</w:t>
      </w:r>
      <w:r>
        <w:rPr>
          <w:smallCaps/>
        </w:rPr>
        <w:t xml:space="preserve"> (N.C.)</w:t>
      </w:r>
      <w:r w:rsidRPr="00E343EA">
        <w:rPr>
          <w:smallCaps/>
        </w:rPr>
        <w:t xml:space="preserve">, </w:t>
      </w:r>
      <w:r w:rsidRPr="00E343EA">
        <w:t xml:space="preserve">Sept. 19, 1907, at 1 </w:t>
      </w:r>
      <w:r w:rsidRPr="00E343EA">
        <w:rPr>
          <w:smallCaps/>
        </w:rPr>
        <w:t>(</w:t>
      </w:r>
      <w:r w:rsidRPr="00E343EA">
        <w:t>reporting from Baton Rouge on Chicago</w:t>
      </w:r>
      <w:r>
        <w:t>’</w:t>
      </w:r>
      <w:r w:rsidRPr="00E343EA">
        <w:t>s Chinese restaurants</w:t>
      </w:r>
      <w:r w:rsidRPr="00E343EA">
        <w:rPr>
          <w:smallCaps/>
        </w:rPr>
        <w:t>).</w:t>
      </w:r>
    </w:p>
  </w:footnote>
  <w:footnote w:id="39">
    <w:p w14:paraId="5290255C" w14:textId="39A19BCE" w:rsidR="00501D78" w:rsidRPr="00E343EA" w:rsidRDefault="00501D78" w:rsidP="007B5EDE">
      <w:pPr>
        <w:pStyle w:val="FootnoteText"/>
        <w:tabs>
          <w:tab w:val="left" w:pos="1345"/>
        </w:tabs>
      </w:pPr>
      <w:r w:rsidRPr="00E343EA">
        <w:rPr>
          <w:rStyle w:val="FootnoteReference"/>
        </w:rPr>
        <w:footnoteRef/>
      </w:r>
      <w:r w:rsidRPr="00E343EA">
        <w:t xml:space="preserve"> </w:t>
      </w:r>
      <w:r w:rsidRPr="00E343EA">
        <w:rPr>
          <w:smallCaps/>
        </w:rPr>
        <w:t>Monroe City Democrat</w:t>
      </w:r>
      <w:r>
        <w:rPr>
          <w:smallCaps/>
        </w:rPr>
        <w:t xml:space="preserve"> </w:t>
      </w:r>
      <w:r w:rsidRPr="00283CD4">
        <w:t>(Mo.)</w:t>
      </w:r>
      <w:r w:rsidRPr="00E343EA">
        <w:t>, Oct. 18, 1906, at 3.</w:t>
      </w:r>
      <w:r w:rsidRPr="00E343EA">
        <w:tab/>
      </w:r>
    </w:p>
  </w:footnote>
  <w:footnote w:id="40">
    <w:p w14:paraId="7EF610D0" w14:textId="27CC2862" w:rsidR="00501D78" w:rsidRPr="00E343EA" w:rsidRDefault="00501D78" w:rsidP="007B5EDE">
      <w:pPr>
        <w:pStyle w:val="FootnoteText"/>
      </w:pPr>
      <w:r w:rsidRPr="00E343EA">
        <w:rPr>
          <w:rStyle w:val="FootnoteReference"/>
        </w:rPr>
        <w:footnoteRef/>
      </w:r>
      <w:r w:rsidRPr="00E343EA">
        <w:t xml:space="preserve"> </w:t>
      </w:r>
      <w:r w:rsidRPr="00E343EA">
        <w:rPr>
          <w:i/>
        </w:rPr>
        <w:t>A Sensation at Clifton: Former Bisbee Man Brings Story of Finding Child</w:t>
      </w:r>
      <w:r>
        <w:rPr>
          <w:i/>
        </w:rPr>
        <w:t>’</w:t>
      </w:r>
      <w:r w:rsidRPr="00E343EA">
        <w:rPr>
          <w:i/>
        </w:rPr>
        <w:t>s Arm in Chinese Restaurant—Officers Raided Place</w:t>
      </w:r>
      <w:r w:rsidRPr="00E343EA">
        <w:t>,</w:t>
      </w:r>
      <w:r w:rsidRPr="00E343EA">
        <w:rPr>
          <w:smallCaps/>
        </w:rPr>
        <w:t xml:space="preserve"> Bisbee Daily Rev.</w:t>
      </w:r>
      <w:r w:rsidRPr="00E343EA">
        <w:t xml:space="preserve">, Sept. 12, 1913, at 1. </w:t>
      </w:r>
      <w:r>
        <w:t xml:space="preserve">This rumor turned out to be false.  </w:t>
      </w:r>
      <w:r w:rsidRPr="00E343EA">
        <w:rPr>
          <w:i/>
        </w:rPr>
        <w:t>Sensation was a Poor Canard: Clifton Story of Finding Arm Child in a Restaurant is denied by City Clerk—Says it was a Joke</w:t>
      </w:r>
      <w:r w:rsidRPr="00E343EA">
        <w:t xml:space="preserve">, </w:t>
      </w:r>
      <w:r w:rsidRPr="00E343EA">
        <w:rPr>
          <w:smallCaps/>
        </w:rPr>
        <w:t>Bisbee Daily Rev</w:t>
      </w:r>
      <w:r w:rsidRPr="00E343EA">
        <w:t>., Sept. 20, 1913, at 2.</w:t>
      </w:r>
    </w:p>
  </w:footnote>
  <w:footnote w:id="41">
    <w:p w14:paraId="3CA9164E" w14:textId="38A10124" w:rsidR="00501D78" w:rsidRPr="00E343EA" w:rsidRDefault="00501D78" w:rsidP="00D83C0B">
      <w:pPr>
        <w:pStyle w:val="FootnoteText"/>
      </w:pPr>
      <w:r w:rsidRPr="00E343EA">
        <w:rPr>
          <w:rStyle w:val="FootnoteReference"/>
        </w:rPr>
        <w:footnoteRef/>
      </w:r>
      <w:r w:rsidRPr="00E343EA">
        <w:t xml:space="preserve"> </w:t>
      </w:r>
      <w:r w:rsidRPr="00E343EA">
        <w:rPr>
          <w:i/>
        </w:rPr>
        <w:t>Libel Charge Preferred Against Woman</w:t>
      </w:r>
      <w:r w:rsidRPr="00E343EA">
        <w:t xml:space="preserve">, </w:t>
      </w:r>
      <w:r w:rsidRPr="00E343EA">
        <w:rPr>
          <w:bCs/>
          <w:smallCaps/>
        </w:rPr>
        <w:t xml:space="preserve">Weekly </w:t>
      </w:r>
      <w:r>
        <w:rPr>
          <w:bCs/>
          <w:smallCaps/>
        </w:rPr>
        <w:t>J</w:t>
      </w:r>
      <w:r w:rsidRPr="00E343EA">
        <w:rPr>
          <w:bCs/>
          <w:smallCaps/>
        </w:rPr>
        <w:t>ournal-</w:t>
      </w:r>
      <w:r>
        <w:rPr>
          <w:bCs/>
          <w:smallCaps/>
        </w:rPr>
        <w:t>M</w:t>
      </w:r>
      <w:r w:rsidRPr="00E343EA">
        <w:rPr>
          <w:bCs/>
          <w:smallCaps/>
        </w:rPr>
        <w:t>iner</w:t>
      </w:r>
      <w:r>
        <w:rPr>
          <w:bCs/>
        </w:rPr>
        <w:t xml:space="preserve"> (Ariz.), </w:t>
      </w:r>
      <w:r w:rsidRPr="00E343EA">
        <w:rPr>
          <w:bCs/>
        </w:rPr>
        <w:t>Oct. 27, 1909, at 5.</w:t>
      </w:r>
    </w:p>
  </w:footnote>
  <w:footnote w:id="42">
    <w:p w14:paraId="741F60A7" w14:textId="77777777" w:rsidR="00501D78" w:rsidRPr="00E343EA" w:rsidRDefault="00501D78" w:rsidP="00C82355">
      <w:pPr>
        <w:pStyle w:val="FootnoteText"/>
      </w:pPr>
      <w:r w:rsidRPr="00E343EA">
        <w:rPr>
          <w:rStyle w:val="FootnoteReference"/>
        </w:rPr>
        <w:footnoteRef/>
      </w:r>
      <w:r w:rsidRPr="00E343EA">
        <w:t xml:space="preserve"> </w:t>
      </w:r>
      <w:r w:rsidRPr="00E343EA">
        <w:rPr>
          <w:i/>
        </w:rPr>
        <w:t>Faction War Over Chink Trouble</w:t>
      </w:r>
      <w:r w:rsidRPr="00E343EA">
        <w:t xml:space="preserve">, </w:t>
      </w:r>
      <w:r w:rsidRPr="00E343EA">
        <w:rPr>
          <w:smallCaps/>
        </w:rPr>
        <w:t xml:space="preserve">Bisbee Daily Rev., </w:t>
      </w:r>
      <w:r w:rsidRPr="00E343EA">
        <w:t>Oct. 8, 1909, at 8.</w:t>
      </w:r>
    </w:p>
  </w:footnote>
  <w:footnote w:id="43">
    <w:p w14:paraId="72CBCE4B" w14:textId="77777777" w:rsidR="00501D78" w:rsidRPr="00E343EA" w:rsidRDefault="00501D78" w:rsidP="00C82355">
      <w:pPr>
        <w:pStyle w:val="FootnoteText"/>
      </w:pPr>
      <w:r w:rsidRPr="00E343EA">
        <w:rPr>
          <w:rStyle w:val="FootnoteReference"/>
        </w:rPr>
        <w:footnoteRef/>
      </w:r>
      <w:r w:rsidRPr="00E343EA">
        <w:t xml:space="preserve"> </w:t>
      </w:r>
      <w:r w:rsidRPr="00E343EA">
        <w:rPr>
          <w:i/>
        </w:rPr>
        <w:t xml:space="preserve">Id. </w:t>
      </w:r>
    </w:p>
  </w:footnote>
  <w:footnote w:id="44">
    <w:p w14:paraId="4F65EBAF" w14:textId="6DBAC7CD" w:rsidR="00501D78" w:rsidRPr="00E343EA" w:rsidRDefault="00501D78" w:rsidP="007B5EDE">
      <w:pPr>
        <w:pStyle w:val="FootnoteText"/>
      </w:pPr>
      <w:r w:rsidRPr="00E343EA">
        <w:rPr>
          <w:rStyle w:val="FootnoteReference"/>
        </w:rPr>
        <w:footnoteRef/>
      </w:r>
      <w:r w:rsidRPr="00E343EA">
        <w:t xml:space="preserve"> </w:t>
      </w:r>
      <w:r w:rsidRPr="00E343EA">
        <w:rPr>
          <w:i/>
        </w:rPr>
        <w:t>See Chopstick Dinners, A Fad With Would Be Bohemians</w:t>
      </w:r>
      <w:r w:rsidRPr="00E343EA">
        <w:t xml:space="preserve">, </w:t>
      </w:r>
      <w:r>
        <w:rPr>
          <w:smallCaps/>
        </w:rPr>
        <w:t>Daily Boomerang (</w:t>
      </w:r>
      <w:r w:rsidRPr="00D37937">
        <w:t>Wyo.</w:t>
      </w:r>
      <w:r>
        <w:rPr>
          <w:smallCaps/>
        </w:rPr>
        <w:t>),</w:t>
      </w:r>
      <w:r w:rsidRPr="00E343EA">
        <w:rPr>
          <w:smallCaps/>
        </w:rPr>
        <w:t xml:space="preserve"> </w:t>
      </w:r>
      <w:r w:rsidRPr="00E343EA">
        <w:t xml:space="preserve">Mar. 3, 1901, at 4; </w:t>
      </w:r>
      <w:r w:rsidRPr="00E343EA">
        <w:rPr>
          <w:i/>
        </w:rPr>
        <w:t>A Chinese Restaurant</w:t>
      </w:r>
      <w:r w:rsidRPr="00E343EA">
        <w:t xml:space="preserve">, </w:t>
      </w:r>
      <w:r w:rsidRPr="00E343EA">
        <w:rPr>
          <w:smallCaps/>
        </w:rPr>
        <w:t xml:space="preserve">Rochester Dem. &amp; Chron., </w:t>
      </w:r>
      <w:r w:rsidRPr="00E343EA">
        <w:t xml:space="preserve">July 23, 1904, at 6; </w:t>
      </w:r>
      <w:r>
        <w:rPr>
          <w:i/>
        </w:rPr>
        <w:t>In Washington’s</w:t>
      </w:r>
      <w:r w:rsidRPr="00E343EA">
        <w:rPr>
          <w:i/>
        </w:rPr>
        <w:t xml:space="preserve"> Chinatown</w:t>
      </w:r>
      <w:r w:rsidRPr="00E343EA">
        <w:t>,</w:t>
      </w:r>
      <w:r w:rsidRPr="00E343EA">
        <w:rPr>
          <w:smallCaps/>
        </w:rPr>
        <w:t xml:space="preserve"> Sunday Star</w:t>
      </w:r>
      <w:r>
        <w:rPr>
          <w:smallCaps/>
        </w:rPr>
        <w:t xml:space="preserve"> (D.C.)</w:t>
      </w:r>
      <w:r w:rsidRPr="00E343EA">
        <w:rPr>
          <w:smallCaps/>
        </w:rPr>
        <w:t xml:space="preserve">, </w:t>
      </w:r>
      <w:r w:rsidRPr="00E343EA">
        <w:t>Aug. 6, 1905, at 6 (</w:t>
      </w:r>
      <w:r>
        <w:t>“</w:t>
      </w:r>
      <w:r w:rsidRPr="00E343EA">
        <w:t>The local Chinatown is not a motley, ill-assorted colony of celestials like that in Mott street, New York, but an orderly and well-regulated community. Lawlessness and disorder by Chinamen are unknown quantities there, and the police therefore rarely, indeed, have occasion to invade its quaint precincts for the purpose of arresting some offender.</w:t>
      </w:r>
      <w:r>
        <w:t>”</w:t>
      </w:r>
      <w:r w:rsidRPr="00E343EA">
        <w:t>)</w:t>
      </w:r>
    </w:p>
  </w:footnote>
  <w:footnote w:id="45">
    <w:p w14:paraId="3C2EF4F2" w14:textId="44A88AE2" w:rsidR="00501D78" w:rsidRPr="00E343EA" w:rsidRDefault="00501D78" w:rsidP="00B06E49">
      <w:pPr>
        <w:rPr>
          <w:sz w:val="20"/>
        </w:rPr>
      </w:pPr>
      <w:r w:rsidRPr="00E343EA">
        <w:rPr>
          <w:rStyle w:val="FootnoteReference"/>
          <w:sz w:val="20"/>
        </w:rPr>
        <w:footnoteRef/>
      </w:r>
      <w:r w:rsidRPr="00E343EA">
        <w:rPr>
          <w:sz w:val="20"/>
        </w:rPr>
        <w:t xml:space="preserve"> 12 </w:t>
      </w:r>
      <w:r w:rsidRPr="00E343EA">
        <w:rPr>
          <w:smallCaps/>
          <w:sz w:val="20"/>
        </w:rPr>
        <w:t>Mixer &amp; Server</w:t>
      </w:r>
      <w:r w:rsidRPr="00E343EA">
        <w:rPr>
          <w:sz w:val="20"/>
        </w:rPr>
        <w:t xml:space="preserve"> No. 4, Apr</w:t>
      </w:r>
      <w:r>
        <w:rPr>
          <w:sz w:val="20"/>
        </w:rPr>
        <w:t>.</w:t>
      </w:r>
      <w:r w:rsidRPr="00E343EA">
        <w:rPr>
          <w:sz w:val="20"/>
        </w:rPr>
        <w:t xml:space="preserve"> 15, 1903</w:t>
      </w:r>
      <w:r>
        <w:rPr>
          <w:sz w:val="20"/>
        </w:rPr>
        <w:t>,</w:t>
      </w:r>
      <w:r w:rsidRPr="00E343EA">
        <w:rPr>
          <w:sz w:val="20"/>
        </w:rPr>
        <w:t xml:space="preserve"> at 20.</w:t>
      </w:r>
    </w:p>
  </w:footnote>
  <w:footnote w:id="46">
    <w:p w14:paraId="7077CECA" w14:textId="18A3EDC5" w:rsidR="00501D78" w:rsidRPr="00E343EA" w:rsidRDefault="00501D78" w:rsidP="00B06E49">
      <w:pPr>
        <w:pStyle w:val="FootnoteText"/>
        <w:rPr>
          <w:smallCaps/>
        </w:rPr>
      </w:pPr>
      <w:r w:rsidRPr="00E343EA">
        <w:rPr>
          <w:rStyle w:val="FootnoteReference"/>
        </w:rPr>
        <w:footnoteRef/>
      </w:r>
      <w:r>
        <w:rPr>
          <w:smallCaps/>
        </w:rPr>
        <w:t xml:space="preserve"> Report o</w:t>
      </w:r>
      <w:r w:rsidRPr="00E343EA">
        <w:rPr>
          <w:smallCaps/>
        </w:rPr>
        <w:t xml:space="preserve">f Proceedings </w:t>
      </w:r>
      <w:r>
        <w:rPr>
          <w:smallCaps/>
        </w:rPr>
        <w:t>o</w:t>
      </w:r>
      <w:r w:rsidRPr="00E343EA">
        <w:rPr>
          <w:smallCaps/>
        </w:rPr>
        <w:t xml:space="preserve">f </w:t>
      </w:r>
      <w:r>
        <w:rPr>
          <w:smallCaps/>
        </w:rPr>
        <w:t>t</w:t>
      </w:r>
      <w:r w:rsidRPr="00E343EA">
        <w:rPr>
          <w:smallCaps/>
        </w:rPr>
        <w:t xml:space="preserve">he Thirty-Fourth Annual Convention </w:t>
      </w:r>
      <w:r>
        <w:rPr>
          <w:smallCaps/>
        </w:rPr>
        <w:t>o</w:t>
      </w:r>
      <w:r w:rsidRPr="00E343EA">
        <w:rPr>
          <w:smallCaps/>
        </w:rPr>
        <w:t xml:space="preserve">f </w:t>
      </w:r>
      <w:r>
        <w:rPr>
          <w:smallCaps/>
        </w:rPr>
        <w:t>t</w:t>
      </w:r>
      <w:r w:rsidRPr="00E343EA">
        <w:rPr>
          <w:smallCaps/>
        </w:rPr>
        <w:t xml:space="preserve">he American Federation </w:t>
      </w:r>
      <w:r>
        <w:rPr>
          <w:smallCaps/>
        </w:rPr>
        <w:t>o</w:t>
      </w:r>
      <w:r w:rsidRPr="00E343EA">
        <w:rPr>
          <w:smallCaps/>
        </w:rPr>
        <w:t xml:space="preserve">f Labor, </w:t>
      </w:r>
      <w:r w:rsidRPr="009A4A80">
        <w:rPr>
          <w:smallCaps/>
        </w:rPr>
        <w:t xml:space="preserve">Held </w:t>
      </w:r>
      <w:r>
        <w:rPr>
          <w:smallCaps/>
        </w:rPr>
        <w:t>a</w:t>
      </w:r>
      <w:r w:rsidRPr="009A4A80">
        <w:rPr>
          <w:smallCaps/>
        </w:rPr>
        <w:t>t Philadelphia, Pennsylvania November 9 to 21, Inclusive 1914</w:t>
      </w:r>
      <w:r w:rsidRPr="00E343EA">
        <w:t xml:space="preserve">, at 45. </w:t>
      </w:r>
    </w:p>
  </w:footnote>
  <w:footnote w:id="47">
    <w:p w14:paraId="55C22362" w14:textId="3C205645" w:rsidR="00501D78" w:rsidRPr="00E343EA" w:rsidRDefault="00501D78" w:rsidP="00432EC4">
      <w:pPr>
        <w:pStyle w:val="FootnoteText"/>
      </w:pPr>
      <w:r w:rsidRPr="00E343EA">
        <w:rPr>
          <w:rStyle w:val="FootnoteReference"/>
        </w:rPr>
        <w:footnoteRef/>
      </w:r>
      <w:r w:rsidRPr="00E343EA">
        <w:t xml:space="preserve"> </w:t>
      </w:r>
      <w:r w:rsidRPr="00E343EA">
        <w:rPr>
          <w:i/>
        </w:rPr>
        <w:t xml:space="preserve">See </w:t>
      </w:r>
      <w:r w:rsidRPr="00E343EA">
        <w:t xml:space="preserve">25 </w:t>
      </w:r>
      <w:r w:rsidRPr="00E343EA">
        <w:rPr>
          <w:smallCaps/>
        </w:rPr>
        <w:t>Mixer &amp; Server</w:t>
      </w:r>
      <w:r w:rsidRPr="00E343EA">
        <w:t xml:space="preserve"> No. 4, </w:t>
      </w:r>
      <w:r>
        <w:t>Apr.</w:t>
      </w:r>
      <w:r w:rsidRPr="00E343EA">
        <w:t xml:space="preserve"> 15, 1916</w:t>
      </w:r>
      <w:r>
        <w:t>,</w:t>
      </w:r>
      <w:r w:rsidRPr="00E343EA">
        <w:t xml:space="preserve"> at 2 (</w:t>
      </w:r>
      <w:r>
        <w:t>“</w:t>
      </w:r>
      <w:r w:rsidRPr="00E343EA">
        <w:t>The American Federation of Labor was one of the first great organizations to appreciate and recognize the havoc which had been wrought by the competition of Asiatics, and it required . . . them to go unqualifiedly on record for Asiatic exclusion. They have allowed no opportunity to escape, they have been advocating and still continue to advocate, the exclusion from America of all Asiatic workers, for such workers are a menace to any peoples with ideals such as have become a part of the life of Americans.</w:t>
      </w:r>
      <w:r>
        <w:t>”</w:t>
      </w:r>
      <w:r w:rsidRPr="00E343EA">
        <w:t xml:space="preserve">); </w:t>
      </w:r>
      <w:r w:rsidRPr="00E343EA">
        <w:rPr>
          <w:smallCaps/>
        </w:rPr>
        <w:t>Report of Proceedings of the Thirty-Eighth Annual Conv</w:t>
      </w:r>
      <w:r>
        <w:rPr>
          <w:smallCaps/>
        </w:rPr>
        <w:t>en</w:t>
      </w:r>
      <w:r w:rsidRPr="00E343EA">
        <w:rPr>
          <w:smallCaps/>
        </w:rPr>
        <w:t>tion of the American Federation of Labor held at St. Paul, Minn. June 10-20, inclusive 1918</w:t>
      </w:r>
      <w:r w:rsidRPr="00E343EA">
        <w:t xml:space="preserve"> at 110-13</w:t>
      </w:r>
      <w:r>
        <w:t xml:space="preserve">.  The Mixer and Server published many articles on the dangers of Asian immigration.  </w:t>
      </w:r>
      <w:r w:rsidRPr="00F62DD2">
        <w:rPr>
          <w:i/>
        </w:rPr>
        <w:t>See, e.g.</w:t>
      </w:r>
      <w:r>
        <w:t xml:space="preserve">, </w:t>
      </w:r>
      <w:r w:rsidRPr="00937CE9">
        <w:rPr>
          <w:i/>
        </w:rPr>
        <w:t>Chinese and Japanese in the United States</w:t>
      </w:r>
      <w:r>
        <w:t xml:space="preserve">, 24 </w:t>
      </w:r>
      <w:r w:rsidRPr="00E343EA">
        <w:rPr>
          <w:smallCaps/>
        </w:rPr>
        <w:t>Mixer &amp; Server</w:t>
      </w:r>
      <w:r w:rsidRPr="00E343EA">
        <w:t xml:space="preserve"> No. </w:t>
      </w:r>
      <w:r>
        <w:t>8</w:t>
      </w:r>
      <w:r w:rsidRPr="00E343EA">
        <w:t xml:space="preserve">, </w:t>
      </w:r>
      <w:r>
        <w:t>Aug.</w:t>
      </w:r>
      <w:r w:rsidRPr="00E343EA">
        <w:t xml:space="preserve"> 15, 19</w:t>
      </w:r>
      <w:r>
        <w:t>15</w:t>
      </w:r>
      <w:r w:rsidRPr="00E343EA">
        <w:t xml:space="preserve"> at </w:t>
      </w:r>
      <w:r>
        <w:t xml:space="preserve">4; </w:t>
      </w:r>
      <w:r w:rsidRPr="00F62DD2">
        <w:rPr>
          <w:i/>
        </w:rPr>
        <w:t>America or Japan, Which Will Rule?</w:t>
      </w:r>
      <w:r>
        <w:t>, 22</w:t>
      </w:r>
      <w:r w:rsidRPr="00E343EA">
        <w:t xml:space="preserve"> </w:t>
      </w:r>
      <w:r w:rsidRPr="00E343EA">
        <w:rPr>
          <w:smallCaps/>
        </w:rPr>
        <w:t>Mixer &amp; Server</w:t>
      </w:r>
      <w:r w:rsidRPr="00E343EA">
        <w:t xml:space="preserve"> No. </w:t>
      </w:r>
      <w:r>
        <w:t>7</w:t>
      </w:r>
      <w:r w:rsidRPr="00E343EA">
        <w:t xml:space="preserve">, </w:t>
      </w:r>
      <w:r>
        <w:t>July</w:t>
      </w:r>
      <w:r w:rsidRPr="00E343EA">
        <w:t xml:space="preserve"> 15, 19</w:t>
      </w:r>
      <w:r>
        <w:t>13,</w:t>
      </w:r>
      <w:r w:rsidRPr="00E343EA">
        <w:t xml:space="preserve"> at </w:t>
      </w:r>
      <w:r>
        <w:t xml:space="preserve">4; </w:t>
      </w:r>
      <w:r w:rsidRPr="00F07C97">
        <w:rPr>
          <w:i/>
        </w:rPr>
        <w:t>Japan’s Social Evil</w:t>
      </w:r>
      <w:r>
        <w:t xml:space="preserve">, 16 </w:t>
      </w:r>
      <w:r w:rsidRPr="00E343EA">
        <w:rPr>
          <w:smallCaps/>
        </w:rPr>
        <w:t>Mixer &amp; Server</w:t>
      </w:r>
      <w:r w:rsidRPr="00E343EA">
        <w:t xml:space="preserve"> No. </w:t>
      </w:r>
      <w:r>
        <w:t>3</w:t>
      </w:r>
      <w:r w:rsidRPr="00E343EA">
        <w:t xml:space="preserve">, </w:t>
      </w:r>
      <w:r>
        <w:t>Mar.</w:t>
      </w:r>
      <w:r w:rsidRPr="00E343EA">
        <w:t xml:space="preserve"> 15, 19</w:t>
      </w:r>
      <w:r>
        <w:t>07,</w:t>
      </w:r>
      <w:r w:rsidRPr="00E343EA">
        <w:t xml:space="preserve"> at </w:t>
      </w:r>
      <w:r>
        <w:t xml:space="preserve">19; </w:t>
      </w:r>
      <w:r w:rsidRPr="00281519">
        <w:rPr>
          <w:i/>
        </w:rPr>
        <w:t>The Yellow Peril</w:t>
      </w:r>
      <w:r>
        <w:t>, 15</w:t>
      </w:r>
      <w:r w:rsidRPr="00E343EA">
        <w:t xml:space="preserve"> </w:t>
      </w:r>
      <w:r w:rsidRPr="00E343EA">
        <w:rPr>
          <w:smallCaps/>
        </w:rPr>
        <w:t>Mixer &amp; Server</w:t>
      </w:r>
      <w:r w:rsidRPr="00E343EA">
        <w:t xml:space="preserve"> No. 1, </w:t>
      </w:r>
      <w:r>
        <w:t>Jan</w:t>
      </w:r>
      <w:r w:rsidRPr="00E343EA">
        <w:t>. 15, 19</w:t>
      </w:r>
      <w:r>
        <w:t>06,</w:t>
      </w:r>
      <w:r w:rsidRPr="00E343EA">
        <w:t xml:space="preserve"> at </w:t>
      </w:r>
      <w:r>
        <w:t xml:space="preserve">36,  </w:t>
      </w:r>
      <w:r w:rsidRPr="00294EF6">
        <w:rPr>
          <w:i/>
        </w:rPr>
        <w:t>The Chinese Must Not Come</w:t>
      </w:r>
      <w:r>
        <w:t xml:space="preserve">, </w:t>
      </w:r>
      <w:r w:rsidRPr="005B4A00">
        <w:t>1</w:t>
      </w:r>
      <w:r>
        <w:t>4</w:t>
      </w:r>
      <w:r w:rsidRPr="005B4A00">
        <w:t xml:space="preserve"> </w:t>
      </w:r>
      <w:r w:rsidRPr="003B4E69">
        <w:rPr>
          <w:smallCaps/>
        </w:rPr>
        <w:t>Mixer &amp; Server</w:t>
      </w:r>
      <w:r>
        <w:t xml:space="preserve"> No. 11</w:t>
      </w:r>
      <w:r w:rsidRPr="005B4A00">
        <w:t xml:space="preserve">, </w:t>
      </w:r>
      <w:r>
        <w:t>Nov</w:t>
      </w:r>
      <w:r w:rsidRPr="005B4A00">
        <w:t>. 15, 190</w:t>
      </w:r>
      <w:r>
        <w:t>5</w:t>
      </w:r>
      <w:r w:rsidRPr="005B4A00">
        <w:t>,</w:t>
      </w:r>
      <w:r>
        <w:t xml:space="preserve"> 9; </w:t>
      </w:r>
      <w:r w:rsidRPr="00432EC4">
        <w:rPr>
          <w:i/>
        </w:rPr>
        <w:t>The Chink and the Jap</w:t>
      </w:r>
      <w:r>
        <w:t>,</w:t>
      </w:r>
      <w:r w:rsidRPr="00432EC4">
        <w:rPr>
          <w:i/>
        </w:rPr>
        <w:t xml:space="preserve"> </w:t>
      </w:r>
      <w:r w:rsidRPr="00432EC4">
        <w:t>1</w:t>
      </w:r>
      <w:r>
        <w:t>4</w:t>
      </w:r>
      <w:r w:rsidRPr="00432EC4">
        <w:t xml:space="preserve"> </w:t>
      </w:r>
      <w:r w:rsidRPr="00432EC4">
        <w:rPr>
          <w:smallCaps/>
        </w:rPr>
        <w:t>Mixer &amp; Server</w:t>
      </w:r>
      <w:r w:rsidRPr="00432EC4">
        <w:t xml:space="preserve"> No. </w:t>
      </w:r>
      <w:r>
        <w:t>7</w:t>
      </w:r>
      <w:r w:rsidRPr="00432EC4">
        <w:t xml:space="preserve">, </w:t>
      </w:r>
      <w:r>
        <w:t>July</w:t>
      </w:r>
      <w:r w:rsidRPr="00432EC4">
        <w:t xml:space="preserve"> 15, 190</w:t>
      </w:r>
      <w:r>
        <w:t>5</w:t>
      </w:r>
      <w:r w:rsidRPr="00432EC4">
        <w:t xml:space="preserve">, </w:t>
      </w:r>
      <w:r>
        <w:t>at 3</w:t>
      </w:r>
      <w:r w:rsidRPr="00432EC4">
        <w:t>.</w:t>
      </w:r>
    </w:p>
  </w:footnote>
  <w:footnote w:id="48">
    <w:p w14:paraId="13D44FA7" w14:textId="7F0736D1" w:rsidR="00501D78" w:rsidRPr="00E343EA" w:rsidRDefault="00501D78" w:rsidP="003B3421">
      <w:pPr>
        <w:pStyle w:val="FootnoteText"/>
      </w:pPr>
      <w:r w:rsidRPr="00E343EA">
        <w:rPr>
          <w:rStyle w:val="FootnoteReference"/>
        </w:rPr>
        <w:footnoteRef/>
      </w:r>
      <w:r w:rsidRPr="00E343EA">
        <w:t xml:space="preserve"> </w:t>
      </w:r>
      <w:r w:rsidRPr="00E343EA">
        <w:rPr>
          <w:smallCaps/>
        </w:rPr>
        <w:t>Thirty-Third Annual Conv</w:t>
      </w:r>
      <w:r>
        <w:rPr>
          <w:smallCaps/>
        </w:rPr>
        <w:t>en</w:t>
      </w:r>
      <w:r w:rsidRPr="00E343EA">
        <w:rPr>
          <w:smallCaps/>
        </w:rPr>
        <w:t>tion</w:t>
      </w:r>
      <w:r>
        <w:rPr>
          <w:smallCaps/>
        </w:rPr>
        <w:t xml:space="preserve">, </w:t>
      </w:r>
      <w:r w:rsidRPr="00EE44D9">
        <w:rPr>
          <w:i/>
        </w:rPr>
        <w:t>supra</w:t>
      </w:r>
      <w:r w:rsidRPr="00EE44D9">
        <w:t xml:space="preserve"> note</w:t>
      </w:r>
      <w:r>
        <w:t xml:space="preserve"> </w:t>
      </w:r>
      <w:r>
        <w:fldChar w:fldCharType="begin"/>
      </w:r>
      <w:r>
        <w:instrText xml:space="preserve"> NOTEREF _Ref476153281 \h </w:instrText>
      </w:r>
      <w:r>
        <w:fldChar w:fldCharType="separate"/>
      </w:r>
      <w:r w:rsidR="008A4890">
        <w:t>3</w:t>
      </w:r>
      <w:r>
        <w:fldChar w:fldCharType="end"/>
      </w:r>
      <w:r>
        <w:t>, at</w:t>
      </w:r>
      <w:r w:rsidRPr="00EE44D9">
        <w:t xml:space="preserve"> </w:t>
      </w:r>
      <w:r w:rsidRPr="00E343EA">
        <w:t>304-05 (resol</w:t>
      </w:r>
      <w:r>
        <w:t xml:space="preserve">ving that “the </w:t>
      </w:r>
      <w:r w:rsidRPr="00E343EA">
        <w:t>provisions of the present Chinese exclusion law be so extended as to apply to all Asiatics.</w:t>
      </w:r>
      <w:r>
        <w:t>”</w:t>
      </w:r>
      <w:r w:rsidRPr="00E343EA">
        <w:t xml:space="preserve">); </w:t>
      </w:r>
      <w:r>
        <w:rPr>
          <w:smallCaps/>
        </w:rPr>
        <w:t>Report o</w:t>
      </w:r>
      <w:r w:rsidRPr="00E343EA">
        <w:rPr>
          <w:smallCaps/>
        </w:rPr>
        <w:t xml:space="preserve">f Proceedings </w:t>
      </w:r>
      <w:r>
        <w:rPr>
          <w:smallCaps/>
        </w:rPr>
        <w:t>o</w:t>
      </w:r>
      <w:r w:rsidRPr="00E343EA">
        <w:rPr>
          <w:smallCaps/>
        </w:rPr>
        <w:t xml:space="preserve">f </w:t>
      </w:r>
      <w:r>
        <w:rPr>
          <w:smallCaps/>
        </w:rPr>
        <w:t>t</w:t>
      </w:r>
      <w:r w:rsidRPr="00E343EA">
        <w:rPr>
          <w:smallCaps/>
        </w:rPr>
        <w:t xml:space="preserve">he Thirty-First Annual Convention </w:t>
      </w:r>
      <w:r>
        <w:rPr>
          <w:smallCaps/>
        </w:rPr>
        <w:t>o</w:t>
      </w:r>
      <w:r w:rsidRPr="00E343EA">
        <w:rPr>
          <w:smallCaps/>
        </w:rPr>
        <w:t xml:space="preserve">f </w:t>
      </w:r>
      <w:r>
        <w:rPr>
          <w:smallCaps/>
        </w:rPr>
        <w:t>t</w:t>
      </w:r>
      <w:r w:rsidRPr="00E343EA">
        <w:rPr>
          <w:smallCaps/>
        </w:rPr>
        <w:t xml:space="preserve">he American Federation </w:t>
      </w:r>
      <w:r>
        <w:rPr>
          <w:smallCaps/>
        </w:rPr>
        <w:t>o</w:t>
      </w:r>
      <w:r w:rsidRPr="00E343EA">
        <w:rPr>
          <w:smallCaps/>
        </w:rPr>
        <w:t xml:space="preserve">f Labor, Held </w:t>
      </w:r>
      <w:r>
        <w:rPr>
          <w:smallCaps/>
        </w:rPr>
        <w:t>a</w:t>
      </w:r>
      <w:r w:rsidRPr="00E343EA">
        <w:rPr>
          <w:smallCaps/>
        </w:rPr>
        <w:t>t Atlanta, Georgia November 13 to 25, Inclusive 1911,</w:t>
      </w:r>
      <w:r w:rsidRPr="00E343EA">
        <w:t xml:space="preserve"> at 306 (adopting resolution </w:t>
      </w:r>
      <w:r>
        <w:t>“</w:t>
      </w:r>
      <w:r w:rsidRPr="00E343EA">
        <w:t>[t]hat we reaffirm our previous declaration that the Chinese Exclusion Act should be made to apply to all races natives [sic] of Asia.</w:t>
      </w:r>
      <w:r>
        <w:t>”</w:t>
      </w:r>
      <w:r w:rsidRPr="00E343EA">
        <w:t xml:space="preserve">); 25 </w:t>
      </w:r>
      <w:r w:rsidRPr="00E343EA">
        <w:rPr>
          <w:smallCaps/>
        </w:rPr>
        <w:t>Mixer &amp; Server</w:t>
      </w:r>
      <w:r w:rsidRPr="00E343EA">
        <w:t xml:space="preserve"> No. 3, Mar. 15, 1916</w:t>
      </w:r>
      <w:r>
        <w:t xml:space="preserve">, at 29; </w:t>
      </w:r>
      <w:r w:rsidRPr="00E343EA">
        <w:rPr>
          <w:smallCaps/>
        </w:rPr>
        <w:t xml:space="preserve">Proceedings of the </w:t>
      </w:r>
      <w:r>
        <w:rPr>
          <w:smallCaps/>
        </w:rPr>
        <w:t>Fifteenth</w:t>
      </w:r>
      <w:r w:rsidRPr="00E343EA">
        <w:rPr>
          <w:smallCaps/>
        </w:rPr>
        <w:t xml:space="preserve"> General Convention Hotel and Restaurant Employees</w:t>
      </w:r>
      <w:r>
        <w:rPr>
          <w:smallCaps/>
        </w:rPr>
        <w:t>’</w:t>
      </w:r>
      <w:r w:rsidRPr="00E343EA">
        <w:rPr>
          <w:smallCaps/>
        </w:rPr>
        <w:t xml:space="preserve"> International Alliance and Bartenders</w:t>
      </w:r>
      <w:r>
        <w:rPr>
          <w:smallCaps/>
        </w:rPr>
        <w:t>’</w:t>
      </w:r>
      <w:r w:rsidRPr="00E343EA">
        <w:rPr>
          <w:smallCaps/>
        </w:rPr>
        <w:t xml:space="preserve"> International League of America. Held at </w:t>
      </w:r>
      <w:r>
        <w:rPr>
          <w:smallCaps/>
        </w:rPr>
        <w:t>Minneapolis, Minn</w:t>
      </w:r>
      <w:r w:rsidRPr="00E343EA">
        <w:rPr>
          <w:smallCaps/>
        </w:rPr>
        <w:t>.</w:t>
      </w:r>
      <w:r w:rsidRPr="00E343EA">
        <w:t xml:space="preserve">, U.S.A., </w:t>
      </w:r>
      <w:r>
        <w:t>May 10, 11, 12, 13, 14 and 15, 1909, 18</w:t>
      </w:r>
      <w:r w:rsidRPr="005B4A00">
        <w:t xml:space="preserve"> </w:t>
      </w:r>
      <w:r w:rsidRPr="003B4E69">
        <w:rPr>
          <w:smallCaps/>
        </w:rPr>
        <w:t>Mixer &amp; Server</w:t>
      </w:r>
      <w:r>
        <w:rPr>
          <w:smallCaps/>
        </w:rPr>
        <w:t>,</w:t>
      </w:r>
      <w:r w:rsidRPr="005B4A00">
        <w:t xml:space="preserve"> No. </w:t>
      </w:r>
      <w:r>
        <w:t>6</w:t>
      </w:r>
      <w:r w:rsidRPr="005B4A00">
        <w:t xml:space="preserve">, </w:t>
      </w:r>
      <w:r>
        <w:t>June</w:t>
      </w:r>
      <w:r w:rsidRPr="005B4A00">
        <w:t xml:space="preserve"> 15, 190</w:t>
      </w:r>
      <w:r>
        <w:t>9</w:t>
      </w:r>
      <w:r w:rsidRPr="005B4A00">
        <w:t>,</w:t>
      </w:r>
      <w:r>
        <w:t xml:space="preserve"> 147;</w:t>
      </w:r>
      <w:r w:rsidRPr="00E343EA">
        <w:t xml:space="preserve"> </w:t>
      </w:r>
      <w:r w:rsidRPr="00E343EA">
        <w:rPr>
          <w:smallCaps/>
        </w:rPr>
        <w:t xml:space="preserve">Proceedings of the </w:t>
      </w:r>
      <w:r>
        <w:rPr>
          <w:smallCaps/>
        </w:rPr>
        <w:t>Thirt</w:t>
      </w:r>
      <w:r w:rsidRPr="00E343EA">
        <w:rPr>
          <w:smallCaps/>
        </w:rPr>
        <w:t>eenth General Convention Hotel and Restaurant Employees</w:t>
      </w:r>
      <w:r>
        <w:rPr>
          <w:smallCaps/>
        </w:rPr>
        <w:t>’</w:t>
      </w:r>
      <w:r w:rsidRPr="00E343EA">
        <w:rPr>
          <w:smallCaps/>
        </w:rPr>
        <w:t xml:space="preserve"> International Alliance and Bartenders</w:t>
      </w:r>
      <w:r>
        <w:rPr>
          <w:smallCaps/>
        </w:rPr>
        <w:t>’</w:t>
      </w:r>
      <w:r w:rsidRPr="00E343EA">
        <w:rPr>
          <w:smallCaps/>
        </w:rPr>
        <w:t xml:space="preserve"> International League of America. Held at </w:t>
      </w:r>
      <w:r>
        <w:rPr>
          <w:smallCaps/>
        </w:rPr>
        <w:t>Industrial hall, Kansas City, Mo</w:t>
      </w:r>
      <w:r w:rsidRPr="00E343EA">
        <w:rPr>
          <w:smallCaps/>
        </w:rPr>
        <w:t>.</w:t>
      </w:r>
      <w:r w:rsidRPr="00E343EA">
        <w:t xml:space="preserve">, U.S.A., </w:t>
      </w:r>
      <w:r>
        <w:t>May 8, 9, 10, 11, 12 and 13, 1905, 14</w:t>
      </w:r>
      <w:r w:rsidRPr="005B4A00">
        <w:t xml:space="preserve"> </w:t>
      </w:r>
      <w:r w:rsidRPr="003B4E69">
        <w:rPr>
          <w:smallCaps/>
        </w:rPr>
        <w:t>Mixer &amp; Server</w:t>
      </w:r>
      <w:r>
        <w:rPr>
          <w:smallCaps/>
        </w:rPr>
        <w:t>,</w:t>
      </w:r>
      <w:r w:rsidRPr="005B4A00">
        <w:t xml:space="preserve"> No. </w:t>
      </w:r>
      <w:r>
        <w:t>6</w:t>
      </w:r>
      <w:r w:rsidRPr="005B4A00">
        <w:t xml:space="preserve">, </w:t>
      </w:r>
      <w:r>
        <w:t>June</w:t>
      </w:r>
      <w:r w:rsidRPr="005B4A00">
        <w:t xml:space="preserve"> 15, 190</w:t>
      </w:r>
      <w:r>
        <w:t>5</w:t>
      </w:r>
      <w:r w:rsidRPr="005B4A00">
        <w:t>,</w:t>
      </w:r>
      <w:r>
        <w:t xml:space="preserve"> 94-95 (accepting resolution to extend terms of Chinese Exclusion Act to Japanese and Koreans).</w:t>
      </w:r>
    </w:p>
  </w:footnote>
  <w:footnote w:id="49">
    <w:p w14:paraId="03B5A314" w14:textId="203E1383" w:rsidR="00501D78" w:rsidRPr="00E343EA" w:rsidRDefault="00501D78" w:rsidP="00B06E49">
      <w:pPr>
        <w:rPr>
          <w:sz w:val="20"/>
          <w:szCs w:val="20"/>
        </w:rPr>
      </w:pPr>
      <w:r w:rsidRPr="00E343EA">
        <w:rPr>
          <w:rStyle w:val="FootnoteReference"/>
          <w:sz w:val="20"/>
          <w:szCs w:val="20"/>
        </w:rPr>
        <w:footnoteRef/>
      </w:r>
      <w:r w:rsidRPr="00E343EA">
        <w:rPr>
          <w:sz w:val="20"/>
          <w:szCs w:val="20"/>
        </w:rPr>
        <w:t xml:space="preserve"> 25 </w:t>
      </w:r>
      <w:r w:rsidRPr="00E343EA">
        <w:rPr>
          <w:smallCaps/>
          <w:sz w:val="20"/>
          <w:szCs w:val="20"/>
        </w:rPr>
        <w:t>Mixer &amp; Server</w:t>
      </w:r>
      <w:r w:rsidRPr="00E343EA">
        <w:rPr>
          <w:sz w:val="20"/>
          <w:szCs w:val="20"/>
        </w:rPr>
        <w:t xml:space="preserve"> No. 7, July 15, 1916, at 4.</w:t>
      </w:r>
      <w:r>
        <w:rPr>
          <w:sz w:val="20"/>
          <w:szCs w:val="20"/>
        </w:rPr>
        <w:t xml:space="preserve"> </w:t>
      </w:r>
      <w:r w:rsidRPr="00F1421E">
        <w:rPr>
          <w:i/>
          <w:sz w:val="20"/>
          <w:szCs w:val="20"/>
        </w:rPr>
        <w:t>See also, e.g.,</w:t>
      </w:r>
      <w:r>
        <w:rPr>
          <w:sz w:val="20"/>
          <w:szCs w:val="20"/>
        </w:rPr>
        <w:t xml:space="preserve"> 13 </w:t>
      </w:r>
      <w:r w:rsidRPr="00F1421E">
        <w:rPr>
          <w:smallCaps/>
          <w:sz w:val="20"/>
          <w:szCs w:val="20"/>
        </w:rPr>
        <w:t>Mixer &amp; Server</w:t>
      </w:r>
      <w:r>
        <w:rPr>
          <w:sz w:val="20"/>
          <w:szCs w:val="20"/>
        </w:rPr>
        <w:t xml:space="preserve"> No. 5, (May 14, 1904, at 76 (“such dishes as chop suey can only be digested by those who are opposed to organized labor.”)</w:t>
      </w:r>
    </w:p>
  </w:footnote>
  <w:footnote w:id="50">
    <w:p w14:paraId="3DEEB5FA" w14:textId="77777777" w:rsidR="00501D78" w:rsidRDefault="00501D78" w:rsidP="00C763C9">
      <w:pPr>
        <w:pStyle w:val="FootnoteText"/>
      </w:pPr>
      <w:r>
        <w:rPr>
          <w:rStyle w:val="FootnoteReference"/>
        </w:rPr>
        <w:footnoteRef/>
      </w:r>
      <w:r>
        <w:t xml:space="preserve"> </w:t>
      </w:r>
      <w:r w:rsidRPr="00314469">
        <w:rPr>
          <w:smallCaps/>
        </w:rPr>
        <w:t>S. Doc. No.</w:t>
      </w:r>
      <w:r>
        <w:t xml:space="preserve"> 57-137 (1902).</w:t>
      </w:r>
    </w:p>
  </w:footnote>
  <w:footnote w:id="51">
    <w:p w14:paraId="717654C7" w14:textId="4309F3E1" w:rsidR="00501D78" w:rsidRPr="005B4A00" w:rsidRDefault="00501D78" w:rsidP="00B06E49">
      <w:pPr>
        <w:pStyle w:val="FootnoteText"/>
      </w:pPr>
      <w:r w:rsidRPr="00E343EA">
        <w:rPr>
          <w:rStyle w:val="FootnoteReference"/>
        </w:rPr>
        <w:footnoteRef/>
      </w:r>
      <w:r w:rsidRPr="00E343EA">
        <w:t xml:space="preserve"> For example, in 1905, a Chinese cook in San Francisco earned from $25.00 to $35.00 month</w:t>
      </w:r>
      <w:r>
        <w:t>ly</w:t>
      </w:r>
      <w:r w:rsidRPr="00E343EA">
        <w:t xml:space="preserve"> </w:t>
      </w:r>
      <w:r>
        <w:t>working</w:t>
      </w:r>
      <w:r w:rsidRPr="00E343EA">
        <w:t xml:space="preserve"> fourteen to sixteen hours</w:t>
      </w:r>
      <w:r>
        <w:t>, seven days a week</w:t>
      </w:r>
      <w:r w:rsidRPr="00E343EA">
        <w:t>. White cooks work</w:t>
      </w:r>
      <w:r>
        <w:t>ed</w:t>
      </w:r>
      <w:r w:rsidRPr="00E343EA">
        <w:t xml:space="preserve"> </w:t>
      </w:r>
      <w:r>
        <w:t>“</w:t>
      </w:r>
      <w:r w:rsidRPr="00E343EA">
        <w:t>merely</w:t>
      </w:r>
      <w:r>
        <w:t>”</w:t>
      </w:r>
      <w:r w:rsidRPr="00E343EA">
        <w:t xml:space="preserve"> ten to thirteen hours, six days per week, earn</w:t>
      </w:r>
      <w:r>
        <w:t>ing</w:t>
      </w:r>
      <w:r w:rsidRPr="00E343EA">
        <w:t xml:space="preserve"> in a week what a Chinese cook earn</w:t>
      </w:r>
      <w:r>
        <w:t>ed</w:t>
      </w:r>
      <w:r w:rsidRPr="00E343EA">
        <w:t xml:space="preserve"> in a month.</w:t>
      </w:r>
      <w:r w:rsidRPr="00E343EA">
        <w:rPr>
          <w:smallCaps/>
        </w:rPr>
        <w:t xml:space="preserve"> </w:t>
      </w:r>
      <w:r w:rsidRPr="00E343EA">
        <w:t xml:space="preserve">A.E. Yoell, </w:t>
      </w:r>
      <w:r w:rsidRPr="00E343EA">
        <w:rPr>
          <w:i/>
        </w:rPr>
        <w:t>Oriental v. American Labor</w:t>
      </w:r>
      <w:r w:rsidRPr="00E343EA">
        <w:t xml:space="preserve">, </w:t>
      </w:r>
      <w:r w:rsidRPr="00E343EA">
        <w:rPr>
          <w:smallCaps/>
        </w:rPr>
        <w:t>34 Ann. Am. Acad. Pol. &amp; Soc. Sci. 250 (</w:t>
      </w:r>
      <w:r w:rsidRPr="00E343EA">
        <w:t>1909).</w:t>
      </w:r>
      <w:r>
        <w:t xml:space="preserve">  Accordingly, the demands of the union in Jan Jose in 1905 included “a day of rest each week, the exclusion of Chinese labor and the recognition of the union.” </w:t>
      </w:r>
      <w:r w:rsidRPr="00E343EA">
        <w:rPr>
          <w:i/>
        </w:rPr>
        <w:t xml:space="preserve"> </w:t>
      </w:r>
      <w:r w:rsidRPr="005B4A00">
        <w:t xml:space="preserve">13 </w:t>
      </w:r>
      <w:r w:rsidRPr="003B4E69">
        <w:rPr>
          <w:smallCaps/>
        </w:rPr>
        <w:t>Mixer &amp; Server</w:t>
      </w:r>
      <w:r w:rsidRPr="005B4A00">
        <w:t xml:space="preserve"> No. 2, Feb. 15, 1903,</w:t>
      </w:r>
      <w:r>
        <w:t xml:space="preserve"> 70.  “The bulk of the cooks [in hotels and boarding houses] are Chinese, but the local is determined to drive them out.”  </w:t>
      </w:r>
      <w:r w:rsidRPr="00CD070C">
        <w:rPr>
          <w:i/>
        </w:rPr>
        <w:t>Id</w:t>
      </w:r>
      <w:r>
        <w:t>. at 71.</w:t>
      </w:r>
      <w:r w:rsidRPr="004E15A7">
        <w:t xml:space="preserve"> </w:t>
      </w:r>
      <w:r>
        <w:t xml:space="preserve">Jere L. Sullivan, </w:t>
      </w:r>
      <w:r w:rsidRPr="004E15A7">
        <w:rPr>
          <w:i/>
        </w:rPr>
        <w:t>The Booster and the Knocker</w:t>
      </w:r>
      <w:r>
        <w:t xml:space="preserve">, 19 </w:t>
      </w:r>
      <w:r w:rsidRPr="00E343EA">
        <w:rPr>
          <w:smallCaps/>
        </w:rPr>
        <w:t>Mixer &amp; Server</w:t>
      </w:r>
      <w:r w:rsidRPr="00E343EA">
        <w:t xml:space="preserve"> No. </w:t>
      </w:r>
      <w:r>
        <w:t>3</w:t>
      </w:r>
      <w:r w:rsidRPr="00E343EA">
        <w:t xml:space="preserve">, </w:t>
      </w:r>
      <w:r>
        <w:t>Mar</w:t>
      </w:r>
      <w:r w:rsidRPr="00E343EA">
        <w:t>. 15, 19</w:t>
      </w:r>
      <w:r>
        <w:t>10, at 4 (“The BOOSTER patronizes the Cook with the White Button. The KNOCKER can be found that the Chinese Chili-Con-Carne dump.”)</w:t>
      </w:r>
    </w:p>
  </w:footnote>
  <w:footnote w:id="52">
    <w:p w14:paraId="54F4B11B" w14:textId="0D8716D3" w:rsidR="00501D78" w:rsidRPr="00E343EA" w:rsidRDefault="00501D78" w:rsidP="00B06E49">
      <w:pPr>
        <w:pStyle w:val="FootnoteText"/>
      </w:pPr>
      <w:r w:rsidRPr="00E343EA">
        <w:rPr>
          <w:rStyle w:val="FootnoteReference"/>
        </w:rPr>
        <w:footnoteRef/>
      </w:r>
      <w:r w:rsidRPr="00E343EA">
        <w:t xml:space="preserve"> </w:t>
      </w:r>
      <w:r w:rsidRPr="00E343EA">
        <w:rPr>
          <w:i/>
        </w:rPr>
        <w:t>One of the Tendencies</w:t>
      </w:r>
      <w:r w:rsidRPr="00E343EA">
        <w:t xml:space="preserve">, </w:t>
      </w:r>
      <w:r w:rsidRPr="00E343EA">
        <w:rPr>
          <w:smallCaps/>
        </w:rPr>
        <w:t>Daily Honolulu Press</w:t>
      </w:r>
      <w:r w:rsidRPr="00E343EA">
        <w:t>, Sept. 12, 1885, at 2. (</w:t>
      </w:r>
      <w:r>
        <w:t>“</w:t>
      </w:r>
      <w:r w:rsidRPr="00E343EA">
        <w:t xml:space="preserve">Ask the restaurant keeper and he will tell you </w:t>
      </w:r>
      <w:r>
        <w:t>‘</w:t>
      </w:r>
      <w:r w:rsidRPr="00E343EA">
        <w:t>We cannot compete with the Chinese restaurants.</w:t>
      </w:r>
      <w:r>
        <w:t>’”</w:t>
      </w:r>
      <w:r w:rsidRPr="00E343EA">
        <w:t>).</w:t>
      </w:r>
      <w:r>
        <w:t xml:space="preserve">  </w:t>
      </w:r>
    </w:p>
  </w:footnote>
  <w:footnote w:id="53">
    <w:p w14:paraId="11563689" w14:textId="12835587" w:rsidR="00501D78" w:rsidRPr="00E343EA" w:rsidRDefault="00501D78" w:rsidP="00CA5192">
      <w:pPr>
        <w:pStyle w:val="FootnoteText"/>
      </w:pPr>
      <w:r w:rsidRPr="00E343EA">
        <w:rPr>
          <w:rStyle w:val="FootnoteReference"/>
        </w:rPr>
        <w:footnoteRef/>
      </w:r>
      <w:r w:rsidRPr="00E343EA">
        <w:t xml:space="preserve"> </w:t>
      </w:r>
      <w:r w:rsidRPr="00E343EA">
        <w:rPr>
          <w:i/>
        </w:rPr>
        <w:t xml:space="preserve">See </w:t>
      </w:r>
      <w:r w:rsidRPr="00E343EA">
        <w:rPr>
          <w:smallCaps/>
        </w:rPr>
        <w:t>Sixteenth General Convention</w:t>
      </w:r>
      <w:r w:rsidRPr="00E343EA">
        <w:t xml:space="preserve">, </w:t>
      </w:r>
      <w:r w:rsidRPr="003324C3">
        <w:rPr>
          <w:i/>
        </w:rPr>
        <w:t>supra</w:t>
      </w:r>
      <w:r>
        <w:t xml:space="preserve"> note </w:t>
      </w:r>
      <w:r>
        <w:fldChar w:fldCharType="begin"/>
      </w:r>
      <w:r>
        <w:instrText xml:space="preserve"> NOTEREF _Ref476153538 \h </w:instrText>
      </w:r>
      <w:r>
        <w:fldChar w:fldCharType="separate"/>
      </w:r>
      <w:r w:rsidR="008A4890">
        <w:t>45</w:t>
      </w:r>
      <w:r>
        <w:fldChar w:fldCharType="end"/>
      </w:r>
      <w:r>
        <w:t xml:space="preserve">, </w:t>
      </w:r>
      <w:r w:rsidRPr="00E343EA">
        <w:t>at 94-95.</w:t>
      </w:r>
      <w:r w:rsidRPr="000B1E9E">
        <w:t xml:space="preserve"> </w:t>
      </w:r>
      <w:r w:rsidRPr="000B1E9E">
        <w:rPr>
          <w:i/>
        </w:rPr>
        <w:t xml:space="preserve">See also </w:t>
      </w:r>
      <w:r w:rsidRPr="00886893">
        <w:t>Heather Ruth Lee</w:t>
      </w:r>
      <w:r>
        <w:rPr>
          <w:i/>
        </w:rPr>
        <w:t xml:space="preserve">, supra </w:t>
      </w:r>
      <w:r w:rsidRPr="00886893">
        <w:t xml:space="preserve">note </w:t>
      </w:r>
      <w:r>
        <w:fldChar w:fldCharType="begin"/>
      </w:r>
      <w:r>
        <w:instrText xml:space="preserve"> NOTEREF _Ref475540046 \h </w:instrText>
      </w:r>
      <w:r>
        <w:fldChar w:fldCharType="separate"/>
      </w:r>
      <w:r w:rsidR="008A4890">
        <w:t>2</w:t>
      </w:r>
      <w:r>
        <w:fldChar w:fldCharType="end"/>
      </w:r>
      <w:r w:rsidRPr="00886893">
        <w:t>, at 188 (citing Louis H. Chu, The Chinese Restaurants in New York City 43 (NYU M.A. Thesis 1939</w:t>
      </w:r>
      <w:r>
        <w:t>)</w:t>
      </w:r>
      <w:r w:rsidRPr="00886893">
        <w:t>);</w:t>
      </w:r>
      <w:r>
        <w:rPr>
          <w:i/>
        </w:rPr>
        <w:t xml:space="preserve"> </w:t>
      </w:r>
      <w:r>
        <w:t xml:space="preserve">Charlotte Garden &amp; Nancy Leong, </w:t>
      </w:r>
      <w:r>
        <w:rPr>
          <w:i/>
        </w:rPr>
        <w:t>“</w:t>
      </w:r>
      <w:r w:rsidRPr="000B1E9E">
        <w:rPr>
          <w:i/>
        </w:rPr>
        <w:t>So Closely Intertwined</w:t>
      </w:r>
      <w:r>
        <w:rPr>
          <w:i/>
        </w:rPr>
        <w:t>”</w:t>
      </w:r>
      <w:r w:rsidRPr="000B1E9E">
        <w:rPr>
          <w:i/>
        </w:rPr>
        <w:t>: Labor and Racial Solidarity</w:t>
      </w:r>
      <w:r>
        <w:t xml:space="preserve">, 81 </w:t>
      </w:r>
      <w:r w:rsidRPr="000B1E9E">
        <w:rPr>
          <w:smallCaps/>
        </w:rPr>
        <w:t>Geo. Wash. L. Rev.</w:t>
      </w:r>
      <w:r>
        <w:t xml:space="preserve"> 1135 (2013) (discussing racial exclusion policies in unions).  There were labor unions made up of Chinese, such as the Mon Sang Association in Chicago.  </w:t>
      </w:r>
      <w:r w:rsidRPr="00200B05">
        <w:rPr>
          <w:i/>
        </w:rPr>
        <w:t>See</w:t>
      </w:r>
      <w:r>
        <w:t xml:space="preserve"> Susan Lee Moy, </w:t>
      </w:r>
      <w:r w:rsidRPr="00200B05">
        <w:rPr>
          <w:i/>
        </w:rPr>
        <w:t>Chinese in Chicago: The First One Hundred Years</w:t>
      </w:r>
      <w:r>
        <w:t xml:space="preserve">, 398 </w:t>
      </w:r>
      <w:r w:rsidRPr="00200B05">
        <w:rPr>
          <w:i/>
        </w:rPr>
        <w:t>in</w:t>
      </w:r>
      <w:r>
        <w:t xml:space="preserve"> </w:t>
      </w:r>
      <w:r w:rsidRPr="00200B05">
        <w:rPr>
          <w:smallCaps/>
        </w:rPr>
        <w:t>Ethnic Chicago: A Multicultural Portrait</w:t>
      </w:r>
      <w:r>
        <w:t xml:space="preserve"> (Melvin H. Holli &amp; Peter d’A. Jones eds., 4</w:t>
      </w:r>
      <w:r w:rsidRPr="00200B05">
        <w:rPr>
          <w:vertAlign w:val="superscript"/>
        </w:rPr>
        <w:t>th</w:t>
      </w:r>
      <w:r>
        <w:t xml:space="preserve"> ed. 1995).</w:t>
      </w:r>
    </w:p>
  </w:footnote>
  <w:footnote w:id="54">
    <w:p w14:paraId="77A219CD" w14:textId="202719C7" w:rsidR="00501D78" w:rsidRDefault="00501D78">
      <w:pPr>
        <w:pStyle w:val="FootnoteText"/>
      </w:pPr>
      <w:r>
        <w:rPr>
          <w:rStyle w:val="FootnoteReference"/>
        </w:rPr>
        <w:footnoteRef/>
      </w:r>
      <w:r>
        <w:t xml:space="preserve"> 22</w:t>
      </w:r>
      <w:r w:rsidRPr="00E343EA">
        <w:t xml:space="preserve"> </w:t>
      </w:r>
      <w:r w:rsidRPr="00E343EA">
        <w:rPr>
          <w:smallCaps/>
        </w:rPr>
        <w:t>Mixer &amp; Server</w:t>
      </w:r>
      <w:r w:rsidRPr="00E343EA">
        <w:t xml:space="preserve"> No. </w:t>
      </w:r>
      <w:r>
        <w:t>7</w:t>
      </w:r>
      <w:r w:rsidRPr="00E343EA">
        <w:t xml:space="preserve">, </w:t>
      </w:r>
      <w:r>
        <w:t>July</w:t>
      </w:r>
      <w:r w:rsidRPr="00E343EA">
        <w:t xml:space="preserve"> 15, 19</w:t>
      </w:r>
      <w:r>
        <w:t>13,</w:t>
      </w:r>
      <w:r w:rsidRPr="00E343EA">
        <w:t xml:space="preserve"> at </w:t>
      </w:r>
      <w:r>
        <w:t>35 (noting that one negotiating term of union in Victoria B.C. as “a demand for white cooks, as this has been a strong Chinese cook city heretofore . . . So you see we are sending a few Chinks back, back, back to old China town; and that is not the finish.”);</w:t>
      </w:r>
      <w:r w:rsidRPr="004061B5">
        <w:t xml:space="preserve"> </w:t>
      </w:r>
      <w:r>
        <w:t>18</w:t>
      </w:r>
      <w:r w:rsidRPr="00E343EA">
        <w:t xml:space="preserve"> </w:t>
      </w:r>
      <w:r w:rsidRPr="00E343EA">
        <w:rPr>
          <w:smallCaps/>
        </w:rPr>
        <w:t>Mixer &amp; Server</w:t>
      </w:r>
      <w:r w:rsidRPr="00E343EA">
        <w:t xml:space="preserve"> No. </w:t>
      </w:r>
      <w:r>
        <w:t>5</w:t>
      </w:r>
      <w:r w:rsidRPr="00E343EA">
        <w:t xml:space="preserve">, </w:t>
      </w:r>
      <w:r>
        <w:t>May</w:t>
      </w:r>
      <w:r w:rsidRPr="00E343EA">
        <w:t>. 15, 19</w:t>
      </w:r>
      <w:r>
        <w:t>09,</w:t>
      </w:r>
      <w:r w:rsidRPr="00E343EA">
        <w:t xml:space="preserve"> at </w:t>
      </w:r>
      <w:r>
        <w:t>14 (“As a result of their activities there is not an Oriental working in any of the bars, restaurants, or lodging houses of the city, and the Jap in San Jose is practically being eliminated.”);</w:t>
      </w:r>
      <w:r w:rsidRPr="00E343EA">
        <w:t xml:space="preserve"> </w:t>
      </w:r>
      <w:r w:rsidRPr="00E34521">
        <w:rPr>
          <w:i/>
        </w:rPr>
        <w:t>Exclusion that Excludes</w:t>
      </w:r>
      <w:r>
        <w:t>, 14</w:t>
      </w:r>
      <w:r w:rsidRPr="00E343EA">
        <w:t xml:space="preserve"> </w:t>
      </w:r>
      <w:r w:rsidRPr="00E343EA">
        <w:rPr>
          <w:smallCaps/>
        </w:rPr>
        <w:t>Mixer &amp; Server</w:t>
      </w:r>
      <w:r w:rsidRPr="00E343EA">
        <w:t xml:space="preserve"> No. 11, Nov. 15, 19</w:t>
      </w:r>
      <w:r>
        <w:t>05,</w:t>
      </w:r>
      <w:r w:rsidRPr="00E343EA">
        <w:t xml:space="preserve"> at </w:t>
      </w:r>
      <w:r>
        <w:t>30 (noting that in Vallejo and Santa Rosa, waiters’ and bartenders’ unions “served ultimatums upon the employers of Asiatic labor in the saloons and restaurants that they must either employ none but white union labor or be  placed on the unfair list.”);</w:t>
      </w:r>
      <w:r w:rsidRPr="009F604D">
        <w:t xml:space="preserve"> </w:t>
      </w:r>
      <w:r w:rsidRPr="00E343EA">
        <w:rPr>
          <w:i/>
        </w:rPr>
        <w:t>Boycott Raised</w:t>
      </w:r>
      <w:r w:rsidRPr="00E343EA">
        <w:t xml:space="preserve">, </w:t>
      </w:r>
      <w:r w:rsidRPr="00E343EA">
        <w:rPr>
          <w:smallCaps/>
        </w:rPr>
        <w:t xml:space="preserve">L.A. Herald, </w:t>
      </w:r>
      <w:r w:rsidRPr="00E343EA">
        <w:t>Feb. 16, 1903 (reporting that Asian cooks we</w:t>
      </w:r>
      <w:r>
        <w:t xml:space="preserve">re barred from unionized </w:t>
      </w:r>
      <w:r w:rsidRPr="00E343EA">
        <w:t>hotels and restaurants</w:t>
      </w:r>
      <w:r>
        <w:t xml:space="preserve"> in Sacramento</w:t>
      </w:r>
      <w:r w:rsidRPr="00E343EA">
        <w:t>)</w:t>
      </w:r>
      <w:r>
        <w:t>.</w:t>
      </w:r>
    </w:p>
  </w:footnote>
  <w:footnote w:id="55">
    <w:p w14:paraId="3376F006" w14:textId="39EBC0A6" w:rsidR="00501D78" w:rsidRPr="00E343EA" w:rsidRDefault="00501D78" w:rsidP="00CA5192">
      <w:pPr>
        <w:pStyle w:val="FootnoteText"/>
      </w:pPr>
      <w:r w:rsidRPr="00E343EA">
        <w:rPr>
          <w:rStyle w:val="FootnoteReference"/>
        </w:rPr>
        <w:footnoteRef/>
      </w:r>
      <w:r w:rsidRPr="00E343EA">
        <w:t xml:space="preserve"> </w:t>
      </w:r>
      <w:r w:rsidRPr="00E343EA">
        <w:rPr>
          <w:i/>
        </w:rPr>
        <w:t>After the Chinese</w:t>
      </w:r>
      <w:r w:rsidRPr="00E343EA">
        <w:t xml:space="preserve">, </w:t>
      </w:r>
      <w:r w:rsidRPr="00A37D94">
        <w:rPr>
          <w:i/>
        </w:rPr>
        <w:t>supra</w:t>
      </w:r>
      <w:r w:rsidRPr="00A37D94">
        <w:t xml:space="preserve"> note</w:t>
      </w:r>
      <w:r>
        <w:rPr>
          <w:smallCaps/>
        </w:rPr>
        <w:t xml:space="preserve"> </w:t>
      </w:r>
      <w:r>
        <w:rPr>
          <w:smallCaps/>
        </w:rPr>
        <w:fldChar w:fldCharType="begin"/>
      </w:r>
      <w:r>
        <w:rPr>
          <w:smallCaps/>
        </w:rPr>
        <w:instrText xml:space="preserve"> NOTEREF _Ref476154648 \h </w:instrText>
      </w:r>
      <w:r>
        <w:rPr>
          <w:smallCaps/>
        </w:rPr>
      </w:r>
      <w:r>
        <w:rPr>
          <w:smallCaps/>
        </w:rPr>
        <w:fldChar w:fldCharType="separate"/>
      </w:r>
      <w:r w:rsidR="008A4890">
        <w:rPr>
          <w:smallCaps/>
        </w:rPr>
        <w:t>6</w:t>
      </w:r>
      <w:r>
        <w:rPr>
          <w:smallCaps/>
        </w:rPr>
        <w:fldChar w:fldCharType="end"/>
      </w:r>
      <w:r w:rsidRPr="00E343EA">
        <w:t xml:space="preserve">, at 1; </w:t>
      </w:r>
      <w:r w:rsidRPr="00E343EA">
        <w:rPr>
          <w:i/>
        </w:rPr>
        <w:t xml:space="preserve">accord </w:t>
      </w:r>
      <w:r w:rsidRPr="00E343EA">
        <w:t xml:space="preserve">31 </w:t>
      </w:r>
      <w:r w:rsidRPr="00E343EA">
        <w:rPr>
          <w:smallCaps/>
        </w:rPr>
        <w:t>Mixer &amp; Server</w:t>
      </w:r>
      <w:r w:rsidRPr="00E343EA">
        <w:t xml:space="preserve"> No. 11, Nov. 15, 1922</w:t>
      </w:r>
      <w:r>
        <w:t>,</w:t>
      </w:r>
      <w:r w:rsidRPr="00E343EA">
        <w:t xml:space="preserve"> at 9 (</w:t>
      </w:r>
      <w:r>
        <w:t xml:space="preserve">noting declaration </w:t>
      </w:r>
      <w:r w:rsidRPr="00E343EA">
        <w:t xml:space="preserve">that </w:t>
      </w:r>
      <w:r>
        <w:t>“</w:t>
      </w:r>
      <w:r w:rsidRPr="00E343EA">
        <w:t>no member of our International Union be permitted to work with Asiatics</w:t>
      </w:r>
      <w:r>
        <w:t>”</w:t>
      </w:r>
      <w:r w:rsidRPr="00E343EA">
        <w:t>);</w:t>
      </w:r>
      <w:r w:rsidRPr="002F7A9C">
        <w:t xml:space="preserve"> </w:t>
      </w:r>
      <w:r w:rsidRPr="00E343EA">
        <w:t xml:space="preserve">Boyle, </w:t>
      </w:r>
      <w:r>
        <w:rPr>
          <w:i/>
        </w:rPr>
        <w:t xml:space="preserve">supra </w:t>
      </w:r>
      <w:r w:rsidRPr="00C753F5">
        <w:t xml:space="preserve">note </w:t>
      </w:r>
      <w:r>
        <w:fldChar w:fldCharType="begin"/>
      </w:r>
      <w:r>
        <w:instrText xml:space="preserve"> NOTEREF _Ref476152986 \h </w:instrText>
      </w:r>
      <w:r>
        <w:fldChar w:fldCharType="separate"/>
      </w:r>
      <w:r w:rsidR="008A4890">
        <w:t>1</w:t>
      </w:r>
      <w:r>
        <w:fldChar w:fldCharType="end"/>
      </w:r>
      <w:r w:rsidRPr="00E343EA">
        <w:t xml:space="preserve">; O.M. Boyle, </w:t>
      </w:r>
      <w:r w:rsidRPr="00E343EA">
        <w:rPr>
          <w:i/>
        </w:rPr>
        <w:t>News of the Labor World</w:t>
      </w:r>
      <w:r w:rsidRPr="00E343EA">
        <w:t xml:space="preserve">, </w:t>
      </w:r>
      <w:r w:rsidRPr="00E343EA">
        <w:rPr>
          <w:smallCaps/>
        </w:rPr>
        <w:t>S.F. Call</w:t>
      </w:r>
      <w:r w:rsidRPr="00E343EA">
        <w:t>, Feb. 28, 1907, at 9 (</w:t>
      </w:r>
      <w:r>
        <w:t>“</w:t>
      </w:r>
      <w:r w:rsidRPr="00E343EA">
        <w:t>All but one of the restaurants in Palo Alto employ Japanese or Chinese cooks and dishwashers.  These eating houses have been notified by their union patrons that they will take no more meals at them unless white help is substituted for the Mongolians.</w:t>
      </w:r>
      <w:r>
        <w:t>”</w:t>
      </w:r>
      <w:r w:rsidRPr="00E343EA">
        <w:t xml:space="preserve">). </w:t>
      </w:r>
    </w:p>
  </w:footnote>
  <w:footnote w:id="56">
    <w:p w14:paraId="671E3EC5" w14:textId="6B82C321" w:rsidR="00501D78" w:rsidRDefault="00501D78">
      <w:pPr>
        <w:pStyle w:val="FootnoteText"/>
      </w:pPr>
      <w:r>
        <w:rPr>
          <w:rStyle w:val="FootnoteReference"/>
        </w:rPr>
        <w:footnoteRef/>
      </w:r>
      <w:r>
        <w:t xml:space="preserve"> </w:t>
      </w:r>
      <w:r w:rsidR="002914D9" w:rsidRPr="00E343EA">
        <w:rPr>
          <w:smallCaps/>
        </w:rPr>
        <w:t xml:space="preserve">Proceedings of the </w:t>
      </w:r>
      <w:r w:rsidR="002914D9">
        <w:rPr>
          <w:smallCaps/>
        </w:rPr>
        <w:t>Eighteenth</w:t>
      </w:r>
      <w:r w:rsidR="002914D9" w:rsidRPr="00E343EA">
        <w:rPr>
          <w:smallCaps/>
        </w:rPr>
        <w:t xml:space="preserve"> General Convention Hotel and Restaurant Employees</w:t>
      </w:r>
      <w:r w:rsidR="002914D9">
        <w:rPr>
          <w:smallCaps/>
        </w:rPr>
        <w:t>’</w:t>
      </w:r>
      <w:r w:rsidR="002914D9" w:rsidRPr="00E343EA">
        <w:rPr>
          <w:smallCaps/>
        </w:rPr>
        <w:t xml:space="preserve"> International Alliance and Bartenders</w:t>
      </w:r>
      <w:r w:rsidR="002914D9">
        <w:rPr>
          <w:smallCaps/>
        </w:rPr>
        <w:t>’</w:t>
      </w:r>
      <w:r w:rsidR="002914D9" w:rsidRPr="00E343EA">
        <w:rPr>
          <w:smallCaps/>
        </w:rPr>
        <w:t xml:space="preserve"> International League of America. Held at </w:t>
      </w:r>
      <w:r w:rsidR="002914D9">
        <w:rPr>
          <w:smallCaps/>
        </w:rPr>
        <w:t>San Francisco, Cal</w:t>
      </w:r>
      <w:r w:rsidR="002914D9" w:rsidRPr="00E343EA">
        <w:rPr>
          <w:smallCaps/>
        </w:rPr>
        <w:t>.</w:t>
      </w:r>
      <w:r w:rsidR="002914D9" w:rsidRPr="00E343EA">
        <w:t xml:space="preserve">, U.S.A., </w:t>
      </w:r>
      <w:r w:rsidR="002914D9">
        <w:t>June 14, 15, 16, 17, 18 and</w:t>
      </w:r>
      <w:r w:rsidR="002914D9" w:rsidRPr="00E343EA">
        <w:t xml:space="preserve"> 1</w:t>
      </w:r>
      <w:r w:rsidR="002914D9">
        <w:t>9</w:t>
      </w:r>
      <w:r w:rsidR="002914D9" w:rsidRPr="00E343EA">
        <w:t>, 191</w:t>
      </w:r>
      <w:r w:rsidR="002914D9">
        <w:t>5</w:t>
      </w:r>
      <w:r w:rsidR="002914D9" w:rsidRPr="00E343EA">
        <w:t xml:space="preserve">, </w:t>
      </w:r>
      <w:r>
        <w:t>24</w:t>
      </w:r>
      <w:r w:rsidRPr="00E343EA">
        <w:t xml:space="preserve"> </w:t>
      </w:r>
      <w:r w:rsidRPr="00E343EA">
        <w:rPr>
          <w:smallCaps/>
        </w:rPr>
        <w:t>Mixer &amp; Server</w:t>
      </w:r>
      <w:r w:rsidRPr="00E343EA">
        <w:t xml:space="preserve"> No. </w:t>
      </w:r>
      <w:r>
        <w:t>7</w:t>
      </w:r>
      <w:r w:rsidRPr="00E343EA">
        <w:t xml:space="preserve">, </w:t>
      </w:r>
      <w:r>
        <w:t>July</w:t>
      </w:r>
      <w:r w:rsidRPr="00E343EA">
        <w:t xml:space="preserve"> 15, 19</w:t>
      </w:r>
      <w:r>
        <w:t>15,</w:t>
      </w:r>
      <w:r w:rsidRPr="00E343EA">
        <w:t xml:space="preserve"> at </w:t>
      </w:r>
      <w:r>
        <w:t>95.</w:t>
      </w:r>
    </w:p>
  </w:footnote>
  <w:footnote w:id="57">
    <w:p w14:paraId="74E2F03E" w14:textId="77777777" w:rsidR="00501D78" w:rsidRPr="00E343EA" w:rsidRDefault="00501D78" w:rsidP="00CA5192">
      <w:pPr>
        <w:pStyle w:val="FootnoteText"/>
      </w:pPr>
      <w:r w:rsidRPr="00E343EA">
        <w:rPr>
          <w:rStyle w:val="FootnoteReference"/>
        </w:rPr>
        <w:footnoteRef/>
      </w:r>
      <w:r w:rsidRPr="00E343EA">
        <w:t xml:space="preserve"> </w:t>
      </w:r>
      <w:r w:rsidRPr="009A4A80">
        <w:rPr>
          <w:i/>
        </w:rPr>
        <w:t>T</w:t>
      </w:r>
      <w:r w:rsidRPr="00E343EA">
        <w:rPr>
          <w:i/>
        </w:rPr>
        <w:t>he Union Label: Why We Favor it and Why it is Opposed</w:t>
      </w:r>
      <w:r w:rsidRPr="00E343EA">
        <w:t xml:space="preserve">, 16 </w:t>
      </w:r>
      <w:r w:rsidRPr="00E343EA">
        <w:rPr>
          <w:smallCaps/>
        </w:rPr>
        <w:t>The Tobacco Worker</w:t>
      </w:r>
      <w:r w:rsidRPr="00E343EA">
        <w:t xml:space="preserve"> No. 11, 12 (Nov. 1912). </w:t>
      </w:r>
      <w:r w:rsidRPr="00E343EA">
        <w:rPr>
          <w:i/>
        </w:rPr>
        <w:t xml:space="preserve">See </w:t>
      </w:r>
      <w:r w:rsidRPr="00E343EA">
        <w:t xml:space="preserve">Justin Seubert, Inc., v. Reiff, 164 N.Y.S. 522, 523 (Sup. Ct. 1917) (noting that </w:t>
      </w:r>
      <w:r>
        <w:t>“</w:t>
      </w:r>
      <w:r w:rsidRPr="00E343EA">
        <w:t xml:space="preserve">[i]f the manufacturer deals in </w:t>
      </w:r>
      <w:r>
        <w:t>‘</w:t>
      </w:r>
      <w:r w:rsidRPr="00E343EA">
        <w:t>Chinese, tenement house, or scab cigars,</w:t>
      </w:r>
      <w:r>
        <w:t>’</w:t>
      </w:r>
      <w:r w:rsidRPr="00E343EA">
        <w:t xml:space="preserve"> or if his name appears upon a box containing such cigars, the label may be refused, at the option of the local union.</w:t>
      </w:r>
      <w:r>
        <w:t>”</w:t>
      </w:r>
      <w:r w:rsidRPr="00E343EA">
        <w:t>).</w:t>
      </w:r>
    </w:p>
  </w:footnote>
  <w:footnote w:id="58">
    <w:p w14:paraId="2E6765E9" w14:textId="28FE0B66" w:rsidR="00501D78" w:rsidRPr="00E343EA" w:rsidRDefault="00501D78" w:rsidP="00B06E49">
      <w:pPr>
        <w:pStyle w:val="FootnoteText"/>
      </w:pPr>
      <w:r w:rsidRPr="00E343EA">
        <w:rPr>
          <w:rStyle w:val="FootnoteReference"/>
        </w:rPr>
        <w:footnoteRef/>
      </w:r>
      <w:r w:rsidRPr="00E343EA">
        <w:t xml:space="preserve"> </w:t>
      </w:r>
      <w:r w:rsidRPr="00E343EA">
        <w:rPr>
          <w:i/>
        </w:rPr>
        <w:t>See generally</w:t>
      </w:r>
      <w:r w:rsidRPr="00E343EA">
        <w:t xml:space="preserve"> </w:t>
      </w:r>
      <w:r w:rsidRPr="00E343EA">
        <w:rPr>
          <w:smallCaps/>
        </w:rPr>
        <w:t>Jean Pfaelzer, Driven Out: The Forgotten War Against Chinese Americans</w:t>
      </w:r>
      <w:r>
        <w:t xml:space="preserve"> 99 </w:t>
      </w:r>
      <w:r w:rsidRPr="00E343EA">
        <w:t>(2007</w:t>
      </w:r>
      <w:r>
        <w:t xml:space="preserve">); </w:t>
      </w:r>
      <w:r w:rsidRPr="000A43A4">
        <w:rPr>
          <w:smallCaps/>
        </w:rPr>
        <w:t>Harry W. Laidler, Boycotts and the Labor Struggle: Economic and Legal Aspects</w:t>
      </w:r>
      <w:r>
        <w:t xml:space="preserve"> 75 (1913) (“</w:t>
      </w:r>
      <w:r w:rsidRPr="00451E8E">
        <w:t xml:space="preserve">The greatest success of any boycotts waged during </w:t>
      </w:r>
      <w:r>
        <w:t>[1883-85]</w:t>
      </w:r>
      <w:r w:rsidRPr="00451E8E">
        <w:t xml:space="preserve"> was found in those conducted in the Western States against the Chinese</w:t>
      </w:r>
      <w:r>
        <w:t>. . . .</w:t>
      </w:r>
      <w:r w:rsidRPr="00451E8E">
        <w:t xml:space="preserve"> These boycotts however often involved more than mere boycotting</w:t>
      </w:r>
      <w:r>
        <w:t>.</w:t>
      </w:r>
      <w:r w:rsidRPr="00451E8E">
        <w:t xml:space="preserve"> They were race wars</w:t>
      </w:r>
      <w:r w:rsidR="000A331A" w:rsidRPr="000A331A">
        <w:t xml:space="preserve"> . In Portland Oregon . . . [t]he agitation led to the discharge of 400 Chinese in 40 firms. In Squeak Valley on Puget Sound seven or eight coolies were reported to have been killed. In Tacoma Washington more than 700 Chinese were escorted from the city by prominent citizens. In Idaho and Oregon the workers threatened to hang any coolie who came their way. None came. In Montana these Orientals were forced by the Knights of Labor to leave their localities. The success is therefore not to be wondered at.”).</w:t>
      </w:r>
    </w:p>
  </w:footnote>
  <w:footnote w:id="59">
    <w:p w14:paraId="09E28B94"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Driving out Celestials</w:t>
      </w:r>
      <w:r w:rsidRPr="00E343EA">
        <w:t xml:space="preserve">, </w:t>
      </w:r>
      <w:r w:rsidRPr="00E343EA">
        <w:rPr>
          <w:smallCaps/>
        </w:rPr>
        <w:t xml:space="preserve">Salt Lake Trib., </w:t>
      </w:r>
      <w:r w:rsidRPr="00E343EA">
        <w:t>Aug. 20, 1893, at 2.</w:t>
      </w:r>
    </w:p>
  </w:footnote>
  <w:footnote w:id="60">
    <w:p w14:paraId="531174B2" w14:textId="4E4BB220" w:rsidR="00501D78" w:rsidRPr="00E343EA" w:rsidRDefault="00501D78" w:rsidP="00B06E49">
      <w:pPr>
        <w:pStyle w:val="FootnoteText"/>
        <w:rPr>
          <w:i/>
        </w:rPr>
      </w:pPr>
      <w:r w:rsidRPr="00E343EA">
        <w:rPr>
          <w:rStyle w:val="FootnoteReference"/>
        </w:rPr>
        <w:footnoteRef/>
      </w:r>
      <w:r w:rsidRPr="00E343EA">
        <w:t xml:space="preserve"> </w:t>
      </w:r>
      <w:r w:rsidRPr="00E343EA">
        <w:rPr>
          <w:i/>
        </w:rPr>
        <w:t>Id.</w:t>
      </w:r>
      <w:r w:rsidRPr="00C33526">
        <w:rPr>
          <w:i/>
        </w:rPr>
        <w:t xml:space="preserve"> </w:t>
      </w:r>
      <w:r w:rsidRPr="00C337A2">
        <w:rPr>
          <w:i/>
        </w:rPr>
        <w:t>See also Anti-Chinese Agitation: Two Restaurant-Keepers Ordered to Leave Selma</w:t>
      </w:r>
      <w:r>
        <w:t xml:space="preserve">, </w:t>
      </w:r>
      <w:r w:rsidRPr="00C337A2">
        <w:rPr>
          <w:smallCaps/>
        </w:rPr>
        <w:t>Sacramento Rec</w:t>
      </w:r>
      <w:r>
        <w:rPr>
          <w:smallCaps/>
        </w:rPr>
        <w:t>.</w:t>
      </w:r>
      <w:r w:rsidRPr="00C337A2">
        <w:rPr>
          <w:smallCaps/>
        </w:rPr>
        <w:t>-Union</w:t>
      </w:r>
      <w:r>
        <w:t>, Aug. 21, 1893, at 1.</w:t>
      </w:r>
    </w:p>
  </w:footnote>
  <w:footnote w:id="61">
    <w:p w14:paraId="4830142B"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Ban on Yellow Men</w:t>
      </w:r>
      <w:r w:rsidRPr="00E343EA">
        <w:t xml:space="preserve">, </w:t>
      </w:r>
      <w:r w:rsidRPr="00E343EA">
        <w:rPr>
          <w:smallCaps/>
        </w:rPr>
        <w:t>Salt Lake Trib.</w:t>
      </w:r>
      <w:r w:rsidRPr="00E343EA">
        <w:t>, Feb. 2, 1902, at 7.</w:t>
      </w:r>
    </w:p>
  </w:footnote>
  <w:footnote w:id="62">
    <w:p w14:paraId="77827F1F"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Id</w:t>
      </w:r>
      <w:r w:rsidRPr="00E343EA">
        <w:t>.</w:t>
      </w:r>
    </w:p>
  </w:footnote>
  <w:footnote w:id="63">
    <w:p w14:paraId="6453CFBB"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Id.</w:t>
      </w:r>
    </w:p>
  </w:footnote>
  <w:footnote w:id="64">
    <w:p w14:paraId="7E55225B"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Chinese Want Protection</w:t>
      </w:r>
      <w:r w:rsidRPr="00E343EA">
        <w:t xml:space="preserve">, </w:t>
      </w:r>
      <w:r w:rsidRPr="00E343EA">
        <w:rPr>
          <w:smallCaps/>
        </w:rPr>
        <w:t>Spokane Daily Chron.,</w:t>
      </w:r>
      <w:r w:rsidRPr="00E343EA">
        <w:t xml:space="preserve"> Feb. 12, 1902, at 5.</w:t>
      </w:r>
    </w:p>
  </w:footnote>
  <w:footnote w:id="65">
    <w:p w14:paraId="5F831619" w14:textId="69B62D1B" w:rsidR="00501D78" w:rsidRPr="00E343EA" w:rsidRDefault="00501D78" w:rsidP="00B06E49">
      <w:pPr>
        <w:pStyle w:val="FootnoteText"/>
      </w:pPr>
      <w:r w:rsidRPr="00E343EA">
        <w:rPr>
          <w:rStyle w:val="FootnoteReference"/>
        </w:rPr>
        <w:footnoteRef/>
      </w:r>
      <w:r w:rsidRPr="00E343EA">
        <w:t xml:space="preserve"> </w:t>
      </w:r>
      <w:r>
        <w:rPr>
          <w:smallCaps/>
        </w:rPr>
        <w:t>Fourteenth Biennial Report o</w:t>
      </w:r>
      <w:r w:rsidRPr="00E343EA">
        <w:rPr>
          <w:smallCaps/>
        </w:rPr>
        <w:t xml:space="preserve">f </w:t>
      </w:r>
      <w:r>
        <w:rPr>
          <w:smallCaps/>
        </w:rPr>
        <w:t>t</w:t>
      </w:r>
      <w:r w:rsidRPr="00E343EA">
        <w:rPr>
          <w:smallCaps/>
        </w:rPr>
        <w:t xml:space="preserve">he Bureau </w:t>
      </w:r>
      <w:r>
        <w:rPr>
          <w:smallCaps/>
        </w:rPr>
        <w:t>o</w:t>
      </w:r>
      <w:r w:rsidRPr="00E343EA">
        <w:rPr>
          <w:smallCaps/>
        </w:rPr>
        <w:t xml:space="preserve">f Labor Statistics </w:t>
      </w:r>
      <w:r>
        <w:rPr>
          <w:smallCaps/>
        </w:rPr>
        <w:t>o</w:t>
      </w:r>
      <w:r w:rsidRPr="00E343EA">
        <w:rPr>
          <w:smallCaps/>
        </w:rPr>
        <w:t xml:space="preserve">f </w:t>
      </w:r>
      <w:r>
        <w:rPr>
          <w:smallCaps/>
        </w:rPr>
        <w:t>t</w:t>
      </w:r>
      <w:r w:rsidRPr="00E343EA">
        <w:rPr>
          <w:smallCaps/>
        </w:rPr>
        <w:t xml:space="preserve">he State </w:t>
      </w:r>
      <w:r>
        <w:rPr>
          <w:smallCaps/>
        </w:rPr>
        <w:t>o</w:t>
      </w:r>
      <w:r w:rsidRPr="00E343EA">
        <w:rPr>
          <w:smallCaps/>
        </w:rPr>
        <w:t>f Colorado</w:t>
      </w:r>
      <w:r w:rsidRPr="00E343EA">
        <w:t xml:space="preserve"> 22 (1914).</w:t>
      </w:r>
    </w:p>
  </w:footnote>
  <w:footnote w:id="66">
    <w:p w14:paraId="60C78236" w14:textId="1FDD2774" w:rsidR="00501D78" w:rsidRPr="00E343EA" w:rsidRDefault="00501D78" w:rsidP="00B06E49">
      <w:pPr>
        <w:pStyle w:val="FootnoteText"/>
      </w:pPr>
      <w:r w:rsidRPr="00E343EA">
        <w:rPr>
          <w:rStyle w:val="FootnoteReference"/>
        </w:rPr>
        <w:footnoteRef/>
      </w:r>
      <w:r w:rsidRPr="00E343EA">
        <w:t xml:space="preserve"> </w:t>
      </w:r>
      <w:r w:rsidRPr="00E343EA">
        <w:rPr>
          <w:smallCaps/>
        </w:rPr>
        <w:t>Proceedings of the National Congress of the Socialist Party Held at Chicago, Illinois May 15-21, 1910</w:t>
      </w:r>
      <w:r w:rsidRPr="00E343EA">
        <w:t xml:space="preserve">, at 96.  Another example of the connection between restaurant competition and immigration policy occurred at the 1909 convention of the California Federation of Labor.  At the same meeting where they resolved </w:t>
      </w:r>
      <w:r>
        <w:t>“</w:t>
      </w:r>
      <w:r w:rsidRPr="00E343EA">
        <w:t>that the terms of the Chinese Exclusion Act should be enlarged and extended so as to permanently exclude from the United States and its insular territory all races native of Asia other than those exempted by the present terms of that Act</w:t>
      </w:r>
      <w:r>
        <w:t>,”</w:t>
      </w:r>
      <w:r w:rsidRPr="00E343EA">
        <w:t xml:space="preserve"> they cataloged the forms of competition by Asian workers, noting, among other occupations, that  </w:t>
      </w:r>
      <w:r>
        <w:t>“</w:t>
      </w:r>
      <w:r w:rsidRPr="00E343EA">
        <w:t>Cooks have a problem to look after in these dear Jap boys and sly Chinese,</w:t>
      </w:r>
      <w:r>
        <w:t>”</w:t>
      </w:r>
      <w:r w:rsidRPr="00E343EA">
        <w:t xml:space="preserve"> and that </w:t>
      </w:r>
      <w:r>
        <w:t>“</w:t>
      </w:r>
      <w:r w:rsidRPr="00E343EA">
        <w:t>[t]here are about twenty Chinese restaurants in San Francisco, employing about 180 Chinese, and seventy Jap restaurants with about 300 employes.</w:t>
      </w:r>
      <w:r>
        <w:t>”</w:t>
      </w:r>
      <w:r w:rsidRPr="00E343EA">
        <w:t xml:space="preserve"> </w:t>
      </w:r>
      <w:r w:rsidRPr="00E343EA">
        <w:rPr>
          <w:smallCaps/>
        </w:rPr>
        <w:t>Proceedings, Tenth Annual Convention, California State Federation of Labor</w:t>
      </w:r>
      <w:r w:rsidRPr="00E343EA">
        <w:t xml:space="preserve"> 8</w:t>
      </w:r>
      <w:r>
        <w:t>, 14</w:t>
      </w:r>
      <w:r w:rsidRPr="00E343EA">
        <w:t xml:space="preserve"> (1909).</w:t>
      </w:r>
    </w:p>
  </w:footnote>
  <w:footnote w:id="67">
    <w:p w14:paraId="05943F42" w14:textId="470E148E" w:rsidR="00501D78" w:rsidRPr="00E343EA" w:rsidRDefault="00501D78" w:rsidP="00B06E49">
      <w:pPr>
        <w:pStyle w:val="FootnoteText"/>
      </w:pPr>
      <w:r w:rsidRPr="00E343EA">
        <w:rPr>
          <w:rStyle w:val="FootnoteReference"/>
        </w:rPr>
        <w:footnoteRef/>
      </w:r>
      <w:r w:rsidRPr="00E343EA">
        <w:t xml:space="preserve"> </w:t>
      </w:r>
      <w:r w:rsidRPr="00E343EA">
        <w:rPr>
          <w:smallCaps/>
        </w:rPr>
        <w:t>Thirty-Fourth Annual Convention</w:t>
      </w:r>
      <w:r w:rsidRPr="00E343EA">
        <w:t>,</w:t>
      </w:r>
      <w:r>
        <w:t xml:space="preserve"> </w:t>
      </w:r>
      <w:r w:rsidRPr="0028178F">
        <w:rPr>
          <w:i/>
        </w:rPr>
        <w:t>supra</w:t>
      </w:r>
      <w:r>
        <w:t xml:space="preserve"> note </w:t>
      </w:r>
      <w:r>
        <w:fldChar w:fldCharType="begin"/>
      </w:r>
      <w:r>
        <w:instrText xml:space="preserve"> NOTEREF _Ref476153413 \h </w:instrText>
      </w:r>
      <w:r>
        <w:fldChar w:fldCharType="separate"/>
      </w:r>
      <w:r w:rsidR="008A4890">
        <w:t>43</w:t>
      </w:r>
      <w:r>
        <w:fldChar w:fldCharType="end"/>
      </w:r>
      <w:r>
        <w:t>, at</w:t>
      </w:r>
      <w:r w:rsidRPr="00E343EA">
        <w:t xml:space="preserve"> 294.</w:t>
      </w:r>
    </w:p>
  </w:footnote>
  <w:footnote w:id="68">
    <w:p w14:paraId="0EBF3DB6" w14:textId="16C5ECFF" w:rsidR="00501D78" w:rsidRPr="00E343EA" w:rsidRDefault="00501D78" w:rsidP="00B06E49">
      <w:pPr>
        <w:pStyle w:val="FootnoteText"/>
      </w:pPr>
      <w:r w:rsidRPr="00E343EA">
        <w:rPr>
          <w:rStyle w:val="FootnoteReference"/>
        </w:rPr>
        <w:footnoteRef/>
      </w:r>
      <w:r w:rsidRPr="00E343EA">
        <w:t xml:space="preserve"> </w:t>
      </w:r>
      <w:r w:rsidRPr="00E343EA">
        <w:rPr>
          <w:i/>
        </w:rPr>
        <w:t>Id</w:t>
      </w:r>
      <w:r w:rsidRPr="00E343EA">
        <w:t>. at 469.</w:t>
      </w:r>
    </w:p>
  </w:footnote>
  <w:footnote w:id="69">
    <w:p w14:paraId="5DE719FD" w14:textId="0B361085" w:rsidR="00501D78" w:rsidRPr="00E343EA" w:rsidRDefault="00501D78" w:rsidP="00B06E49">
      <w:pPr>
        <w:pStyle w:val="FootnoteText"/>
      </w:pPr>
      <w:r w:rsidRPr="00E343EA">
        <w:rPr>
          <w:rStyle w:val="FootnoteReference"/>
        </w:rPr>
        <w:footnoteRef/>
      </w:r>
      <w:r w:rsidRPr="00E343EA">
        <w:t xml:space="preserve"> </w:t>
      </w:r>
      <w:r w:rsidRPr="00E343EA">
        <w:rPr>
          <w:smallCaps/>
        </w:rPr>
        <w:t>Eighteenth General Convention</w:t>
      </w:r>
      <w:r w:rsidR="005A4EFB">
        <w:rPr>
          <w:smallCaps/>
        </w:rPr>
        <w:t xml:space="preserve">, </w:t>
      </w:r>
      <w:r w:rsidR="005A4EFB" w:rsidRPr="005A4EFB">
        <w:rPr>
          <w:i/>
        </w:rPr>
        <w:t>supra</w:t>
      </w:r>
      <w:r w:rsidR="005A4EFB" w:rsidRPr="005A4EFB">
        <w:t xml:space="preserve"> note</w:t>
      </w:r>
      <w:r w:rsidR="005A4EFB">
        <w:rPr>
          <w:smallCaps/>
        </w:rPr>
        <w:t xml:space="preserve"> </w:t>
      </w:r>
      <w:r w:rsidR="00F524F5">
        <w:rPr>
          <w:smallCaps/>
        </w:rPr>
        <w:fldChar w:fldCharType="begin"/>
      </w:r>
      <w:r w:rsidR="00F524F5">
        <w:rPr>
          <w:smallCaps/>
        </w:rPr>
        <w:instrText xml:space="preserve"> NOTEREF _Ref487041829 \h </w:instrText>
      </w:r>
      <w:r w:rsidR="00F524F5">
        <w:rPr>
          <w:smallCaps/>
        </w:rPr>
      </w:r>
      <w:r w:rsidR="00F524F5">
        <w:rPr>
          <w:smallCaps/>
        </w:rPr>
        <w:fldChar w:fldCharType="separate"/>
      </w:r>
      <w:r w:rsidR="008A4890">
        <w:rPr>
          <w:smallCaps/>
        </w:rPr>
        <w:t>53</w:t>
      </w:r>
      <w:r w:rsidR="00F524F5">
        <w:rPr>
          <w:smallCaps/>
        </w:rPr>
        <w:fldChar w:fldCharType="end"/>
      </w:r>
      <w:r w:rsidR="005A4EFB">
        <w:rPr>
          <w:smallCaps/>
        </w:rPr>
        <w:t xml:space="preserve">, </w:t>
      </w:r>
      <w:r w:rsidRPr="00E343EA">
        <w:t>at 155-56.</w:t>
      </w:r>
    </w:p>
  </w:footnote>
  <w:footnote w:id="70">
    <w:p w14:paraId="05DCF23B" w14:textId="528967ED" w:rsidR="00501D78" w:rsidRPr="00E343EA" w:rsidRDefault="00501D78" w:rsidP="00B06E49">
      <w:pPr>
        <w:rPr>
          <w:sz w:val="20"/>
          <w:szCs w:val="20"/>
        </w:rPr>
      </w:pPr>
      <w:r w:rsidRPr="00E343EA">
        <w:rPr>
          <w:rStyle w:val="FootnoteReference"/>
        </w:rPr>
        <w:footnoteRef/>
      </w:r>
      <w:r w:rsidRPr="00E343EA">
        <w:t xml:space="preserve"> </w:t>
      </w:r>
      <w:r w:rsidRPr="00E343EA">
        <w:rPr>
          <w:sz w:val="20"/>
          <w:szCs w:val="20"/>
        </w:rPr>
        <w:t xml:space="preserve">One delegate argued: </w:t>
      </w:r>
      <w:r>
        <w:rPr>
          <w:sz w:val="20"/>
          <w:szCs w:val="20"/>
        </w:rPr>
        <w:t>“</w:t>
      </w:r>
      <w:r w:rsidRPr="00E343EA">
        <w:rPr>
          <w:sz w:val="20"/>
          <w:szCs w:val="20"/>
        </w:rPr>
        <w:t>organize the Asiatics, put them into unions and you will have a chance to determine the question of wages, hours and conditions, otherwise the problem will be with you indefinitely and as difficult to solve as it seems to be now.</w:t>
      </w:r>
      <w:r>
        <w:rPr>
          <w:sz w:val="20"/>
          <w:szCs w:val="20"/>
        </w:rPr>
        <w:t>”</w:t>
      </w:r>
      <w:r w:rsidRPr="00E343EA">
        <w:rPr>
          <w:sz w:val="20"/>
          <w:szCs w:val="20"/>
        </w:rPr>
        <w:t xml:space="preserve"> </w:t>
      </w:r>
      <w:r w:rsidRPr="003324C3">
        <w:rPr>
          <w:i/>
          <w:sz w:val="20"/>
          <w:szCs w:val="20"/>
        </w:rPr>
        <w:t>Id</w:t>
      </w:r>
      <w:r w:rsidRPr="003324C3">
        <w:rPr>
          <w:sz w:val="20"/>
          <w:szCs w:val="20"/>
        </w:rPr>
        <w:t>.</w:t>
      </w:r>
      <w:r w:rsidRPr="00E343EA">
        <w:rPr>
          <w:sz w:val="20"/>
          <w:szCs w:val="20"/>
        </w:rPr>
        <w:t xml:space="preserve"> at 155-56.</w:t>
      </w:r>
      <w:r>
        <w:rPr>
          <w:sz w:val="20"/>
          <w:szCs w:val="20"/>
        </w:rPr>
        <w:t xml:space="preserve"> </w:t>
      </w:r>
      <w:r w:rsidRPr="00DB2AB5">
        <w:rPr>
          <w:i/>
          <w:sz w:val="20"/>
          <w:szCs w:val="20"/>
        </w:rPr>
        <w:t xml:space="preserve">See </w:t>
      </w:r>
      <w:r>
        <w:rPr>
          <w:i/>
          <w:sz w:val="20"/>
          <w:szCs w:val="20"/>
        </w:rPr>
        <w:t>also i</w:t>
      </w:r>
      <w:r w:rsidRPr="00DB2AB5">
        <w:rPr>
          <w:i/>
          <w:sz w:val="20"/>
          <w:szCs w:val="20"/>
        </w:rPr>
        <w:t>d.</w:t>
      </w:r>
      <w:r>
        <w:rPr>
          <w:smallCaps/>
          <w:sz w:val="20"/>
          <w:szCs w:val="20"/>
        </w:rPr>
        <w:t xml:space="preserve"> </w:t>
      </w:r>
      <w:r w:rsidRPr="00E343EA">
        <w:rPr>
          <w:sz w:val="20"/>
          <w:szCs w:val="20"/>
        </w:rPr>
        <w:t>(</w:t>
      </w:r>
      <w:r>
        <w:rPr>
          <w:sz w:val="20"/>
          <w:szCs w:val="20"/>
        </w:rPr>
        <w:t>“</w:t>
      </w:r>
      <w:r w:rsidRPr="00E343EA">
        <w:rPr>
          <w:sz w:val="20"/>
          <w:szCs w:val="20"/>
        </w:rPr>
        <w:t xml:space="preserve">We must either </w:t>
      </w:r>
      <w:r>
        <w:rPr>
          <w:sz w:val="20"/>
          <w:szCs w:val="20"/>
        </w:rPr>
        <w:t>. . .</w:t>
      </w:r>
      <w:r w:rsidRPr="00E343EA">
        <w:rPr>
          <w:sz w:val="20"/>
          <w:szCs w:val="20"/>
        </w:rPr>
        <w:t xml:space="preserve"> drive them out of business or we must accept them as members. The Chinese waiters and cooks of New York City, I understand, a short time ago were on strike for the 12-hour work day for six days a week, </w:t>
      </w:r>
      <w:r>
        <w:rPr>
          <w:sz w:val="20"/>
          <w:szCs w:val="20"/>
        </w:rPr>
        <w:t>. . .</w:t>
      </w:r>
      <w:r w:rsidRPr="00E343EA">
        <w:rPr>
          <w:sz w:val="20"/>
          <w:szCs w:val="20"/>
        </w:rPr>
        <w:t xml:space="preserve"> so it seems, no matter what creed or color the working men or women are, they are up against the same problems.</w:t>
      </w:r>
      <w:r>
        <w:rPr>
          <w:sz w:val="20"/>
          <w:szCs w:val="20"/>
        </w:rPr>
        <w:t>”</w:t>
      </w:r>
      <w:r w:rsidRPr="00E343EA">
        <w:rPr>
          <w:sz w:val="20"/>
          <w:szCs w:val="20"/>
        </w:rPr>
        <w:t>).</w:t>
      </w:r>
    </w:p>
  </w:footnote>
  <w:footnote w:id="71">
    <w:p w14:paraId="08456374" w14:textId="4C47E7AC" w:rsidR="00501D78" w:rsidRPr="00E343EA" w:rsidRDefault="00501D78" w:rsidP="00B06E49">
      <w:pPr>
        <w:rPr>
          <w:sz w:val="20"/>
          <w:szCs w:val="20"/>
        </w:rPr>
      </w:pPr>
      <w:r w:rsidRPr="00E343EA">
        <w:rPr>
          <w:rStyle w:val="FootnoteReference"/>
        </w:rPr>
        <w:footnoteRef/>
      </w:r>
      <w:r w:rsidRPr="00E343EA">
        <w:t xml:space="preserve"> </w:t>
      </w:r>
      <w:r w:rsidRPr="003324C3">
        <w:rPr>
          <w:i/>
          <w:sz w:val="20"/>
          <w:szCs w:val="20"/>
        </w:rPr>
        <w:t>Id.</w:t>
      </w:r>
      <w:r w:rsidRPr="00E343EA">
        <w:rPr>
          <w:sz w:val="20"/>
          <w:szCs w:val="20"/>
        </w:rPr>
        <w:t xml:space="preserve"> at 155-56.  </w:t>
      </w:r>
      <w:r w:rsidRPr="00E343EA">
        <w:rPr>
          <w:i/>
          <w:sz w:val="20"/>
          <w:szCs w:val="20"/>
        </w:rPr>
        <w:t>See also, e.g.,</w:t>
      </w:r>
      <w:r w:rsidRPr="005A73DB">
        <w:rPr>
          <w:sz w:val="20"/>
          <w:szCs w:val="20"/>
        </w:rPr>
        <w:t xml:space="preserve"> </w:t>
      </w:r>
      <w:r w:rsidRPr="00D30545">
        <w:rPr>
          <w:smallCaps/>
          <w:sz w:val="20"/>
          <w:szCs w:val="20"/>
        </w:rPr>
        <w:t>Eileen V. Wallis, Earning Power: Women and Work in Los Angeles</w:t>
      </w:r>
      <w:r w:rsidRPr="005A73DB">
        <w:rPr>
          <w:sz w:val="20"/>
          <w:szCs w:val="20"/>
        </w:rPr>
        <w:t xml:space="preserve"> 1880-1930 </w:t>
      </w:r>
      <w:r>
        <w:rPr>
          <w:sz w:val="20"/>
          <w:szCs w:val="20"/>
        </w:rPr>
        <w:t xml:space="preserve">75 </w:t>
      </w:r>
      <w:r w:rsidRPr="005A73DB">
        <w:rPr>
          <w:sz w:val="20"/>
          <w:szCs w:val="20"/>
        </w:rPr>
        <w:t>(2010)</w:t>
      </w:r>
      <w:r>
        <w:rPr>
          <w:sz w:val="20"/>
          <w:szCs w:val="20"/>
        </w:rPr>
        <w:t xml:space="preserve"> (noting that Waitresses Union Local No. 98 “made discrimination against Asians a key part of its activities” and endorsed a boycott of Japanese restaurants); </w:t>
      </w:r>
      <w:r w:rsidRPr="00E343EA">
        <w:rPr>
          <w:i/>
          <w:sz w:val="20"/>
          <w:szCs w:val="20"/>
        </w:rPr>
        <w:t>Thoroughly Rout Typo Insurgents</w:t>
      </w:r>
      <w:r w:rsidRPr="00E343EA">
        <w:rPr>
          <w:sz w:val="20"/>
          <w:szCs w:val="20"/>
        </w:rPr>
        <w:t xml:space="preserve">, </w:t>
      </w:r>
      <w:r w:rsidRPr="00E343EA">
        <w:rPr>
          <w:smallCaps/>
          <w:sz w:val="20"/>
          <w:szCs w:val="20"/>
        </w:rPr>
        <w:t>L.A. Herald</w:t>
      </w:r>
      <w:r w:rsidRPr="00E343EA">
        <w:rPr>
          <w:sz w:val="20"/>
          <w:szCs w:val="20"/>
        </w:rPr>
        <w:t xml:space="preserve">, Aug. 17, 1911 (reporting that </w:t>
      </w:r>
      <w:r>
        <w:rPr>
          <w:sz w:val="20"/>
          <w:szCs w:val="20"/>
        </w:rPr>
        <w:t>“</w:t>
      </w:r>
      <w:r w:rsidRPr="00E343EA">
        <w:rPr>
          <w:sz w:val="20"/>
          <w:szCs w:val="20"/>
        </w:rPr>
        <w:t xml:space="preserve">[a] resolution was adopted </w:t>
      </w:r>
      <w:r>
        <w:rPr>
          <w:sz w:val="20"/>
          <w:szCs w:val="20"/>
        </w:rPr>
        <w:t>. . .</w:t>
      </w:r>
      <w:r w:rsidRPr="00E343EA">
        <w:rPr>
          <w:sz w:val="20"/>
          <w:szCs w:val="20"/>
        </w:rPr>
        <w:t xml:space="preserve"> that all members of the union should refuse to patronize Chinese laundries, restaurants and other establishments.</w:t>
      </w:r>
      <w:r>
        <w:rPr>
          <w:sz w:val="20"/>
          <w:szCs w:val="20"/>
        </w:rPr>
        <w:t>”</w:t>
      </w:r>
      <w:r w:rsidRPr="00E343EA">
        <w:rPr>
          <w:sz w:val="20"/>
          <w:szCs w:val="20"/>
        </w:rPr>
        <w:t>)</w:t>
      </w:r>
      <w:r>
        <w:rPr>
          <w:sz w:val="20"/>
          <w:szCs w:val="20"/>
        </w:rPr>
        <w:t xml:space="preserve">; 25 </w:t>
      </w:r>
      <w:r w:rsidRPr="00D83BC4">
        <w:rPr>
          <w:smallCaps/>
          <w:sz w:val="20"/>
          <w:szCs w:val="20"/>
        </w:rPr>
        <w:t>Mixer &amp; Server</w:t>
      </w:r>
      <w:r>
        <w:rPr>
          <w:sz w:val="20"/>
          <w:szCs w:val="20"/>
        </w:rPr>
        <w:t>, No. 3, Mar. 15, 1916, at 28, 29 (reprinting resolution that “the California Federation of Labor again records itself as opposed to the patronizing or employing of Asiatics in any manner; and in favor of an extension of the Chinese Exclusion law so as to bar all Asiatics.”)</w:t>
      </w:r>
    </w:p>
  </w:footnote>
  <w:footnote w:id="72">
    <w:p w14:paraId="15999D19" w14:textId="7D8F99B5" w:rsidR="00501D78" w:rsidRDefault="00501D78" w:rsidP="00B06E49">
      <w:pPr>
        <w:pStyle w:val="FootnoteText"/>
      </w:pPr>
      <w:r>
        <w:rPr>
          <w:rStyle w:val="FootnoteReference"/>
        </w:rPr>
        <w:footnoteRef/>
      </w:r>
      <w:r>
        <w:t xml:space="preserve"> There was also at least one major boycott targeting Japanese restaurants.  </w:t>
      </w:r>
      <w:r w:rsidRPr="004A0B39">
        <w:rPr>
          <w:i/>
        </w:rPr>
        <w:t xml:space="preserve">See Japanese in the City of San Francisco, Cal.: Message from the </w:t>
      </w:r>
      <w:r>
        <w:rPr>
          <w:i/>
        </w:rPr>
        <w:t>P</w:t>
      </w:r>
      <w:r w:rsidRPr="004A0B39">
        <w:rPr>
          <w:i/>
        </w:rPr>
        <w:t>resident of the United</w:t>
      </w:r>
      <w:r>
        <w:rPr>
          <w:i/>
        </w:rPr>
        <w:t xml:space="preserve"> States Transmitting the Final R</w:t>
      </w:r>
      <w:r w:rsidRPr="004A0B39">
        <w:rPr>
          <w:i/>
        </w:rPr>
        <w:t xml:space="preserve">eport of Secretary Metcalf on the </w:t>
      </w:r>
      <w:r>
        <w:rPr>
          <w:i/>
        </w:rPr>
        <w:t>S</w:t>
      </w:r>
      <w:r w:rsidRPr="004A0B39">
        <w:rPr>
          <w:i/>
        </w:rPr>
        <w:t xml:space="preserve">ituation </w:t>
      </w:r>
      <w:r>
        <w:rPr>
          <w:i/>
        </w:rPr>
        <w:t>A</w:t>
      </w:r>
      <w:r w:rsidRPr="004A0B39">
        <w:rPr>
          <w:i/>
        </w:rPr>
        <w:t>ffecting the Japanese in the City of San Francisco Cal.</w:t>
      </w:r>
      <w:r>
        <w:t xml:space="preserve">, </w:t>
      </w:r>
      <w:r w:rsidRPr="00F32055">
        <w:rPr>
          <w:smallCaps/>
        </w:rPr>
        <w:t xml:space="preserve">S. Doc. No. </w:t>
      </w:r>
      <w:r>
        <w:t xml:space="preserve">59-147, at 7 (Dec. 16, 1906) (noting that “[a] boycott was maintained in San Francisco from October 3 to October 24 by members of the Cooks and Waiters’ Union against Japanese restaurants.”)  However, it was part of a larger effort; according to the report, the Japanese and Korean Exclusion League had requested “all affiliated unions to enforce the penalties imposed by their laws for patronizing Japanese or Chinese.” </w:t>
      </w:r>
      <w:r w:rsidRPr="00941D49">
        <w:rPr>
          <w:i/>
        </w:rPr>
        <w:t>Id</w:t>
      </w:r>
      <w:r>
        <w:t>. at 8.</w:t>
      </w:r>
    </w:p>
  </w:footnote>
  <w:footnote w:id="73">
    <w:p w14:paraId="5D512CFF" w14:textId="77777777" w:rsidR="00501D78" w:rsidRPr="00E343EA" w:rsidRDefault="00501D78" w:rsidP="00A7697D">
      <w:pPr>
        <w:pStyle w:val="FootnoteText"/>
      </w:pPr>
      <w:r w:rsidRPr="00E343EA">
        <w:rPr>
          <w:rStyle w:val="FootnoteReference"/>
        </w:rPr>
        <w:footnoteRef/>
      </w:r>
      <w:r w:rsidRPr="00E343EA">
        <w:t xml:space="preserve"> 25 </w:t>
      </w:r>
      <w:r w:rsidRPr="00E343EA">
        <w:rPr>
          <w:smallCaps/>
        </w:rPr>
        <w:t>Mixer &amp; Server</w:t>
      </w:r>
      <w:r w:rsidRPr="00E343EA">
        <w:t xml:space="preserve"> No. 6, June 15, 1916</w:t>
      </w:r>
      <w:r>
        <w:t>,</w:t>
      </w:r>
      <w:r w:rsidRPr="00E343EA">
        <w:t xml:space="preserve"> at 56</w:t>
      </w:r>
      <w:r>
        <w:t xml:space="preserve"> (noting </w:t>
      </w:r>
      <w:r w:rsidRPr="00AD652D">
        <w:t>“the blighting effect of low wages and the rapid decaying process which sets in on the vitals of a community wherever the Oriental hand of avariciousness and cheap living gets its grip.”</w:t>
      </w:r>
      <w:r>
        <w:t>)</w:t>
      </w:r>
    </w:p>
  </w:footnote>
  <w:footnote w:id="74">
    <w:p w14:paraId="119731DB" w14:textId="77777777" w:rsidR="00501D78" w:rsidRDefault="00501D78" w:rsidP="00A7697D">
      <w:pPr>
        <w:pStyle w:val="FootnoteText"/>
      </w:pPr>
      <w:r>
        <w:rPr>
          <w:rStyle w:val="FootnoteReference"/>
        </w:rPr>
        <w:footnoteRef/>
      </w:r>
      <w:r>
        <w:t xml:space="preserve"> </w:t>
      </w:r>
      <w:r w:rsidRPr="00E343EA">
        <w:rPr>
          <w:i/>
        </w:rPr>
        <w:t>Boycott Them</w:t>
      </w:r>
      <w:r w:rsidRPr="00E343EA">
        <w:t xml:space="preserve">, </w:t>
      </w:r>
      <w:r w:rsidRPr="00E343EA">
        <w:rPr>
          <w:smallCaps/>
        </w:rPr>
        <w:t>Daily Tombstone</w:t>
      </w:r>
      <w:r w:rsidRPr="00E343EA">
        <w:t>, Mar. 15, 1886, at 3 (</w:t>
      </w:r>
      <w:r>
        <w:t>“</w:t>
      </w:r>
      <w:r w:rsidRPr="00E343EA">
        <w:t>There are today three Chinese restaurants in Willcox, all doing good business, while the two hotels in our town, conducted by ladies of our own race and color, are driven to the wall.  Close the Chinese restaurants and our hotels would at once do a better business and could afford a better service.</w:t>
      </w:r>
      <w:r>
        <w:t>”</w:t>
      </w:r>
      <w:r w:rsidRPr="00E343EA">
        <w:t>)</w:t>
      </w:r>
    </w:p>
  </w:footnote>
  <w:footnote w:id="75">
    <w:p w14:paraId="5E7F672F" w14:textId="1CDF65F0" w:rsidR="00501D78" w:rsidRDefault="00501D78">
      <w:pPr>
        <w:pStyle w:val="FootnoteText"/>
      </w:pPr>
      <w:r>
        <w:rPr>
          <w:rStyle w:val="FootnoteReference"/>
        </w:rPr>
        <w:footnoteRef/>
      </w:r>
      <w:r>
        <w:t xml:space="preserve"> </w:t>
      </w:r>
      <w:r w:rsidRPr="00E343EA">
        <w:rPr>
          <w:i/>
        </w:rPr>
        <w:t>Special Message on Jap Question</w:t>
      </w:r>
      <w:r w:rsidRPr="00E343EA">
        <w:t xml:space="preserve">, </w:t>
      </w:r>
      <w:r w:rsidRPr="00E343EA">
        <w:rPr>
          <w:smallCaps/>
        </w:rPr>
        <w:t>Santa Fe N</w:t>
      </w:r>
      <w:r>
        <w:rPr>
          <w:smallCaps/>
        </w:rPr>
        <w:t>.</w:t>
      </w:r>
      <w:r w:rsidRPr="00E343EA">
        <w:rPr>
          <w:smallCaps/>
        </w:rPr>
        <w:t>M</w:t>
      </w:r>
      <w:r>
        <w:rPr>
          <w:smallCaps/>
        </w:rPr>
        <w:t>.</w:t>
      </w:r>
      <w:r w:rsidRPr="00E343EA">
        <w:t xml:space="preserve">, Dec. 18,1906, at 1 (reporting that </w:t>
      </w:r>
      <w:r>
        <w:t>“</w:t>
      </w:r>
      <w:r w:rsidRPr="00E343EA">
        <w:t>The unions of San Francisco from October 3 to October 24, maintained a boycott against Chinese restaurants in San Francisco, showing th</w:t>
      </w:r>
      <w:r>
        <w:t>e feeling of the working class”).</w:t>
      </w:r>
    </w:p>
  </w:footnote>
  <w:footnote w:id="76">
    <w:p w14:paraId="1DD5D192" w14:textId="2567DB2E" w:rsidR="00501D78" w:rsidRPr="00E343EA" w:rsidRDefault="00501D78" w:rsidP="000C2616">
      <w:pPr>
        <w:pStyle w:val="FootnoteText"/>
      </w:pPr>
      <w:r w:rsidRPr="00E343EA">
        <w:rPr>
          <w:rStyle w:val="FootnoteReference"/>
        </w:rPr>
        <w:footnoteRef/>
      </w:r>
      <w:r w:rsidRPr="00E343EA">
        <w:t xml:space="preserve"> 20 </w:t>
      </w:r>
      <w:r w:rsidRPr="00E343EA">
        <w:rPr>
          <w:smallCaps/>
        </w:rPr>
        <w:t>Mixer &amp; Server</w:t>
      </w:r>
      <w:r w:rsidRPr="00E343EA">
        <w:t xml:space="preserve"> No. 11, Nov. 15, 1911 at 22. </w:t>
      </w:r>
      <w:r w:rsidRPr="00E343EA">
        <w:rPr>
          <w:i/>
        </w:rPr>
        <w:t>See also Refuse to Make Arrests</w:t>
      </w:r>
      <w:r w:rsidRPr="00E343EA">
        <w:t xml:space="preserve">, </w:t>
      </w:r>
      <w:r>
        <w:rPr>
          <w:smallCaps/>
        </w:rPr>
        <w:t>Bos.</w:t>
      </w:r>
      <w:r w:rsidRPr="00E343EA">
        <w:rPr>
          <w:smallCaps/>
        </w:rPr>
        <w:t xml:space="preserve"> Daily Globe, </w:t>
      </w:r>
      <w:r w:rsidRPr="00E343EA">
        <w:t xml:space="preserve">Nov. 22, 1911, at 10.  Circulars were also sent out to </w:t>
      </w:r>
      <w:r>
        <w:t>“</w:t>
      </w:r>
      <w:r w:rsidRPr="00E343EA">
        <w:t>each and every member or organized labor</w:t>
      </w:r>
      <w:r>
        <w:t>”</w:t>
      </w:r>
      <w:r w:rsidRPr="00E343EA">
        <w:t xml:space="preserve"> asking them to avoid patronizing the restaurants. 20 </w:t>
      </w:r>
      <w:r w:rsidRPr="00E343EA">
        <w:rPr>
          <w:smallCaps/>
        </w:rPr>
        <w:t>Mixer &amp; Server</w:t>
      </w:r>
      <w:r w:rsidRPr="00E343EA">
        <w:t xml:space="preserve"> No. 12, Dec. 15, 1911 at 16-17</w:t>
      </w:r>
      <w:r>
        <w:t>;</w:t>
      </w:r>
      <w:r w:rsidRPr="00E343EA">
        <w:t xml:space="preserve"> 21 </w:t>
      </w:r>
      <w:r w:rsidRPr="00E343EA">
        <w:rPr>
          <w:smallCaps/>
        </w:rPr>
        <w:t>Mixer &amp; Server</w:t>
      </w:r>
      <w:r w:rsidRPr="00E343EA">
        <w:t xml:space="preserve"> No. 1, Jan. 15, 1912</w:t>
      </w:r>
      <w:r>
        <w:t>,</w:t>
      </w:r>
      <w:r w:rsidRPr="00E343EA">
        <w:t xml:space="preserve"> at 17.</w:t>
      </w:r>
      <w:r>
        <w:t xml:space="preserve"> </w:t>
      </w:r>
      <w:r w:rsidRPr="009C31C0">
        <w:rPr>
          <w:i/>
        </w:rPr>
        <w:t>See also Labor Declares War on Chinese Restaurants</w:t>
      </w:r>
      <w:r>
        <w:t xml:space="preserve">, </w:t>
      </w:r>
      <w:r w:rsidRPr="009C31C0">
        <w:rPr>
          <w:smallCaps/>
        </w:rPr>
        <w:t>Wash</w:t>
      </w:r>
      <w:r>
        <w:rPr>
          <w:smallCaps/>
        </w:rPr>
        <w:t>.</w:t>
      </w:r>
      <w:r w:rsidRPr="009C31C0">
        <w:rPr>
          <w:smallCaps/>
        </w:rPr>
        <w:t xml:space="preserve"> Times</w:t>
      </w:r>
      <w:r>
        <w:t>, Feb, 17, 1913, at 7.</w:t>
      </w:r>
    </w:p>
  </w:footnote>
  <w:footnote w:id="77">
    <w:p w14:paraId="284A7428" w14:textId="710531E5" w:rsidR="00501D78" w:rsidRDefault="00501D78">
      <w:pPr>
        <w:pStyle w:val="FootnoteText"/>
      </w:pPr>
      <w:r>
        <w:rPr>
          <w:rStyle w:val="FootnoteReference"/>
        </w:rPr>
        <w:footnoteRef/>
      </w:r>
      <w:r>
        <w:t xml:space="preserve"> </w:t>
      </w:r>
      <w:r w:rsidRPr="00FC3AE8">
        <w:rPr>
          <w:smallCaps/>
        </w:rPr>
        <w:t>Sherri Gebert Fuller, Chinese in Minnesota</w:t>
      </w:r>
      <w:r>
        <w:t xml:space="preserve"> 19 (2004).</w:t>
      </w:r>
    </w:p>
  </w:footnote>
  <w:footnote w:id="78">
    <w:p w14:paraId="3F0718B0" w14:textId="2C21A30D" w:rsidR="00501D78" w:rsidRPr="00E343EA" w:rsidRDefault="00501D78" w:rsidP="003410A5">
      <w:pPr>
        <w:pStyle w:val="FootnoteText"/>
      </w:pPr>
      <w:r w:rsidRPr="00E343EA">
        <w:rPr>
          <w:rStyle w:val="FootnoteReference"/>
        </w:rPr>
        <w:footnoteRef/>
      </w:r>
      <w:r w:rsidRPr="00E343EA">
        <w:t xml:space="preserve"> </w:t>
      </w:r>
      <w:r w:rsidRPr="00E343EA">
        <w:rPr>
          <w:i/>
        </w:rPr>
        <w:t>Boycott Against Chinese Stopped</w:t>
      </w:r>
      <w:r w:rsidRPr="00E343EA">
        <w:t xml:space="preserve">, </w:t>
      </w:r>
      <w:r w:rsidRPr="00E343EA">
        <w:rPr>
          <w:smallCaps/>
        </w:rPr>
        <w:t>Indianapolis J.</w:t>
      </w:r>
      <w:r w:rsidRPr="00E343EA">
        <w:t xml:space="preserve">, Apr. 22, 1902, at 4.  </w:t>
      </w:r>
      <w:r w:rsidRPr="00E343EA">
        <w:rPr>
          <w:i/>
        </w:rPr>
        <w:t>See also</w:t>
      </w:r>
      <w:r w:rsidRPr="00E343EA">
        <w:t xml:space="preserve"> </w:t>
      </w:r>
      <w:r w:rsidRPr="00E343EA">
        <w:rPr>
          <w:i/>
        </w:rPr>
        <w:t>Organized Labor is Enjoined by Court</w:t>
      </w:r>
      <w:r w:rsidRPr="00E343EA">
        <w:t xml:space="preserve">, </w:t>
      </w:r>
      <w:r w:rsidRPr="00F32055">
        <w:rPr>
          <w:smallCaps/>
        </w:rPr>
        <w:t>Lab. World</w:t>
      </w:r>
      <w:r w:rsidRPr="00E343EA">
        <w:t xml:space="preserve">, Dec. 26, 1903, at 1; </w:t>
      </w:r>
      <w:r w:rsidRPr="00E343EA">
        <w:rPr>
          <w:i/>
        </w:rPr>
        <w:t>More Pickets Enjoined: Wong Chong Gets an Order</w:t>
      </w:r>
      <w:r w:rsidRPr="00E343EA">
        <w:t xml:space="preserve">, </w:t>
      </w:r>
      <w:r w:rsidRPr="00E343EA">
        <w:rPr>
          <w:smallCaps/>
        </w:rPr>
        <w:t>Minneapolis</w:t>
      </w:r>
      <w:r w:rsidRPr="00E343EA">
        <w:t xml:space="preserve"> J., Apr. 19, 1902, at 6; </w:t>
      </w:r>
      <w:r w:rsidRPr="00E343EA">
        <w:rPr>
          <w:i/>
        </w:rPr>
        <w:t>Threatens to Sue: Ye Sing may Fight Boycott in the Courts</w:t>
      </w:r>
      <w:r w:rsidRPr="00E343EA">
        <w:t xml:space="preserve">, </w:t>
      </w:r>
      <w:r w:rsidRPr="00E343EA">
        <w:rPr>
          <w:smallCaps/>
        </w:rPr>
        <w:t>Minneapolis J.</w:t>
      </w:r>
      <w:r w:rsidRPr="00E343EA">
        <w:t>, Mar. 24, 1902</w:t>
      </w:r>
      <w:r>
        <w:t>,</w:t>
      </w:r>
      <w:r w:rsidRPr="00E343EA">
        <w:t xml:space="preserve"> at 7.</w:t>
      </w:r>
    </w:p>
  </w:footnote>
  <w:footnote w:id="79">
    <w:p w14:paraId="66E2CC99" w14:textId="26336C88" w:rsidR="00501D78" w:rsidRPr="00E343EA" w:rsidRDefault="00501D78" w:rsidP="00BC5299">
      <w:pPr>
        <w:pStyle w:val="FootnoteText"/>
      </w:pPr>
      <w:r w:rsidRPr="00E343EA">
        <w:rPr>
          <w:rStyle w:val="FootnoteReference"/>
        </w:rPr>
        <w:footnoteRef/>
      </w:r>
      <w:r>
        <w:t xml:space="preserve"> </w:t>
      </w:r>
      <w:r w:rsidRPr="00E343EA">
        <w:rPr>
          <w:i/>
        </w:rPr>
        <w:t>Waiters form Union</w:t>
      </w:r>
      <w:r w:rsidRPr="00E343EA">
        <w:t xml:space="preserve">, </w:t>
      </w:r>
      <w:r>
        <w:rPr>
          <w:smallCaps/>
        </w:rPr>
        <w:t>Billings Gazette (</w:t>
      </w:r>
      <w:r w:rsidRPr="00F32055">
        <w:t>Mont.</w:t>
      </w:r>
      <w:r w:rsidRPr="00E343EA">
        <w:rPr>
          <w:smallCaps/>
        </w:rPr>
        <w:t>),</w:t>
      </w:r>
      <w:r w:rsidRPr="00E343EA">
        <w:t xml:space="preserve"> Feb. 22, 1907, at 7 (</w:t>
      </w:r>
      <w:r>
        <w:t>“</w:t>
      </w:r>
      <w:r w:rsidRPr="00E343EA">
        <w:t>[I]t is understood that the main object of the association will be to do all in their power to discontinue the Chinese restaurants throughout the city</w:t>
      </w:r>
      <w:r>
        <w:t>”</w:t>
      </w:r>
      <w:r w:rsidRPr="00E343EA">
        <w:t xml:space="preserve">);  </w:t>
      </w:r>
      <w:r w:rsidRPr="00E343EA">
        <w:rPr>
          <w:i/>
        </w:rPr>
        <w:t>After the Chinese</w:t>
      </w:r>
      <w:r>
        <w:rPr>
          <w:i/>
        </w:rPr>
        <w:t xml:space="preserve">, supra </w:t>
      </w:r>
      <w:r w:rsidRPr="0098114C">
        <w:t xml:space="preserve">note </w:t>
      </w:r>
      <w:r w:rsidRPr="0098114C">
        <w:fldChar w:fldCharType="begin"/>
      </w:r>
      <w:r w:rsidRPr="0098114C">
        <w:instrText xml:space="preserve"> NOTEREF _Ref476152986 \h </w:instrText>
      </w:r>
      <w:r>
        <w:instrText xml:space="preserve"> \* MERGEFORMAT </w:instrText>
      </w:r>
      <w:r w:rsidRPr="0098114C">
        <w:fldChar w:fldCharType="separate"/>
      </w:r>
      <w:r w:rsidR="008A4890">
        <w:t>1</w:t>
      </w:r>
      <w:r w:rsidRPr="0098114C">
        <w:fldChar w:fldCharType="end"/>
      </w:r>
      <w:r w:rsidRPr="00E343EA">
        <w:t>, at 3</w:t>
      </w:r>
      <w:r>
        <w:t>;</w:t>
      </w:r>
      <w:r w:rsidRPr="0091427F">
        <w:rPr>
          <w:i/>
        </w:rPr>
        <w:t xml:space="preserve"> </w:t>
      </w:r>
      <w:r w:rsidRPr="00E343EA">
        <w:rPr>
          <w:i/>
        </w:rPr>
        <w:t>Local Comment</w:t>
      </w:r>
      <w:r w:rsidRPr="00E343EA">
        <w:t xml:space="preserve">, </w:t>
      </w:r>
      <w:r>
        <w:rPr>
          <w:smallCaps/>
        </w:rPr>
        <w:t>The New North-West (</w:t>
      </w:r>
      <w:r w:rsidRPr="00F32055">
        <w:t>Mont.</w:t>
      </w:r>
      <w:r w:rsidRPr="00E343EA">
        <w:rPr>
          <w:smallCaps/>
        </w:rPr>
        <w:t>)</w:t>
      </w:r>
      <w:r w:rsidRPr="00E343EA">
        <w:t>, Apr. 30, 1892, at 5 (</w:t>
      </w:r>
      <w:r>
        <w:t>“</w:t>
      </w:r>
      <w:r w:rsidRPr="00E343EA">
        <w:t>The two remaining Chinese restaurants have at last been frozen out of Deer Lodge</w:t>
      </w:r>
      <w:r>
        <w:t>”</w:t>
      </w:r>
      <w:r w:rsidRPr="00E343EA">
        <w:t>)</w:t>
      </w:r>
      <w:r>
        <w:t>.</w:t>
      </w:r>
      <w:r w:rsidRPr="00413E19">
        <w:rPr>
          <w:i/>
        </w:rPr>
        <w:t xml:space="preserve"> </w:t>
      </w:r>
      <w:r w:rsidRPr="00E343EA">
        <w:rPr>
          <w:i/>
        </w:rPr>
        <w:t xml:space="preserve">See </w:t>
      </w:r>
      <w:r>
        <w:rPr>
          <w:i/>
        </w:rPr>
        <w:t xml:space="preserve">generally </w:t>
      </w:r>
      <w:r>
        <w:t xml:space="preserve">Stacy A. Flaherty, </w:t>
      </w:r>
      <w:r w:rsidRPr="008A4E63">
        <w:rPr>
          <w:i/>
        </w:rPr>
        <w:t xml:space="preserve">Boycott in </w:t>
      </w:r>
      <w:r>
        <w:rPr>
          <w:i/>
        </w:rPr>
        <w:t>B</w:t>
      </w:r>
      <w:r w:rsidRPr="008A4E63">
        <w:rPr>
          <w:i/>
        </w:rPr>
        <w:t>utte: Organized Labor and the Chinese Community, 1896-1897</w:t>
      </w:r>
      <w:r>
        <w:t xml:space="preserve">, 37 </w:t>
      </w:r>
      <w:r w:rsidRPr="008A4E63">
        <w:rPr>
          <w:smallCaps/>
        </w:rPr>
        <w:t>Montana: The Magazine of W. Hist.</w:t>
      </w:r>
      <w:r>
        <w:t xml:space="preserve"> No. 1 34 (Winter 1987);</w:t>
      </w:r>
      <w:r w:rsidRPr="0090495E">
        <w:rPr>
          <w:i/>
        </w:rPr>
        <w:t xml:space="preserve"> </w:t>
      </w:r>
      <w:r w:rsidRPr="00E343EA">
        <w:t xml:space="preserve">Larry D. Quinn, </w:t>
      </w:r>
      <w:r>
        <w:rPr>
          <w:i/>
        </w:rPr>
        <w:t>“</w:t>
      </w:r>
      <w:r w:rsidRPr="00E343EA">
        <w:rPr>
          <w:i/>
        </w:rPr>
        <w:t>Chink Chink Chinaman</w:t>
      </w:r>
      <w:r>
        <w:rPr>
          <w:i/>
        </w:rPr>
        <w:t>”</w:t>
      </w:r>
      <w:r w:rsidRPr="00E343EA">
        <w:rPr>
          <w:i/>
        </w:rPr>
        <w:t>: The Beginning of Nativism in Montana</w:t>
      </w:r>
      <w:r w:rsidRPr="00E343EA">
        <w:t xml:space="preserve">, 58 </w:t>
      </w:r>
      <w:r w:rsidRPr="00E343EA">
        <w:rPr>
          <w:smallCaps/>
        </w:rPr>
        <w:t>Pac. Nw. Q.</w:t>
      </w:r>
      <w:r w:rsidRPr="00E343EA">
        <w:t xml:space="preserve"> No. 2, 82-87 (Apr. 1967).</w:t>
      </w:r>
    </w:p>
  </w:footnote>
  <w:footnote w:id="80">
    <w:p w14:paraId="6DFB9ABE" w14:textId="2B3E8624" w:rsidR="00501D78" w:rsidRDefault="00501D78">
      <w:pPr>
        <w:pStyle w:val="FootnoteText"/>
      </w:pPr>
      <w:r>
        <w:rPr>
          <w:rStyle w:val="FootnoteReference"/>
        </w:rPr>
        <w:footnoteRef/>
      </w:r>
      <w:r>
        <w:t xml:space="preserve"> </w:t>
      </w:r>
      <w:r w:rsidRPr="00E343EA">
        <w:rPr>
          <w:i/>
        </w:rPr>
        <w:t>Card to the Public</w:t>
      </w:r>
      <w:r w:rsidRPr="00E343EA">
        <w:t xml:space="preserve">, </w:t>
      </w:r>
      <w:r w:rsidRPr="00F32055">
        <w:rPr>
          <w:i/>
        </w:rPr>
        <w:t>supra</w:t>
      </w:r>
      <w:r w:rsidRPr="00F32055">
        <w:t xml:space="preserve"> note </w:t>
      </w:r>
      <w:r>
        <w:fldChar w:fldCharType="begin"/>
      </w:r>
      <w:r>
        <w:instrText xml:space="preserve"> NOTEREF _Ref476153885 \h </w:instrText>
      </w:r>
      <w:r>
        <w:fldChar w:fldCharType="separate"/>
      </w:r>
      <w:r w:rsidR="008A4890">
        <w:t>4</w:t>
      </w:r>
      <w:r>
        <w:fldChar w:fldCharType="end"/>
      </w:r>
      <w:r>
        <w:t>,</w:t>
      </w:r>
      <w:r w:rsidRPr="00E343EA">
        <w:t xml:space="preserve"> at 6 (ad from union encouraging readers </w:t>
      </w:r>
      <w:r>
        <w:t>“</w:t>
      </w:r>
      <w:r w:rsidRPr="00E343EA">
        <w:t>to cease their patronage of Chinese restaurants, laundrys, and all places where Chinese labor is employed, thus giving our own race a chance to live.</w:t>
      </w:r>
      <w:r>
        <w:t>”).</w:t>
      </w:r>
    </w:p>
  </w:footnote>
  <w:footnote w:id="81">
    <w:p w14:paraId="6E190A5E" w14:textId="3533B7EA" w:rsidR="00501D78" w:rsidRDefault="00501D78">
      <w:pPr>
        <w:pStyle w:val="FootnoteText"/>
      </w:pPr>
      <w:r>
        <w:rPr>
          <w:rStyle w:val="FootnoteReference"/>
        </w:rPr>
        <w:footnoteRef/>
      </w:r>
      <w:r>
        <w:t xml:space="preserve"> </w:t>
      </w:r>
      <w:r w:rsidRPr="00E343EA">
        <w:t>Park v. Hotel &amp; Rest. Emp. Int</w:t>
      </w:r>
      <w:r>
        <w:t>’</w:t>
      </w:r>
      <w:r w:rsidRPr="00E343EA">
        <w:t>l Alliance, (Locals Nos. 106, 107, 108, 167), 30 Ohio Dec. 64, 66 (Ct. Com. Pleas 1919).</w:t>
      </w:r>
    </w:p>
  </w:footnote>
  <w:footnote w:id="82">
    <w:p w14:paraId="4AAFE313" w14:textId="462ED847" w:rsidR="00501D78" w:rsidRPr="00E343EA" w:rsidRDefault="00501D78" w:rsidP="00BD5BE0">
      <w:pPr>
        <w:rPr>
          <w:sz w:val="20"/>
          <w:szCs w:val="20"/>
        </w:rPr>
      </w:pPr>
      <w:r w:rsidRPr="00E343EA">
        <w:rPr>
          <w:rStyle w:val="FootnoteReference"/>
          <w:sz w:val="20"/>
          <w:szCs w:val="20"/>
        </w:rPr>
        <w:footnoteRef/>
      </w:r>
      <w:r w:rsidRPr="00E343EA">
        <w:rPr>
          <w:sz w:val="20"/>
          <w:szCs w:val="20"/>
        </w:rPr>
        <w:t xml:space="preserve"> 23 </w:t>
      </w:r>
      <w:r w:rsidRPr="00E343EA">
        <w:rPr>
          <w:smallCaps/>
          <w:sz w:val="20"/>
          <w:szCs w:val="20"/>
        </w:rPr>
        <w:t>Mixer &amp;</w:t>
      </w:r>
      <w:r w:rsidRPr="00C16AED">
        <w:rPr>
          <w:smallCaps/>
          <w:sz w:val="20"/>
          <w:szCs w:val="20"/>
        </w:rPr>
        <w:t xml:space="preserve"> Server</w:t>
      </w:r>
      <w:r w:rsidRPr="00C16AED">
        <w:rPr>
          <w:sz w:val="20"/>
          <w:szCs w:val="20"/>
        </w:rPr>
        <w:t xml:space="preserve"> No. 7, July 15, 1914, at 71-72; </w:t>
      </w:r>
      <w:r>
        <w:rPr>
          <w:sz w:val="20"/>
          <w:szCs w:val="20"/>
        </w:rPr>
        <w:t>22</w:t>
      </w:r>
      <w:r w:rsidRPr="00C16AED">
        <w:rPr>
          <w:sz w:val="20"/>
          <w:szCs w:val="20"/>
        </w:rPr>
        <w:t xml:space="preserve"> </w:t>
      </w:r>
      <w:r w:rsidRPr="00C16AED">
        <w:rPr>
          <w:smallCaps/>
          <w:sz w:val="20"/>
          <w:szCs w:val="20"/>
        </w:rPr>
        <w:t>Mixer &amp; Server</w:t>
      </w:r>
      <w:r w:rsidRPr="00C16AED">
        <w:rPr>
          <w:sz w:val="20"/>
          <w:szCs w:val="20"/>
        </w:rPr>
        <w:t xml:space="preserve"> No. 1</w:t>
      </w:r>
      <w:r>
        <w:rPr>
          <w:sz w:val="20"/>
          <w:szCs w:val="20"/>
        </w:rPr>
        <w:t>2</w:t>
      </w:r>
      <w:r w:rsidRPr="00C16AED">
        <w:rPr>
          <w:sz w:val="20"/>
          <w:szCs w:val="20"/>
        </w:rPr>
        <w:t xml:space="preserve">, </w:t>
      </w:r>
      <w:r>
        <w:rPr>
          <w:sz w:val="20"/>
          <w:szCs w:val="20"/>
        </w:rPr>
        <w:t>Dec</w:t>
      </w:r>
      <w:r w:rsidRPr="00C16AED">
        <w:rPr>
          <w:sz w:val="20"/>
          <w:szCs w:val="20"/>
        </w:rPr>
        <w:t>. 15, 19</w:t>
      </w:r>
      <w:r>
        <w:rPr>
          <w:sz w:val="20"/>
          <w:szCs w:val="20"/>
        </w:rPr>
        <w:t>13</w:t>
      </w:r>
      <w:r w:rsidRPr="00C16AED">
        <w:rPr>
          <w:sz w:val="20"/>
          <w:szCs w:val="20"/>
        </w:rPr>
        <w:t xml:space="preserve">, at </w:t>
      </w:r>
      <w:r>
        <w:rPr>
          <w:sz w:val="20"/>
          <w:szCs w:val="20"/>
        </w:rPr>
        <w:t>4</w:t>
      </w:r>
      <w:r w:rsidRPr="00C16AED">
        <w:rPr>
          <w:sz w:val="20"/>
          <w:szCs w:val="20"/>
        </w:rPr>
        <w:t>9.</w:t>
      </w:r>
    </w:p>
  </w:footnote>
  <w:footnote w:id="83">
    <w:p w14:paraId="2EB62548" w14:textId="1DD77467" w:rsidR="00501D78" w:rsidRPr="00E343EA" w:rsidRDefault="00501D78" w:rsidP="00B06E49">
      <w:pPr>
        <w:pStyle w:val="FootnoteText"/>
      </w:pPr>
      <w:r w:rsidRPr="00E343EA">
        <w:rPr>
          <w:rStyle w:val="FootnoteReference"/>
        </w:rPr>
        <w:footnoteRef/>
      </w:r>
      <w:r w:rsidRPr="00E343EA">
        <w:t xml:space="preserve"> 12 </w:t>
      </w:r>
      <w:r w:rsidRPr="00E343EA">
        <w:rPr>
          <w:smallCaps/>
        </w:rPr>
        <w:t>Mixer &amp; Server</w:t>
      </w:r>
      <w:r w:rsidRPr="00E343EA">
        <w:t xml:space="preserve"> No. 4, </w:t>
      </w:r>
      <w:r>
        <w:t>Apr.</w:t>
      </w:r>
      <w:r w:rsidRPr="00E343EA">
        <w:t xml:space="preserve"> 15, 1903</w:t>
      </w:r>
      <w:r>
        <w:t>,</w:t>
      </w:r>
      <w:r w:rsidRPr="00E343EA">
        <w:t xml:space="preserve"> at 20</w:t>
      </w:r>
      <w:r>
        <w:t xml:space="preserve"> (</w:t>
      </w:r>
      <w:r w:rsidRPr="00AD652D">
        <w:t>promis</w:t>
      </w:r>
      <w:r>
        <w:t>ing</w:t>
      </w:r>
      <w:r w:rsidRPr="00AD652D">
        <w:t xml:space="preserve"> “a hot chase after the scalp of Chinks and Japs”</w:t>
      </w:r>
      <w:r>
        <w:t>).</w:t>
      </w:r>
    </w:p>
  </w:footnote>
  <w:footnote w:id="84">
    <w:p w14:paraId="19F8CB30" w14:textId="77777777" w:rsidR="00501D78" w:rsidRPr="00E343EA" w:rsidRDefault="00501D78" w:rsidP="000C2616">
      <w:pPr>
        <w:rPr>
          <w:sz w:val="20"/>
          <w:szCs w:val="20"/>
        </w:rPr>
      </w:pPr>
      <w:r w:rsidRPr="00E343EA">
        <w:rPr>
          <w:rStyle w:val="FootnoteReference"/>
          <w:sz w:val="20"/>
          <w:szCs w:val="20"/>
        </w:rPr>
        <w:footnoteRef/>
      </w:r>
      <w:r w:rsidRPr="00E343EA">
        <w:rPr>
          <w:sz w:val="20"/>
          <w:szCs w:val="20"/>
        </w:rPr>
        <w:t xml:space="preserve"> 25 </w:t>
      </w:r>
      <w:r w:rsidRPr="00E343EA">
        <w:rPr>
          <w:smallCaps/>
          <w:sz w:val="20"/>
          <w:szCs w:val="20"/>
        </w:rPr>
        <w:t>Mixer &amp; Server</w:t>
      </w:r>
      <w:r w:rsidRPr="00E343EA">
        <w:rPr>
          <w:sz w:val="20"/>
          <w:szCs w:val="20"/>
        </w:rPr>
        <w:t xml:space="preserve"> No. 5, May 15, 1916</w:t>
      </w:r>
      <w:r>
        <w:rPr>
          <w:sz w:val="20"/>
          <w:szCs w:val="20"/>
        </w:rPr>
        <w:t>,</w:t>
      </w:r>
      <w:r w:rsidRPr="00E343EA">
        <w:rPr>
          <w:sz w:val="20"/>
          <w:szCs w:val="20"/>
        </w:rPr>
        <w:t xml:space="preserve"> at 23.</w:t>
      </w:r>
    </w:p>
  </w:footnote>
  <w:footnote w:id="85">
    <w:p w14:paraId="4736DEF5" w14:textId="1AAAAE4E" w:rsidR="00501D78" w:rsidRPr="00E343EA" w:rsidRDefault="00501D78" w:rsidP="00B06E49">
      <w:pPr>
        <w:pStyle w:val="FootnoteText"/>
      </w:pPr>
      <w:r w:rsidRPr="00E343EA">
        <w:rPr>
          <w:rStyle w:val="FootnoteReference"/>
        </w:rPr>
        <w:footnoteRef/>
      </w:r>
      <w:r w:rsidRPr="00E343EA">
        <w:t xml:space="preserve"> </w:t>
      </w:r>
      <w:r w:rsidRPr="00E343EA">
        <w:rPr>
          <w:i/>
        </w:rPr>
        <w:t>See</w:t>
      </w:r>
      <w:r>
        <w:rPr>
          <w:i/>
        </w:rPr>
        <w:t xml:space="preserve"> </w:t>
      </w:r>
      <w:r w:rsidRPr="00B347AD">
        <w:rPr>
          <w:smallCaps/>
        </w:rPr>
        <w:t>Chen</w:t>
      </w:r>
      <w:r w:rsidRPr="00B347AD">
        <w:t>,</w:t>
      </w:r>
      <w:r>
        <w:rPr>
          <w:i/>
        </w:rPr>
        <w:t xml:space="preserve"> supra</w:t>
      </w:r>
      <w:r w:rsidRPr="00B347AD">
        <w:t xml:space="preserve"> note</w:t>
      </w:r>
      <w:r>
        <w:t xml:space="preserve"> </w:t>
      </w:r>
      <w:r>
        <w:fldChar w:fldCharType="begin"/>
      </w:r>
      <w:r>
        <w:instrText xml:space="preserve"> NOTEREF _Ref475540046 \h </w:instrText>
      </w:r>
      <w:r>
        <w:fldChar w:fldCharType="separate"/>
      </w:r>
      <w:r w:rsidR="008A4890">
        <w:t>2</w:t>
      </w:r>
      <w:r>
        <w:fldChar w:fldCharType="end"/>
      </w:r>
      <w:r>
        <w:t xml:space="preserve">, at 127-29 (discussing affordability and generous portions of Chinese restaurant meals); </w:t>
      </w:r>
      <w:r w:rsidRPr="00B347AD">
        <w:t xml:space="preserve"> </w:t>
      </w:r>
      <w:r w:rsidRPr="00C31B4E">
        <w:rPr>
          <w:smallCaps/>
        </w:rPr>
        <w:t xml:space="preserve">Liu, </w:t>
      </w:r>
      <w:r w:rsidRPr="00007C78">
        <w:rPr>
          <w:i/>
        </w:rPr>
        <w:t>supra</w:t>
      </w:r>
      <w:r w:rsidRPr="00007C78">
        <w:t xml:space="preserve"> note </w:t>
      </w:r>
      <w:r>
        <w:fldChar w:fldCharType="begin"/>
      </w:r>
      <w:r>
        <w:instrText xml:space="preserve"> NOTEREF _Ref475451534 \h </w:instrText>
      </w:r>
      <w:r>
        <w:fldChar w:fldCharType="separate"/>
      </w:r>
      <w:r w:rsidR="008A4890">
        <w:t>2</w:t>
      </w:r>
      <w:r>
        <w:fldChar w:fldCharType="end"/>
      </w:r>
      <w:r w:rsidRPr="00007C78">
        <w:t>, at</w:t>
      </w:r>
      <w:r w:rsidRPr="00BB077C">
        <w:t xml:space="preserve"> </w:t>
      </w:r>
      <w:r>
        <w:t>53 (“Chop suey’s marketability was due to its modest price”)</w:t>
      </w:r>
      <w:r w:rsidRPr="00BB077C">
        <w:t>;</w:t>
      </w:r>
      <w:r w:rsidRPr="00E343EA">
        <w:rPr>
          <w:i/>
        </w:rPr>
        <w:t xml:space="preserve"> Chinese Restaurant Now Night Club </w:t>
      </w:r>
      <w:r>
        <w:rPr>
          <w:i/>
        </w:rPr>
        <w:t>‘</w:t>
      </w:r>
      <w:r w:rsidRPr="00E343EA">
        <w:rPr>
          <w:i/>
        </w:rPr>
        <w:t>Yellow Peril</w:t>
      </w:r>
      <w:r w:rsidRPr="00E343EA">
        <w:t>,</w:t>
      </w:r>
      <w:r>
        <w:rPr>
          <w:i/>
        </w:rPr>
        <w:t>’</w:t>
      </w:r>
      <w:r w:rsidRPr="00E343EA">
        <w:t xml:space="preserve"> </w:t>
      </w:r>
      <w:r w:rsidRPr="00E343EA">
        <w:rPr>
          <w:smallCaps/>
        </w:rPr>
        <w:t xml:space="preserve">Brook. Daily Eagle, </w:t>
      </w:r>
      <w:r w:rsidRPr="00E343EA">
        <w:t>Oct. 31, 1928, at 1, 3 (</w:t>
      </w:r>
      <w:r>
        <w:t>noting</w:t>
      </w:r>
      <w:r w:rsidRPr="00E343EA">
        <w:t xml:space="preserve"> </w:t>
      </w:r>
      <w:r>
        <w:t>“</w:t>
      </w:r>
      <w:r w:rsidRPr="00E343EA">
        <w:t>ridiculously</w:t>
      </w:r>
      <w:r>
        <w:t>”</w:t>
      </w:r>
      <w:r w:rsidRPr="00E343EA">
        <w:t xml:space="preserve"> low prices); 25 </w:t>
      </w:r>
      <w:r w:rsidRPr="00E343EA">
        <w:rPr>
          <w:smallCaps/>
        </w:rPr>
        <w:t>Mixer &amp; Server</w:t>
      </w:r>
      <w:r w:rsidRPr="00E343EA">
        <w:t xml:space="preserve"> No. 5, May 15, 1916</w:t>
      </w:r>
      <w:r>
        <w:t>,</w:t>
      </w:r>
      <w:r w:rsidRPr="00E343EA">
        <w:t xml:space="preserve"> at 23</w:t>
      </w:r>
      <w:r>
        <w:t>;</w:t>
      </w:r>
      <w:r w:rsidRPr="00AF03D7">
        <w:t xml:space="preserve"> </w:t>
      </w:r>
      <w:r w:rsidRPr="00E343EA">
        <w:rPr>
          <w:i/>
        </w:rPr>
        <w:t>Oppose the Chinese: Asiatic Immigration League Members Give Views</w:t>
      </w:r>
      <w:r w:rsidRPr="00E343EA">
        <w:t xml:space="preserve">, </w:t>
      </w:r>
      <w:r w:rsidRPr="00E343EA">
        <w:rPr>
          <w:smallCaps/>
        </w:rPr>
        <w:t>Wash. Evening Star</w:t>
      </w:r>
      <w:r w:rsidRPr="00E343EA">
        <w:t xml:space="preserve">, Aug. 21, 1908 at 4 (noting that </w:t>
      </w:r>
      <w:r>
        <w:t>advocate of immigration restriction “stated that Chinese prices in America are t</w:t>
      </w:r>
      <w:r w:rsidRPr="00E343EA">
        <w:t>oo low for competition by Americans.</w:t>
      </w:r>
      <w:r>
        <w:t>”</w:t>
      </w:r>
      <w:r w:rsidRPr="00E343EA">
        <w:t>)</w:t>
      </w:r>
      <w:r>
        <w:t xml:space="preserve">; </w:t>
      </w:r>
      <w:r w:rsidRPr="00E343EA">
        <w:rPr>
          <w:i/>
        </w:rPr>
        <w:t>Salt Lake City and Neighborhood</w:t>
      </w:r>
      <w:r w:rsidRPr="00E343EA">
        <w:t xml:space="preserve">, </w:t>
      </w:r>
      <w:r w:rsidRPr="00E343EA">
        <w:rPr>
          <w:smallCaps/>
        </w:rPr>
        <w:t>Intermountain Cath.</w:t>
      </w:r>
      <w:r>
        <w:rPr>
          <w:smallCaps/>
        </w:rPr>
        <w:t xml:space="preserve"> </w:t>
      </w:r>
      <w:r w:rsidRPr="00314469">
        <w:t>(Utah),</w:t>
      </w:r>
      <w:r w:rsidRPr="00E343EA">
        <w:rPr>
          <w:smallCaps/>
        </w:rPr>
        <w:t xml:space="preserve"> </w:t>
      </w:r>
      <w:r w:rsidRPr="00E343EA">
        <w:t>Mar. 26, 1904, at 8 (</w:t>
      </w:r>
      <w:r>
        <w:t xml:space="preserve">noting that </w:t>
      </w:r>
      <w:r w:rsidRPr="00E343EA">
        <w:t xml:space="preserve">Chinese restaurants </w:t>
      </w:r>
      <w:r>
        <w:t>“</w:t>
      </w:r>
      <w:r w:rsidRPr="00E343EA">
        <w:t>are more cheaply conducted than others</w:t>
      </w:r>
      <w:r>
        <w:t>”</w:t>
      </w:r>
      <w:r w:rsidRPr="00E343EA">
        <w:t>).</w:t>
      </w:r>
    </w:p>
  </w:footnote>
  <w:footnote w:id="86">
    <w:p w14:paraId="2993A68F" w14:textId="27586779" w:rsidR="00501D78" w:rsidRPr="00E343EA" w:rsidRDefault="00501D78" w:rsidP="00B06E49">
      <w:pPr>
        <w:rPr>
          <w:sz w:val="20"/>
          <w:szCs w:val="20"/>
        </w:rPr>
      </w:pPr>
      <w:r w:rsidRPr="00E343EA">
        <w:rPr>
          <w:rStyle w:val="FootnoteReference"/>
          <w:sz w:val="20"/>
          <w:szCs w:val="20"/>
        </w:rPr>
        <w:footnoteRef/>
      </w:r>
      <w:r w:rsidRPr="00E343EA">
        <w:rPr>
          <w:sz w:val="20"/>
          <w:szCs w:val="20"/>
        </w:rPr>
        <w:t xml:space="preserve"> 25 </w:t>
      </w:r>
      <w:r w:rsidRPr="00E343EA">
        <w:rPr>
          <w:smallCaps/>
          <w:sz w:val="20"/>
          <w:szCs w:val="20"/>
        </w:rPr>
        <w:t>Mixer &amp; Server</w:t>
      </w:r>
      <w:r w:rsidRPr="00E343EA">
        <w:rPr>
          <w:sz w:val="20"/>
          <w:szCs w:val="20"/>
        </w:rPr>
        <w:t xml:space="preserve"> No. 7, July 15, 1916</w:t>
      </w:r>
      <w:r>
        <w:rPr>
          <w:sz w:val="20"/>
          <w:szCs w:val="20"/>
        </w:rPr>
        <w:t>,</w:t>
      </w:r>
      <w:r w:rsidRPr="000C21D2">
        <w:rPr>
          <w:sz w:val="20"/>
          <w:szCs w:val="20"/>
        </w:rPr>
        <w:t xml:space="preserve"> at 4;</w:t>
      </w:r>
      <w:r>
        <w:rPr>
          <w:sz w:val="20"/>
          <w:szCs w:val="20"/>
        </w:rPr>
        <w:t xml:space="preserve"> </w:t>
      </w:r>
      <w:r w:rsidRPr="00957313">
        <w:rPr>
          <w:i/>
          <w:sz w:val="20"/>
          <w:szCs w:val="20"/>
        </w:rPr>
        <w:t>see also</w:t>
      </w:r>
      <w:r w:rsidRPr="000C21D2">
        <w:rPr>
          <w:sz w:val="20"/>
          <w:szCs w:val="20"/>
        </w:rPr>
        <w:t xml:space="preserve"> </w:t>
      </w:r>
      <w:r>
        <w:rPr>
          <w:sz w:val="20"/>
          <w:szCs w:val="20"/>
        </w:rPr>
        <w:t>22</w:t>
      </w:r>
      <w:r w:rsidRPr="000C21D2">
        <w:rPr>
          <w:sz w:val="20"/>
          <w:szCs w:val="20"/>
        </w:rPr>
        <w:t xml:space="preserve"> </w:t>
      </w:r>
      <w:r w:rsidRPr="000C21D2">
        <w:rPr>
          <w:smallCaps/>
          <w:sz w:val="20"/>
          <w:szCs w:val="20"/>
        </w:rPr>
        <w:t>Mixer &amp; Server</w:t>
      </w:r>
      <w:r w:rsidRPr="000C21D2">
        <w:rPr>
          <w:sz w:val="20"/>
          <w:szCs w:val="20"/>
        </w:rPr>
        <w:t xml:space="preserve"> No. </w:t>
      </w:r>
      <w:r>
        <w:rPr>
          <w:sz w:val="20"/>
          <w:szCs w:val="20"/>
        </w:rPr>
        <w:t>8</w:t>
      </w:r>
      <w:r w:rsidRPr="000C21D2">
        <w:rPr>
          <w:sz w:val="20"/>
          <w:szCs w:val="20"/>
        </w:rPr>
        <w:t xml:space="preserve">, </w:t>
      </w:r>
      <w:r>
        <w:rPr>
          <w:sz w:val="20"/>
          <w:szCs w:val="20"/>
        </w:rPr>
        <w:t>Aug</w:t>
      </w:r>
      <w:r w:rsidRPr="000C21D2">
        <w:rPr>
          <w:sz w:val="20"/>
          <w:szCs w:val="20"/>
        </w:rPr>
        <w:t>. 15, 19</w:t>
      </w:r>
      <w:r>
        <w:rPr>
          <w:sz w:val="20"/>
          <w:szCs w:val="20"/>
        </w:rPr>
        <w:t>13</w:t>
      </w:r>
      <w:r w:rsidRPr="000C21D2">
        <w:rPr>
          <w:sz w:val="20"/>
          <w:szCs w:val="20"/>
        </w:rPr>
        <w:t xml:space="preserve">, at </w:t>
      </w:r>
      <w:r>
        <w:rPr>
          <w:sz w:val="20"/>
          <w:szCs w:val="20"/>
        </w:rPr>
        <w:t>23 (noting that workers in Salt Lake City patronized Chinese restaurants).</w:t>
      </w:r>
    </w:p>
  </w:footnote>
  <w:footnote w:id="87">
    <w:p w14:paraId="61563B27" w14:textId="0A2DE727" w:rsidR="00501D78" w:rsidRPr="00E343EA" w:rsidRDefault="00501D78" w:rsidP="00B06E49">
      <w:pPr>
        <w:pStyle w:val="FootnoteText"/>
      </w:pPr>
      <w:r w:rsidRPr="00E343EA">
        <w:rPr>
          <w:rStyle w:val="FootnoteReference"/>
        </w:rPr>
        <w:footnoteRef/>
      </w:r>
      <w:r w:rsidRPr="00E343EA">
        <w:t xml:space="preserve"> </w:t>
      </w:r>
      <w:r w:rsidRPr="00E343EA">
        <w:rPr>
          <w:i/>
        </w:rPr>
        <w:t>No Love for the Heathen</w:t>
      </w:r>
      <w:r w:rsidRPr="00E343EA">
        <w:t xml:space="preserve">, </w:t>
      </w:r>
      <w:r w:rsidRPr="00E343EA">
        <w:rPr>
          <w:smallCaps/>
        </w:rPr>
        <w:t xml:space="preserve">Sacramento Daily Union, </w:t>
      </w:r>
      <w:r w:rsidRPr="00E343EA">
        <w:t xml:space="preserve">Jan. 29, 1892, at 1 (noting that Butte, Montana </w:t>
      </w:r>
      <w:r>
        <w:t xml:space="preserve">unions fined </w:t>
      </w:r>
      <w:r w:rsidRPr="00E343EA">
        <w:t xml:space="preserve">any member </w:t>
      </w:r>
      <w:r>
        <w:t>“</w:t>
      </w:r>
      <w:r w:rsidRPr="00E343EA">
        <w:t>who patronizes Chinese restaurants, laundries, stores, or any establishment where Chinese help is employed.</w:t>
      </w:r>
      <w:r>
        <w:t>”</w:t>
      </w:r>
      <w:r w:rsidRPr="00E343EA">
        <w:t xml:space="preserve">).  </w:t>
      </w:r>
      <w:r w:rsidRPr="00E343EA">
        <w:rPr>
          <w:i/>
        </w:rPr>
        <w:t>See also, e.g.,</w:t>
      </w:r>
      <w:r w:rsidRPr="00E343EA">
        <w:t xml:space="preserve"> 26 </w:t>
      </w:r>
      <w:r w:rsidRPr="00E343EA">
        <w:rPr>
          <w:smallCaps/>
        </w:rPr>
        <w:t>Mixer &amp; Server</w:t>
      </w:r>
      <w:r w:rsidRPr="00E343EA">
        <w:t xml:space="preserve"> No. 5, May 15, 1917 at 23 ($15 fine); 23 </w:t>
      </w:r>
      <w:r w:rsidRPr="00E343EA">
        <w:rPr>
          <w:smallCaps/>
        </w:rPr>
        <w:t>Mixer &amp; Server</w:t>
      </w:r>
      <w:r w:rsidRPr="00E343EA">
        <w:t xml:space="preserve"> No. 7, July 15, 1914</w:t>
      </w:r>
      <w:r>
        <w:t>,</w:t>
      </w:r>
      <w:r w:rsidRPr="00E343EA">
        <w:t xml:space="preserve"> at 38 ($5 dollar fine); 21 </w:t>
      </w:r>
      <w:r w:rsidRPr="00E343EA">
        <w:rPr>
          <w:smallCaps/>
        </w:rPr>
        <w:t>Mixer &amp; Server</w:t>
      </w:r>
      <w:r w:rsidRPr="00E343EA">
        <w:t xml:space="preserve"> No. 1, Jan. 15, 1912</w:t>
      </w:r>
      <w:r>
        <w:t>, at 17 ($2-10 fine).</w:t>
      </w:r>
    </w:p>
  </w:footnote>
  <w:footnote w:id="88">
    <w:p w14:paraId="698D0005" w14:textId="1E097AB1" w:rsidR="00501D78" w:rsidRDefault="00501D78">
      <w:pPr>
        <w:pStyle w:val="FootnoteText"/>
      </w:pPr>
      <w:r>
        <w:rPr>
          <w:rStyle w:val="FootnoteReference"/>
        </w:rPr>
        <w:footnoteRef/>
      </w:r>
      <w:r>
        <w:t xml:space="preserve"> 17</w:t>
      </w:r>
      <w:r w:rsidRPr="00E343EA">
        <w:t xml:space="preserve"> </w:t>
      </w:r>
      <w:r w:rsidRPr="00E343EA">
        <w:rPr>
          <w:smallCaps/>
        </w:rPr>
        <w:t>Mixer &amp; Server</w:t>
      </w:r>
      <w:r w:rsidRPr="00E343EA">
        <w:t xml:space="preserve"> No. </w:t>
      </w:r>
      <w:r>
        <w:t>4</w:t>
      </w:r>
      <w:r w:rsidRPr="00E343EA">
        <w:t xml:space="preserve">, </w:t>
      </w:r>
      <w:r>
        <w:t>Apr.</w:t>
      </w:r>
      <w:r w:rsidRPr="00E343EA">
        <w:t xml:space="preserve"> 15, 19</w:t>
      </w:r>
      <w:r>
        <w:t>08,</w:t>
      </w:r>
      <w:r w:rsidRPr="00E343EA">
        <w:t xml:space="preserve"> at </w:t>
      </w:r>
      <w:r>
        <w:t>19.</w:t>
      </w:r>
      <w:r w:rsidRPr="00C74927">
        <w:t xml:space="preserve"> </w:t>
      </w:r>
      <w:r w:rsidRPr="00C74927">
        <w:rPr>
          <w:i/>
        </w:rPr>
        <w:t>See also</w:t>
      </w:r>
      <w:r>
        <w:t xml:space="preserve"> 17 </w:t>
      </w:r>
      <w:r w:rsidRPr="00E343EA">
        <w:rPr>
          <w:smallCaps/>
        </w:rPr>
        <w:t>Mixer &amp; Server</w:t>
      </w:r>
      <w:r w:rsidRPr="00E343EA">
        <w:t xml:space="preserve"> No. </w:t>
      </w:r>
      <w:r>
        <w:t>1</w:t>
      </w:r>
      <w:r w:rsidRPr="00E343EA">
        <w:t xml:space="preserve">, </w:t>
      </w:r>
      <w:r>
        <w:t>Jan.</w:t>
      </w:r>
      <w:r w:rsidRPr="00E343EA">
        <w:t xml:space="preserve"> 15, 19</w:t>
      </w:r>
      <w:r>
        <w:t>08,</w:t>
      </w:r>
      <w:r w:rsidRPr="00E343EA">
        <w:t xml:space="preserve"> at 23</w:t>
      </w:r>
      <w:r>
        <w:t xml:space="preserve"> (reporting that In Vallejo, California, while fines were imposed “the movement is none too strong, and it is going to be a pretty hard problem to enforce.”).</w:t>
      </w:r>
    </w:p>
  </w:footnote>
  <w:footnote w:id="89">
    <w:p w14:paraId="0A8084FA" w14:textId="1A435A1E" w:rsidR="00501D78" w:rsidRDefault="00501D78" w:rsidP="00B06E49">
      <w:pPr>
        <w:pStyle w:val="FootnoteText"/>
      </w:pPr>
      <w:r>
        <w:rPr>
          <w:rStyle w:val="FootnoteReference"/>
        </w:rPr>
        <w:footnoteRef/>
      </w:r>
      <w:r>
        <w:t xml:space="preserve"> </w:t>
      </w:r>
      <w:r w:rsidRPr="00530516">
        <w:rPr>
          <w:i/>
        </w:rPr>
        <w:t>See generally</w:t>
      </w:r>
      <w:r>
        <w:t xml:space="preserve"> J.W.O., </w:t>
      </w:r>
      <w:r w:rsidRPr="00530516">
        <w:rPr>
          <w:i/>
        </w:rPr>
        <w:t>The Boycott as a Weapon in Industrial Disputes</w:t>
      </w:r>
      <w:r>
        <w:t>, 116 A.L.R. 484 (originally published in 1938) (discussing permissible and impermissible types and methods of boycotts).</w:t>
      </w:r>
    </w:p>
  </w:footnote>
  <w:footnote w:id="90">
    <w:p w14:paraId="716ACC89" w14:textId="5B5C160E" w:rsidR="00501D78" w:rsidRPr="00E343EA" w:rsidRDefault="00501D78" w:rsidP="00B06E49">
      <w:pPr>
        <w:rPr>
          <w:sz w:val="20"/>
          <w:szCs w:val="20"/>
        </w:rPr>
      </w:pPr>
      <w:r w:rsidRPr="00E343EA">
        <w:rPr>
          <w:rStyle w:val="FootnoteReference"/>
          <w:sz w:val="20"/>
          <w:szCs w:val="20"/>
        </w:rPr>
        <w:footnoteRef/>
      </w:r>
      <w:r w:rsidRPr="00E343EA">
        <w:rPr>
          <w:sz w:val="20"/>
          <w:szCs w:val="20"/>
        </w:rPr>
        <w:t xml:space="preserve"> 28 </w:t>
      </w:r>
      <w:r w:rsidRPr="00E343EA">
        <w:rPr>
          <w:smallCaps/>
          <w:sz w:val="20"/>
          <w:szCs w:val="20"/>
        </w:rPr>
        <w:t>Mixer &amp; Server</w:t>
      </w:r>
      <w:r w:rsidRPr="00E343EA">
        <w:rPr>
          <w:sz w:val="20"/>
          <w:szCs w:val="20"/>
        </w:rPr>
        <w:t xml:space="preserve"> No. 8, Aug. 15, 1919</w:t>
      </w:r>
      <w:r>
        <w:rPr>
          <w:sz w:val="20"/>
          <w:szCs w:val="20"/>
        </w:rPr>
        <w:t>,</w:t>
      </w:r>
      <w:r w:rsidRPr="00E343EA">
        <w:rPr>
          <w:sz w:val="20"/>
          <w:szCs w:val="20"/>
        </w:rPr>
        <w:t xml:space="preserve"> at 63.</w:t>
      </w:r>
    </w:p>
  </w:footnote>
  <w:footnote w:id="91">
    <w:p w14:paraId="26D88011" w14:textId="4663D880" w:rsidR="00501D78" w:rsidRPr="00E343EA" w:rsidRDefault="00501D78" w:rsidP="00B06E49">
      <w:pPr>
        <w:pStyle w:val="FootnoteText"/>
      </w:pPr>
      <w:r w:rsidRPr="00E343EA">
        <w:rPr>
          <w:rStyle w:val="FootnoteReference"/>
        </w:rPr>
        <w:footnoteRef/>
      </w:r>
      <w:r w:rsidRPr="00E343EA">
        <w:t xml:space="preserve"> </w:t>
      </w:r>
      <w:r w:rsidRPr="00F32055">
        <w:rPr>
          <w:i/>
        </w:rPr>
        <w:t>Id</w:t>
      </w:r>
      <w:r>
        <w:t>.</w:t>
      </w:r>
    </w:p>
  </w:footnote>
  <w:footnote w:id="92">
    <w:p w14:paraId="37CDB6BF" w14:textId="261F03EE" w:rsidR="00501D78" w:rsidRPr="00E343EA" w:rsidRDefault="00501D78" w:rsidP="00B06E49">
      <w:pPr>
        <w:pStyle w:val="FootnoteText"/>
      </w:pPr>
      <w:r w:rsidRPr="00E343EA">
        <w:rPr>
          <w:rStyle w:val="FootnoteReference"/>
        </w:rPr>
        <w:footnoteRef/>
      </w:r>
      <w:r w:rsidRPr="00E343EA">
        <w:t xml:space="preserve"> Park v. Hotel &amp; Rest. Emp. Int</w:t>
      </w:r>
      <w:r>
        <w:t>’</w:t>
      </w:r>
      <w:r w:rsidRPr="00E343EA">
        <w:t>l Alliance (Locals Nos. 106, 107, 108, 167), 30 Ohio Dec. 64, 66 (Ct. Com. Pleas 1919).</w:t>
      </w:r>
    </w:p>
  </w:footnote>
  <w:footnote w:id="93">
    <w:p w14:paraId="1C03F1FA"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 xml:space="preserve">Id. </w:t>
      </w:r>
      <w:r w:rsidRPr="00E343EA">
        <w:t>at 67-68.</w:t>
      </w:r>
    </w:p>
  </w:footnote>
  <w:footnote w:id="94">
    <w:p w14:paraId="5E66BF76"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 xml:space="preserve">Id. </w:t>
      </w:r>
      <w:r w:rsidRPr="00E343EA">
        <w:t>at 97.</w:t>
      </w:r>
    </w:p>
  </w:footnote>
  <w:footnote w:id="95">
    <w:p w14:paraId="4717BC6D" w14:textId="51A4472B" w:rsidR="00501D78" w:rsidRPr="00E343EA" w:rsidRDefault="00501D78" w:rsidP="00B06E49">
      <w:pPr>
        <w:pStyle w:val="FootnoteText"/>
      </w:pPr>
      <w:r w:rsidRPr="00E343EA">
        <w:rPr>
          <w:rStyle w:val="FootnoteReference"/>
        </w:rPr>
        <w:footnoteRef/>
      </w:r>
      <w:r w:rsidRPr="00E343EA">
        <w:t xml:space="preserve"> </w:t>
      </w:r>
      <w:r w:rsidRPr="00E343EA">
        <w:rPr>
          <w:i/>
        </w:rPr>
        <w:t xml:space="preserve">Id. </w:t>
      </w:r>
      <w:r w:rsidRPr="00E343EA">
        <w:t xml:space="preserve">at 70-71. </w:t>
      </w:r>
      <w:r>
        <w:t xml:space="preserve">While </w:t>
      </w:r>
      <w:r w:rsidRPr="00E343EA">
        <w:t xml:space="preserve">Chinese </w:t>
      </w:r>
      <w:r>
        <w:t>were wholly excluded, t</w:t>
      </w:r>
      <w:r w:rsidRPr="00E343EA">
        <w:t xml:space="preserve">he court noted that African Americans </w:t>
      </w:r>
      <w:r>
        <w:t>could</w:t>
      </w:r>
      <w:r w:rsidRPr="00E343EA">
        <w:t xml:space="preserve"> </w:t>
      </w:r>
      <w:r>
        <w:t>join</w:t>
      </w:r>
      <w:r w:rsidRPr="00E343EA">
        <w:t xml:space="preserve"> segregated locals: </w:t>
      </w:r>
      <w:r>
        <w:t>“</w:t>
      </w:r>
      <w:r w:rsidRPr="00E343EA">
        <w:t>In other words, while the colored brother may belong to the same church, he is not permitted to worship in the same pew.</w:t>
      </w:r>
      <w:r>
        <w:t>”</w:t>
      </w:r>
      <w:r w:rsidRPr="00E343EA">
        <w:t xml:space="preserve"> </w:t>
      </w:r>
      <w:r w:rsidRPr="00E343EA">
        <w:rPr>
          <w:i/>
        </w:rPr>
        <w:t>Id</w:t>
      </w:r>
      <w:r w:rsidRPr="00E343EA">
        <w:t>.</w:t>
      </w:r>
    </w:p>
  </w:footnote>
  <w:footnote w:id="96">
    <w:p w14:paraId="64DA1989" w14:textId="688E65F6" w:rsidR="00501D78" w:rsidRPr="00E343EA" w:rsidRDefault="00501D78" w:rsidP="00B06E49">
      <w:pPr>
        <w:pStyle w:val="FootnoteText"/>
      </w:pPr>
      <w:r w:rsidRPr="00E343EA">
        <w:rPr>
          <w:rStyle w:val="FootnoteReference"/>
        </w:rPr>
        <w:footnoteRef/>
      </w:r>
      <w:r w:rsidRPr="00E343EA">
        <w:t xml:space="preserve"> </w:t>
      </w:r>
      <w:r w:rsidRPr="00E343EA">
        <w:rPr>
          <w:i/>
        </w:rPr>
        <w:t xml:space="preserve">Id. </w:t>
      </w:r>
      <w:r w:rsidRPr="00E343EA">
        <w:t xml:space="preserve">at 70-71. </w:t>
      </w:r>
      <w:r w:rsidRPr="00E343EA">
        <w:rPr>
          <w:i/>
        </w:rPr>
        <w:t>See also id</w:t>
      </w:r>
      <w:r w:rsidRPr="00E343EA">
        <w:t>. at 86 (</w:t>
      </w:r>
      <w:r>
        <w:t>“</w:t>
      </w:r>
      <w:r w:rsidRPr="00E343EA">
        <w:t>In the instant case, or the case now at bar, it is admitted freely and candidly that the purpose is to drive the Peacock Inn restaurant out of business</w:t>
      </w:r>
      <w:r>
        <w:t>”</w:t>
      </w:r>
      <w:r w:rsidRPr="00E343EA">
        <w:t>).</w:t>
      </w:r>
      <w:r w:rsidRPr="007471A8">
        <w:t xml:space="preserve"> </w:t>
      </w:r>
      <w:r w:rsidRPr="007471A8">
        <w:rPr>
          <w:i/>
        </w:rPr>
        <w:t>See also</w:t>
      </w:r>
      <w:r>
        <w:t xml:space="preserve"> </w:t>
      </w:r>
      <w:r w:rsidRPr="00E343EA">
        <w:t xml:space="preserve">28 </w:t>
      </w:r>
      <w:r w:rsidRPr="00E343EA">
        <w:rPr>
          <w:smallCaps/>
        </w:rPr>
        <w:t>Mixer &amp; Server</w:t>
      </w:r>
      <w:r w:rsidRPr="00E343EA">
        <w:t xml:space="preserve"> No. 8, Aug. 15, 1919</w:t>
      </w:r>
      <w:r>
        <w:t xml:space="preserve">, at 63; </w:t>
      </w:r>
      <w:r w:rsidRPr="00460A2A">
        <w:t xml:space="preserve">13 </w:t>
      </w:r>
      <w:r w:rsidRPr="00460A2A">
        <w:rPr>
          <w:smallCaps/>
        </w:rPr>
        <w:t>Mixer &amp; Server</w:t>
      </w:r>
      <w:r w:rsidRPr="00460A2A">
        <w:t xml:space="preserve"> No. </w:t>
      </w:r>
      <w:r>
        <w:t>1</w:t>
      </w:r>
      <w:r w:rsidRPr="00460A2A">
        <w:t xml:space="preserve">, </w:t>
      </w:r>
      <w:r>
        <w:t>Jan</w:t>
      </w:r>
      <w:r w:rsidRPr="00460A2A">
        <w:t>. 15, 190</w:t>
      </w:r>
      <w:r>
        <w:t>4</w:t>
      </w:r>
      <w:r w:rsidRPr="00460A2A">
        <w:t xml:space="preserve">, </w:t>
      </w:r>
      <w:r>
        <w:t>at 62 (“A problem that is to confront the labor organizations of this country is the question of how to prevent the employment of Chinese cooks in the hotels and restaurants of the country.”).</w:t>
      </w:r>
    </w:p>
  </w:footnote>
  <w:footnote w:id="97">
    <w:p w14:paraId="52638976" w14:textId="0EE69250" w:rsidR="00501D78" w:rsidRPr="00E343EA" w:rsidRDefault="00501D78" w:rsidP="00B06E49">
      <w:pPr>
        <w:pStyle w:val="FootnoteText"/>
      </w:pPr>
      <w:r w:rsidRPr="00E343EA">
        <w:rPr>
          <w:rStyle w:val="FootnoteReference"/>
        </w:rPr>
        <w:footnoteRef/>
      </w:r>
      <w:r w:rsidRPr="00E343EA">
        <w:t xml:space="preserve"> </w:t>
      </w:r>
      <w:r w:rsidRPr="00E343EA">
        <w:rPr>
          <w:i/>
        </w:rPr>
        <w:t>Court Order is Sweeping</w:t>
      </w:r>
      <w:r w:rsidRPr="00E343EA">
        <w:t xml:space="preserve">, </w:t>
      </w:r>
      <w:r w:rsidRPr="00E343EA">
        <w:rPr>
          <w:smallCaps/>
        </w:rPr>
        <w:t>Lab. W</w:t>
      </w:r>
      <w:r>
        <w:rPr>
          <w:smallCaps/>
        </w:rPr>
        <w:t>orld</w:t>
      </w:r>
      <w:r w:rsidRPr="00E343EA">
        <w:rPr>
          <w:smallCaps/>
        </w:rPr>
        <w:t>.</w:t>
      </w:r>
      <w:r w:rsidRPr="00E343EA">
        <w:t>, Dec. 26, 1903, at 1</w:t>
      </w:r>
      <w:r>
        <w:t>.</w:t>
      </w:r>
    </w:p>
  </w:footnote>
  <w:footnote w:id="98">
    <w:p w14:paraId="4095B5F8" w14:textId="3D5E4A35" w:rsidR="00501D78" w:rsidRDefault="00501D78">
      <w:pPr>
        <w:pStyle w:val="FootnoteText"/>
      </w:pPr>
      <w:r>
        <w:rPr>
          <w:rStyle w:val="FootnoteReference"/>
        </w:rPr>
        <w:footnoteRef/>
      </w:r>
      <w:r>
        <w:t xml:space="preserve"> </w:t>
      </w:r>
      <w:r w:rsidRPr="00B8317D">
        <w:t xml:space="preserve">30 Ohio Dec. </w:t>
      </w:r>
      <w:r>
        <w:t>at</w:t>
      </w:r>
      <w:r w:rsidRPr="00B8317D">
        <w:t xml:space="preserve"> 71–72</w:t>
      </w:r>
      <w:r>
        <w:t>.</w:t>
      </w:r>
    </w:p>
  </w:footnote>
  <w:footnote w:id="99">
    <w:p w14:paraId="37F2DD89" w14:textId="275A0576" w:rsidR="00501D78" w:rsidRPr="00E343EA" w:rsidRDefault="00501D78" w:rsidP="00BF6A57">
      <w:pPr>
        <w:pStyle w:val="FootnoteText"/>
      </w:pPr>
      <w:r w:rsidRPr="00E343EA">
        <w:rPr>
          <w:rStyle w:val="FootnoteReference"/>
        </w:rPr>
        <w:footnoteRef/>
      </w:r>
      <w:r w:rsidRPr="00E343EA">
        <w:t xml:space="preserve"> </w:t>
      </w:r>
      <w:r w:rsidRPr="00E343EA">
        <w:rPr>
          <w:i/>
        </w:rPr>
        <w:t xml:space="preserve">See generally </w:t>
      </w:r>
      <w:r w:rsidRPr="00E343EA">
        <w:t xml:space="preserve">Barbra Berglund, </w:t>
      </w:r>
      <w:r w:rsidRPr="00E343EA">
        <w:rPr>
          <w:i/>
        </w:rPr>
        <w:t>Chinatown</w:t>
      </w:r>
      <w:r>
        <w:rPr>
          <w:i/>
        </w:rPr>
        <w:t>’</w:t>
      </w:r>
      <w:r w:rsidRPr="00E343EA">
        <w:rPr>
          <w:i/>
        </w:rPr>
        <w:t>s Tourist Terrain: Representation and Racialization in Nineteenth-Century San Francisco</w:t>
      </w:r>
      <w:r w:rsidRPr="00E343EA">
        <w:rPr>
          <w:smallCaps/>
        </w:rPr>
        <w:t>, 46 Am. Studs.</w:t>
      </w:r>
      <w:r w:rsidRPr="00E343EA">
        <w:t xml:space="preserve"> No. 2 5 (Summer 2005).</w:t>
      </w:r>
      <w:r w:rsidRPr="00E343EA">
        <w:rPr>
          <w:i/>
        </w:rPr>
        <w:t xml:space="preserve"> </w:t>
      </w:r>
    </w:p>
  </w:footnote>
  <w:footnote w:id="100">
    <w:p w14:paraId="7B29AD74" w14:textId="5BB3AD90" w:rsidR="00501D78" w:rsidRPr="00E343EA" w:rsidRDefault="00501D78" w:rsidP="00BF6A57">
      <w:pPr>
        <w:pStyle w:val="FootnoteText"/>
      </w:pPr>
      <w:r w:rsidRPr="00E343EA">
        <w:rPr>
          <w:rStyle w:val="FootnoteReference"/>
        </w:rPr>
        <w:footnoteRef/>
      </w:r>
      <w:r w:rsidRPr="00E343EA">
        <w:t xml:space="preserve"> </w:t>
      </w:r>
      <w:r>
        <w:rPr>
          <w:i/>
        </w:rPr>
        <w:t xml:space="preserve">See </w:t>
      </w:r>
      <w:r w:rsidRPr="00B347AD">
        <w:rPr>
          <w:smallCaps/>
        </w:rPr>
        <w:t>Chen</w:t>
      </w:r>
      <w:r w:rsidRPr="00B347AD">
        <w:t>,</w:t>
      </w:r>
      <w:r>
        <w:rPr>
          <w:i/>
        </w:rPr>
        <w:t xml:space="preserve"> supra</w:t>
      </w:r>
      <w:r w:rsidRPr="00B347AD">
        <w:t xml:space="preserve"> note</w:t>
      </w:r>
      <w:r>
        <w:t xml:space="preserve"> </w:t>
      </w:r>
      <w:r>
        <w:fldChar w:fldCharType="begin"/>
      </w:r>
      <w:r>
        <w:instrText xml:space="preserve"> NOTEREF _Ref475540046 \h </w:instrText>
      </w:r>
      <w:r>
        <w:fldChar w:fldCharType="separate"/>
      </w:r>
      <w:r w:rsidR="008A4890">
        <w:t>2</w:t>
      </w:r>
      <w:r>
        <w:fldChar w:fldCharType="end"/>
      </w:r>
      <w:r>
        <w:t>, at 105-07;  W</w:t>
      </w:r>
      <w:r w:rsidRPr="00E343EA">
        <w:rPr>
          <w:smallCaps/>
        </w:rPr>
        <w:t xml:space="preserve">illiam McAdoo, Guarding the Great City 171 (1906); </w:t>
      </w:r>
      <w:r>
        <w:t>Barbas</w:t>
      </w:r>
      <w:r w:rsidRPr="00E343EA">
        <w:t xml:space="preserve">, </w:t>
      </w:r>
      <w:r w:rsidRPr="00BD61CF">
        <w:rPr>
          <w:i/>
        </w:rPr>
        <w:t>supra</w:t>
      </w:r>
      <w:r>
        <w:t xml:space="preserve"> note </w:t>
      </w:r>
      <w:r>
        <w:fldChar w:fldCharType="begin"/>
      </w:r>
      <w:r>
        <w:instrText xml:space="preserve"> NOTEREF _Ref461985394 \h </w:instrText>
      </w:r>
      <w:r>
        <w:fldChar w:fldCharType="separate"/>
      </w:r>
      <w:r w:rsidR="008A4890">
        <w:t>28</w:t>
      </w:r>
      <w:r>
        <w:fldChar w:fldCharType="end"/>
      </w:r>
      <w:r>
        <w:t xml:space="preserve">, at </w:t>
      </w:r>
      <w:r w:rsidRPr="00E343EA">
        <w:rPr>
          <w:smallCaps/>
        </w:rPr>
        <w:t>671-73 (</w:t>
      </w:r>
      <w:r w:rsidRPr="00E343EA">
        <w:t xml:space="preserve">stating that </w:t>
      </w:r>
      <w:r>
        <w:t>“</w:t>
      </w:r>
      <w:r w:rsidRPr="00E343EA">
        <w:t>slummers</w:t>
      </w:r>
      <w:r>
        <w:t>”</w:t>
      </w:r>
      <w:r w:rsidRPr="00E343EA">
        <w:t xml:space="preserve"> </w:t>
      </w:r>
      <w:r>
        <w:t>visited</w:t>
      </w:r>
      <w:r w:rsidRPr="00E343EA">
        <w:t xml:space="preserve"> San Francisco and New York Chinatown as early the 1870</w:t>
      </w:r>
      <w:r>
        <w:t>’</w:t>
      </w:r>
      <w:r w:rsidRPr="00E343EA">
        <w:t xml:space="preserve">s); Haley, </w:t>
      </w:r>
      <w:r>
        <w:rPr>
          <w:i/>
        </w:rPr>
        <w:t xml:space="preserve">supra </w:t>
      </w:r>
      <w:r w:rsidRPr="00070158">
        <w:t xml:space="preserve">note </w:t>
      </w:r>
      <w:r>
        <w:fldChar w:fldCharType="begin"/>
      </w:r>
      <w:r>
        <w:instrText xml:space="preserve"> NOTEREF _Ref476491737 \h </w:instrText>
      </w:r>
      <w:r>
        <w:fldChar w:fldCharType="separate"/>
      </w:r>
      <w:r w:rsidR="008A4890">
        <w:t>29</w:t>
      </w:r>
      <w:r>
        <w:fldChar w:fldCharType="end"/>
      </w:r>
      <w:r w:rsidRPr="00070158">
        <w:t>, at</w:t>
      </w:r>
      <w:r w:rsidRPr="00E343EA">
        <w:t xml:space="preserve"> 73-74; Light, </w:t>
      </w:r>
      <w:r w:rsidRPr="00E343EA">
        <w:rPr>
          <w:i/>
        </w:rPr>
        <w:t xml:space="preserve">supra </w:t>
      </w:r>
      <w:r w:rsidRPr="00E343EA">
        <w:t xml:space="preserve">note </w:t>
      </w:r>
      <w:r w:rsidRPr="00E343EA">
        <w:fldChar w:fldCharType="begin"/>
      </w:r>
      <w:r w:rsidRPr="00E343EA">
        <w:instrText xml:space="preserve"> NOTEREF _Ref460866700 \h </w:instrText>
      </w:r>
      <w:r>
        <w:instrText xml:space="preserve"> \* MERGEFORMAT </w:instrText>
      </w:r>
      <w:r w:rsidRPr="00E343EA">
        <w:fldChar w:fldCharType="separate"/>
      </w:r>
      <w:r w:rsidR="008A4890">
        <w:t>31</w:t>
      </w:r>
      <w:r w:rsidRPr="00E343EA">
        <w:fldChar w:fldCharType="end"/>
      </w:r>
      <w:r w:rsidRPr="00E343EA">
        <w:t xml:space="preserve">, at 383; </w:t>
      </w:r>
      <w:r>
        <w:t xml:space="preserve">John </w:t>
      </w:r>
      <w:r w:rsidRPr="00E343EA">
        <w:t xml:space="preserve">Jung, </w:t>
      </w:r>
      <w:r w:rsidRPr="00E343EA">
        <w:rPr>
          <w:i/>
        </w:rPr>
        <w:t>The Sour Side of Chinese Restaurants</w:t>
      </w:r>
      <w:r w:rsidRPr="00E343EA">
        <w:t>,</w:t>
      </w:r>
      <w:r>
        <w:t xml:space="preserve"> XXIX </w:t>
      </w:r>
      <w:r w:rsidRPr="00FA3721">
        <w:rPr>
          <w:smallCaps/>
        </w:rPr>
        <w:t>Chinese Am. F.</w:t>
      </w:r>
      <w:r>
        <w:t xml:space="preserve"> (1) </w:t>
      </w:r>
      <w:r w:rsidRPr="00E343EA">
        <w:t>18 n.5</w:t>
      </w:r>
      <w:r w:rsidRPr="00304E65">
        <w:t xml:space="preserve"> </w:t>
      </w:r>
      <w:r>
        <w:t>(July 2013)</w:t>
      </w:r>
      <w:r w:rsidRPr="00E343EA">
        <w:t>;</w:t>
      </w:r>
      <w:r w:rsidRPr="00E343EA">
        <w:rPr>
          <w:i/>
        </w:rPr>
        <w:t xml:space="preserve"> </w:t>
      </w:r>
      <w:r w:rsidRPr="00E343EA">
        <w:rPr>
          <w:smallCaps/>
        </w:rPr>
        <w:t>Jung,</w:t>
      </w:r>
      <w:r w:rsidRPr="00E343EA">
        <w:t xml:space="preserve"> </w:t>
      </w:r>
      <w:r w:rsidRPr="00031B91">
        <w:rPr>
          <w:i/>
        </w:rPr>
        <w:t>supra</w:t>
      </w:r>
      <w:r>
        <w:t xml:space="preserve"> note </w:t>
      </w:r>
      <w:r>
        <w:fldChar w:fldCharType="begin"/>
      </w:r>
      <w:r>
        <w:instrText xml:space="preserve"> NOTEREF _Ref461985228 \h </w:instrText>
      </w:r>
      <w:r>
        <w:fldChar w:fldCharType="separate"/>
      </w:r>
      <w:r w:rsidR="008A4890">
        <w:t>30</w:t>
      </w:r>
      <w:r>
        <w:fldChar w:fldCharType="end"/>
      </w:r>
      <w:r>
        <w:t xml:space="preserve">, at </w:t>
      </w:r>
      <w:r w:rsidRPr="00E343EA">
        <w:t xml:space="preserve">39; </w:t>
      </w:r>
      <w:r w:rsidRPr="00E343EA">
        <w:rPr>
          <w:i/>
        </w:rPr>
        <w:t>Barred from Chinatown</w:t>
      </w:r>
      <w:r w:rsidRPr="00E343EA">
        <w:t xml:space="preserve">, </w:t>
      </w:r>
      <w:r w:rsidRPr="00E343EA">
        <w:rPr>
          <w:smallCaps/>
        </w:rPr>
        <w:t xml:space="preserve">N.Y. </w:t>
      </w:r>
      <w:r>
        <w:rPr>
          <w:smallCaps/>
        </w:rPr>
        <w:t>Trib.</w:t>
      </w:r>
      <w:r w:rsidRPr="00E343EA">
        <w:rPr>
          <w:smallCaps/>
        </w:rPr>
        <w:t>,</w:t>
      </w:r>
      <w:r w:rsidRPr="00E343EA">
        <w:t xml:space="preserve"> Oct. 25, 1910, at 7 (stating that the </w:t>
      </w:r>
      <w:r>
        <w:t>“</w:t>
      </w:r>
      <w:r w:rsidRPr="00E343EA">
        <w:t>rubber neck</w:t>
      </w:r>
      <w:r>
        <w:t>”</w:t>
      </w:r>
      <w:r w:rsidRPr="00E343EA">
        <w:t xml:space="preserve"> men who come to visit Chinatown </w:t>
      </w:r>
      <w:r>
        <w:t>were</w:t>
      </w:r>
      <w:r w:rsidRPr="00E343EA">
        <w:t xml:space="preserve"> barred by polic</w:t>
      </w:r>
      <w:r>
        <w:t>e</w:t>
      </w:r>
      <w:r w:rsidRPr="00E343EA">
        <w:t xml:space="preserve">); </w:t>
      </w:r>
      <w:r w:rsidRPr="00E343EA">
        <w:rPr>
          <w:i/>
        </w:rPr>
        <w:t>Elsie Sigel</w:t>
      </w:r>
      <w:r>
        <w:rPr>
          <w:i/>
        </w:rPr>
        <w:t>’</w:t>
      </w:r>
      <w:r w:rsidRPr="00E343EA">
        <w:rPr>
          <w:i/>
        </w:rPr>
        <w:t>s Death Warning Against Fatal Lure of Chinese</w:t>
      </w:r>
      <w:r w:rsidRPr="00E343EA">
        <w:t xml:space="preserve">, </w:t>
      </w:r>
      <w:r w:rsidRPr="00E343EA">
        <w:rPr>
          <w:smallCaps/>
        </w:rPr>
        <w:t xml:space="preserve">Spokane Press, </w:t>
      </w:r>
      <w:r w:rsidRPr="00E343EA">
        <w:t xml:space="preserve">June 26, 1909, at 6; </w:t>
      </w:r>
      <w:r w:rsidRPr="00E343EA">
        <w:rPr>
          <w:i/>
        </w:rPr>
        <w:t xml:space="preserve">Opposes </w:t>
      </w:r>
      <w:r>
        <w:rPr>
          <w:i/>
        </w:rPr>
        <w:t>“</w:t>
      </w:r>
      <w:r w:rsidRPr="00E343EA">
        <w:rPr>
          <w:i/>
        </w:rPr>
        <w:t>Slumming</w:t>
      </w:r>
      <w:r>
        <w:rPr>
          <w:i/>
        </w:rPr>
        <w:t>”</w:t>
      </w:r>
      <w:r w:rsidRPr="00E343EA">
        <w:t xml:space="preserve">, </w:t>
      </w:r>
      <w:r w:rsidRPr="00E343EA">
        <w:rPr>
          <w:smallCaps/>
        </w:rPr>
        <w:t xml:space="preserve">Wash. Post, </w:t>
      </w:r>
      <w:r w:rsidRPr="00E343EA">
        <w:t xml:space="preserve">Nov. 1, 1910, at 16. </w:t>
      </w:r>
      <w:r w:rsidRPr="00E343EA">
        <w:rPr>
          <w:i/>
        </w:rPr>
        <w:t>See</w:t>
      </w:r>
      <w:r w:rsidRPr="00E343EA">
        <w:t xml:space="preserve"> </w:t>
      </w:r>
      <w:r w:rsidRPr="00E343EA">
        <w:rPr>
          <w:i/>
        </w:rPr>
        <w:t>generally</w:t>
      </w:r>
      <w:r w:rsidRPr="00E343EA">
        <w:t xml:space="preserve"> </w:t>
      </w:r>
      <w:r w:rsidRPr="00E343EA">
        <w:rPr>
          <w:i/>
        </w:rPr>
        <w:t>Claws of the Dragon Losing Grip on New York</w:t>
      </w:r>
      <w:r>
        <w:rPr>
          <w:i/>
        </w:rPr>
        <w:t>’</w:t>
      </w:r>
      <w:r w:rsidRPr="00E343EA">
        <w:rPr>
          <w:i/>
        </w:rPr>
        <w:t>s Famous Chinatown</w:t>
      </w:r>
      <w:r w:rsidRPr="00E343EA">
        <w:t xml:space="preserve">, </w:t>
      </w:r>
      <w:r w:rsidRPr="00E343EA">
        <w:rPr>
          <w:smallCaps/>
        </w:rPr>
        <w:t xml:space="preserve">The Sun (N.Y.), </w:t>
      </w:r>
      <w:r w:rsidRPr="00E343EA">
        <w:t>June 15, 1913, at 3 (discussing New York</w:t>
      </w:r>
      <w:r>
        <w:t>’</w:t>
      </w:r>
      <w:r w:rsidRPr="00E343EA">
        <w:t>s Chinatown</w:t>
      </w:r>
      <w:r>
        <w:t xml:space="preserve"> </w:t>
      </w:r>
      <w:r w:rsidRPr="00E343EA">
        <w:t>no longer present</w:t>
      </w:r>
      <w:r>
        <w:t xml:space="preserve">ing </w:t>
      </w:r>
      <w:r w:rsidRPr="00E343EA">
        <w:t xml:space="preserve">the spectacles it once </w:t>
      </w:r>
      <w:r>
        <w:t>had</w:t>
      </w:r>
      <w:r w:rsidRPr="00E343EA">
        <w:t xml:space="preserve">). </w:t>
      </w:r>
    </w:p>
  </w:footnote>
  <w:footnote w:id="101">
    <w:p w14:paraId="08F02F6F" w14:textId="309D3A99" w:rsidR="00501D78" w:rsidRPr="00E343EA" w:rsidRDefault="00501D78" w:rsidP="00BF6A57">
      <w:pPr>
        <w:pStyle w:val="FootnoteText"/>
      </w:pPr>
      <w:r w:rsidRPr="00E343EA">
        <w:rPr>
          <w:rStyle w:val="FootnoteReference"/>
        </w:rPr>
        <w:footnoteRef/>
      </w:r>
      <w:r w:rsidRPr="00E343EA">
        <w:t xml:space="preserve"> </w:t>
      </w:r>
      <w:r>
        <w:rPr>
          <w:i/>
        </w:rPr>
        <w:t>Through the Slums</w:t>
      </w:r>
      <w:r w:rsidRPr="00E343EA">
        <w:rPr>
          <w:i/>
        </w:rPr>
        <w:t>: Lady Henry So</w:t>
      </w:r>
      <w:r>
        <w:rPr>
          <w:i/>
        </w:rPr>
        <w:t>merset Visits t</w:t>
      </w:r>
      <w:r w:rsidRPr="00E343EA">
        <w:rPr>
          <w:i/>
        </w:rPr>
        <w:t xml:space="preserve">he Dens </w:t>
      </w:r>
      <w:r>
        <w:rPr>
          <w:i/>
        </w:rPr>
        <w:t>o</w:t>
      </w:r>
      <w:r w:rsidRPr="00E343EA">
        <w:rPr>
          <w:i/>
        </w:rPr>
        <w:t>f New York</w:t>
      </w:r>
      <w:r w:rsidRPr="00E343EA">
        <w:t xml:space="preserve">, </w:t>
      </w:r>
      <w:r>
        <w:rPr>
          <w:smallCaps/>
        </w:rPr>
        <w:t>Chi.</w:t>
      </w:r>
      <w:r w:rsidRPr="00E343EA">
        <w:rPr>
          <w:smallCaps/>
        </w:rPr>
        <w:t xml:space="preserve"> Daily </w:t>
      </w:r>
      <w:r>
        <w:rPr>
          <w:smallCaps/>
        </w:rPr>
        <w:t>Trib.</w:t>
      </w:r>
      <w:r w:rsidRPr="00E343EA">
        <w:rPr>
          <w:smallCaps/>
        </w:rPr>
        <w:t xml:space="preserve">, </w:t>
      </w:r>
      <w:r w:rsidRPr="00E343EA">
        <w:t>Nov. 29, 1891, at 2.</w:t>
      </w:r>
    </w:p>
  </w:footnote>
  <w:footnote w:id="102">
    <w:p w14:paraId="01586535" w14:textId="77777777" w:rsidR="00501D78" w:rsidRPr="00E343EA" w:rsidRDefault="00501D78" w:rsidP="00BF6A57">
      <w:pPr>
        <w:pStyle w:val="FootnoteText"/>
      </w:pPr>
      <w:r w:rsidRPr="00E343EA">
        <w:rPr>
          <w:rStyle w:val="FootnoteReference"/>
        </w:rPr>
        <w:footnoteRef/>
      </w:r>
      <w:r w:rsidRPr="00E343EA">
        <w:t xml:space="preserve"> </w:t>
      </w:r>
      <w:r w:rsidRPr="00E343EA">
        <w:rPr>
          <w:i/>
        </w:rPr>
        <w:t>Id.</w:t>
      </w:r>
    </w:p>
  </w:footnote>
  <w:footnote w:id="103">
    <w:p w14:paraId="4AE09422" w14:textId="15CC65BD" w:rsidR="00501D78" w:rsidRPr="00E343EA" w:rsidRDefault="00501D78" w:rsidP="00186983">
      <w:pPr>
        <w:pStyle w:val="FootnoteText"/>
      </w:pPr>
      <w:r w:rsidRPr="00E343EA">
        <w:rPr>
          <w:rStyle w:val="FootnoteReference"/>
        </w:rPr>
        <w:footnoteRef/>
      </w:r>
      <w:r w:rsidRPr="00E343EA">
        <w:t xml:space="preserve"> </w:t>
      </w:r>
      <w:r w:rsidRPr="00E343EA">
        <w:rPr>
          <w:i/>
        </w:rPr>
        <w:t xml:space="preserve">See </w:t>
      </w:r>
      <w:r w:rsidRPr="00E343EA">
        <w:rPr>
          <w:smallCaps/>
        </w:rPr>
        <w:t>I.L. Nascher, The Wretches of Povertyville 134 (1909)</w:t>
      </w:r>
      <w:r w:rsidRPr="00E343EA">
        <w:t xml:space="preserve">; Light, </w:t>
      </w:r>
      <w:r w:rsidRPr="00E343EA">
        <w:rPr>
          <w:i/>
        </w:rPr>
        <w:t xml:space="preserve">supra </w:t>
      </w:r>
      <w:r w:rsidRPr="00E343EA">
        <w:t xml:space="preserve">note </w:t>
      </w:r>
      <w:r w:rsidRPr="00E343EA">
        <w:fldChar w:fldCharType="begin"/>
      </w:r>
      <w:r w:rsidRPr="00E343EA">
        <w:instrText xml:space="preserve"> NOTEREF _Ref460866700 \h </w:instrText>
      </w:r>
      <w:r>
        <w:instrText xml:space="preserve"> \* MERGEFORMAT </w:instrText>
      </w:r>
      <w:r w:rsidRPr="00E343EA">
        <w:fldChar w:fldCharType="separate"/>
      </w:r>
      <w:r w:rsidR="008A4890">
        <w:t>31</w:t>
      </w:r>
      <w:r w:rsidRPr="00E343EA">
        <w:fldChar w:fldCharType="end"/>
      </w:r>
      <w:r w:rsidRPr="00E343EA">
        <w:t xml:space="preserve">, at 390; </w:t>
      </w:r>
      <w:r w:rsidRPr="00E343EA">
        <w:rPr>
          <w:i/>
        </w:rPr>
        <w:t>see</w:t>
      </w:r>
      <w:r w:rsidRPr="00E343EA">
        <w:t xml:space="preserve"> </w:t>
      </w:r>
      <w:r w:rsidRPr="00E343EA">
        <w:rPr>
          <w:i/>
        </w:rPr>
        <w:t>also</w:t>
      </w:r>
      <w:r w:rsidRPr="00E343EA">
        <w:t xml:space="preserve"> </w:t>
      </w:r>
      <w:r w:rsidRPr="00E343EA">
        <w:rPr>
          <w:i/>
        </w:rPr>
        <w:t xml:space="preserve">The social, moral, and political effect of Chinese Immigration: Testimony taken before a committee of the Senate of the State of California </w:t>
      </w:r>
      <w:r w:rsidRPr="00E343EA">
        <w:t>151 (Apr</w:t>
      </w:r>
      <w:r>
        <w:t>.</w:t>
      </w:r>
      <w:r w:rsidRPr="00E343EA">
        <w:t xml:space="preserve"> 3, 1876) (statement of James</w:t>
      </w:r>
      <w:r w:rsidRPr="00E343EA">
        <w:rPr>
          <w:i/>
        </w:rPr>
        <w:t xml:space="preserve"> </w:t>
      </w:r>
      <w:r w:rsidRPr="00E343EA">
        <w:t>R. Rogers, San Francisco Chief of Police).</w:t>
      </w:r>
    </w:p>
  </w:footnote>
  <w:footnote w:id="104">
    <w:p w14:paraId="6CB83EB8" w14:textId="457D0110" w:rsidR="00501D78" w:rsidRPr="00E343EA" w:rsidRDefault="00501D78" w:rsidP="001F747D">
      <w:pPr>
        <w:pStyle w:val="FootnoteText"/>
      </w:pPr>
      <w:r w:rsidRPr="00E343EA">
        <w:rPr>
          <w:rStyle w:val="FootnoteReference"/>
        </w:rPr>
        <w:footnoteRef/>
      </w:r>
      <w:r w:rsidRPr="00E343EA">
        <w:t xml:space="preserve"> </w:t>
      </w:r>
      <w:r w:rsidRPr="00E343EA">
        <w:rPr>
          <w:i/>
        </w:rPr>
        <w:t>See</w:t>
      </w:r>
      <w:r w:rsidRPr="00E343EA">
        <w:t xml:space="preserve"> </w:t>
      </w:r>
      <w:r w:rsidRPr="00E343EA">
        <w:rPr>
          <w:i/>
        </w:rPr>
        <w:t>Citizens May Take the Law Into Their Own Hands</w:t>
      </w:r>
      <w:r w:rsidRPr="00E343EA">
        <w:t xml:space="preserve">, </w:t>
      </w:r>
      <w:r w:rsidRPr="00E343EA">
        <w:rPr>
          <w:smallCaps/>
        </w:rPr>
        <w:t xml:space="preserve">S.F. Call, </w:t>
      </w:r>
      <w:r w:rsidRPr="00E343EA">
        <w:t xml:space="preserve">Dec. 27, 1899, at 1; </w:t>
      </w:r>
      <w:r w:rsidRPr="00E343EA">
        <w:rPr>
          <w:i/>
        </w:rPr>
        <w:t>Conceal Opium in Chop Suey Bowls</w:t>
      </w:r>
      <w:r w:rsidRPr="00E343EA">
        <w:t xml:space="preserve">, </w:t>
      </w:r>
      <w:r w:rsidRPr="00E343EA">
        <w:rPr>
          <w:smallCaps/>
        </w:rPr>
        <w:t>Weekly J</w:t>
      </w:r>
      <w:r>
        <w:rPr>
          <w:smallCaps/>
        </w:rPr>
        <w:t>.</w:t>
      </w:r>
      <w:r w:rsidRPr="00E343EA">
        <w:rPr>
          <w:smallCaps/>
        </w:rPr>
        <w:t>-Miner</w:t>
      </w:r>
      <w:r>
        <w:t xml:space="preserve"> (Ariz.),</w:t>
      </w:r>
      <w:r w:rsidRPr="00E343EA">
        <w:t xml:space="preserve"> Mar. 4, 1914, at 4;</w:t>
      </w:r>
      <w:r w:rsidRPr="00E343EA">
        <w:rPr>
          <w:i/>
        </w:rPr>
        <w:t xml:space="preserve"> Girls Frequent Opium Den</w:t>
      </w:r>
      <w:r w:rsidRPr="00E343EA">
        <w:t xml:space="preserve">, </w:t>
      </w:r>
      <w:r w:rsidRPr="00E343EA">
        <w:rPr>
          <w:smallCaps/>
        </w:rPr>
        <w:t xml:space="preserve">L.A. Times, </w:t>
      </w:r>
      <w:r w:rsidRPr="00E343EA">
        <w:t xml:space="preserve">Nov. 23, 1908, at I4; </w:t>
      </w:r>
      <w:r w:rsidRPr="00E343EA">
        <w:rPr>
          <w:i/>
        </w:rPr>
        <w:t>Mrs. Gooey Says White Girls Frequent Local Opium Dens</w:t>
      </w:r>
      <w:r w:rsidRPr="00E343EA">
        <w:t xml:space="preserve">, </w:t>
      </w:r>
      <w:r w:rsidRPr="00E343EA">
        <w:rPr>
          <w:smallCaps/>
        </w:rPr>
        <w:t xml:space="preserve">E. Oregonian, </w:t>
      </w:r>
      <w:r w:rsidRPr="00E343EA">
        <w:t>Nov. 8, 1909, at 1.</w:t>
      </w:r>
    </w:p>
  </w:footnote>
  <w:footnote w:id="105">
    <w:p w14:paraId="02C7DE63" w14:textId="145A0640" w:rsidR="00501D78" w:rsidRPr="00E343EA" w:rsidRDefault="00501D78" w:rsidP="001F747D">
      <w:pPr>
        <w:pStyle w:val="FootnoteText"/>
        <w:rPr>
          <w:i/>
        </w:rPr>
      </w:pPr>
      <w:r w:rsidRPr="00E343EA">
        <w:rPr>
          <w:rStyle w:val="FootnoteReference"/>
        </w:rPr>
        <w:footnoteRef/>
      </w:r>
      <w:r w:rsidRPr="00E343EA">
        <w:t xml:space="preserve"> </w:t>
      </w:r>
      <w:r w:rsidRPr="00E343EA">
        <w:rPr>
          <w:i/>
        </w:rPr>
        <w:t>See Rescued from Opium Den</w:t>
      </w:r>
      <w:r w:rsidRPr="00E343EA">
        <w:t xml:space="preserve">, </w:t>
      </w:r>
      <w:r w:rsidRPr="00E343EA">
        <w:rPr>
          <w:smallCaps/>
        </w:rPr>
        <w:t xml:space="preserve">Daily Ardmoreite </w:t>
      </w:r>
      <w:r>
        <w:rPr>
          <w:smallCaps/>
        </w:rPr>
        <w:t>(</w:t>
      </w:r>
      <w:r w:rsidRPr="00C11BFC">
        <w:t>Okla</w:t>
      </w:r>
      <w:r>
        <w:rPr>
          <w:smallCaps/>
        </w:rPr>
        <w:t xml:space="preserve">.), </w:t>
      </w:r>
      <w:r w:rsidRPr="00E343EA">
        <w:t xml:space="preserve">Nov. 26, 1908, at 2; </w:t>
      </w:r>
      <w:r w:rsidRPr="00E343EA">
        <w:rPr>
          <w:i/>
        </w:rPr>
        <w:t>accord Backroom of Saloon Takes Toll of Girls</w:t>
      </w:r>
      <w:r w:rsidRPr="00E343EA">
        <w:t xml:space="preserve">, </w:t>
      </w:r>
      <w:r w:rsidRPr="00E343EA">
        <w:rPr>
          <w:smallCaps/>
        </w:rPr>
        <w:t xml:space="preserve">The Star, </w:t>
      </w:r>
      <w:r>
        <w:t>Apr.</w:t>
      </w:r>
      <w:r w:rsidRPr="00E343EA">
        <w:t xml:space="preserve"> 3, 1914, at 2; </w:t>
      </w:r>
      <w:r w:rsidRPr="00E343EA">
        <w:rPr>
          <w:i/>
        </w:rPr>
        <w:t>Even Doctors Are Victims</w:t>
      </w:r>
      <w:r w:rsidRPr="00E343EA">
        <w:t xml:space="preserve">, </w:t>
      </w:r>
      <w:r>
        <w:rPr>
          <w:smallCaps/>
        </w:rPr>
        <w:t>Bos.</w:t>
      </w:r>
      <w:r w:rsidRPr="00E343EA">
        <w:rPr>
          <w:smallCaps/>
        </w:rPr>
        <w:t xml:space="preserve"> Daily Globe, </w:t>
      </w:r>
      <w:r w:rsidRPr="00E343EA">
        <w:t xml:space="preserve">Mar. 6, 1911, at 8 (stating that </w:t>
      </w:r>
      <w:r>
        <w:t>“</w:t>
      </w:r>
      <w:r w:rsidRPr="00E343EA">
        <w:t>numbers of Boston young women who patronize Chinese restaurants because of a taste for chop suey . . . [became] confirmed opium smokers</w:t>
      </w:r>
      <w:r>
        <w:t>”</w:t>
      </w:r>
      <w:r w:rsidRPr="00E343EA">
        <w:t xml:space="preserve"> in the </w:t>
      </w:r>
      <w:r>
        <w:t>“</w:t>
      </w:r>
      <w:r w:rsidRPr="00E343EA">
        <w:t>Chinese dives</w:t>
      </w:r>
      <w:r>
        <w:t>”</w:t>
      </w:r>
      <w:r w:rsidRPr="00E343EA">
        <w:t xml:space="preserve"> on Harrison Avenue.)</w:t>
      </w:r>
      <w:r>
        <w:t>;</w:t>
      </w:r>
      <w:r w:rsidRPr="00E343EA">
        <w:t xml:space="preserve"> </w:t>
      </w:r>
      <w:r w:rsidRPr="00E343EA">
        <w:rPr>
          <w:i/>
        </w:rPr>
        <w:t>White Girl Is Held Captive</w:t>
      </w:r>
      <w:r w:rsidRPr="00E343EA">
        <w:t xml:space="preserve">, </w:t>
      </w:r>
      <w:r>
        <w:rPr>
          <w:smallCaps/>
        </w:rPr>
        <w:t>Bos.</w:t>
      </w:r>
      <w:r w:rsidRPr="00E343EA">
        <w:rPr>
          <w:smallCaps/>
        </w:rPr>
        <w:t xml:space="preserve"> Daily Globe, </w:t>
      </w:r>
      <w:r w:rsidRPr="00E343EA">
        <w:t>Sep. 7, 1909, at 14</w:t>
      </w:r>
      <w:r>
        <w:t>.</w:t>
      </w:r>
    </w:p>
  </w:footnote>
  <w:footnote w:id="106">
    <w:p w14:paraId="48AB3A01" w14:textId="34CB3D7C" w:rsidR="00501D78" w:rsidRPr="00E343EA" w:rsidRDefault="00501D78" w:rsidP="001F747D">
      <w:pPr>
        <w:pStyle w:val="FootnoteText"/>
        <w:rPr>
          <w:i/>
        </w:rPr>
      </w:pPr>
      <w:r w:rsidRPr="00E343EA">
        <w:rPr>
          <w:rStyle w:val="FootnoteReference"/>
        </w:rPr>
        <w:footnoteRef/>
      </w:r>
      <w:r w:rsidRPr="00E343EA">
        <w:t xml:space="preserve"> </w:t>
      </w:r>
      <w:r w:rsidRPr="00E343EA">
        <w:rPr>
          <w:i/>
        </w:rPr>
        <w:t>See, e.g.</w:t>
      </w:r>
      <w:r w:rsidRPr="00E343EA">
        <w:t>,</w:t>
      </w:r>
      <w:r w:rsidRPr="00E343EA">
        <w:rPr>
          <w:i/>
        </w:rPr>
        <w:t xml:space="preserve"> Rescued from Opium Den</w:t>
      </w:r>
      <w:r w:rsidRPr="00E343EA">
        <w:t xml:space="preserve">, </w:t>
      </w:r>
      <w:r w:rsidRPr="00FA3721">
        <w:rPr>
          <w:i/>
        </w:rPr>
        <w:t>supra</w:t>
      </w:r>
      <w:r w:rsidRPr="00FA3721">
        <w:t xml:space="preserve"> note</w:t>
      </w:r>
      <w:r>
        <w:rPr>
          <w:smallCaps/>
        </w:rPr>
        <w:t xml:space="preserve"> </w:t>
      </w:r>
      <w:r>
        <w:rPr>
          <w:smallCaps/>
        </w:rPr>
        <w:fldChar w:fldCharType="begin"/>
      </w:r>
      <w:r>
        <w:rPr>
          <w:smallCaps/>
        </w:rPr>
        <w:instrText xml:space="preserve"> NOTEREF _Ref476154182 \h </w:instrText>
      </w:r>
      <w:r>
        <w:rPr>
          <w:smallCaps/>
        </w:rPr>
      </w:r>
      <w:r>
        <w:rPr>
          <w:smallCaps/>
        </w:rPr>
        <w:fldChar w:fldCharType="separate"/>
      </w:r>
      <w:r w:rsidR="008A4890">
        <w:rPr>
          <w:smallCaps/>
        </w:rPr>
        <w:t>102</w:t>
      </w:r>
      <w:r>
        <w:rPr>
          <w:smallCaps/>
        </w:rPr>
        <w:fldChar w:fldCharType="end"/>
      </w:r>
      <w:r>
        <w:rPr>
          <w:smallCaps/>
        </w:rPr>
        <w:t>,</w:t>
      </w:r>
      <w:r w:rsidRPr="00E343EA">
        <w:t xml:space="preserve"> at 2. </w:t>
      </w:r>
    </w:p>
  </w:footnote>
  <w:footnote w:id="107">
    <w:p w14:paraId="6BDD217D" w14:textId="77777777" w:rsidR="00501D78" w:rsidRPr="00E343EA" w:rsidRDefault="00501D78" w:rsidP="001F747D">
      <w:pPr>
        <w:pStyle w:val="FootnoteText"/>
        <w:rPr>
          <w:i/>
        </w:rPr>
      </w:pPr>
      <w:r w:rsidRPr="00E343EA">
        <w:rPr>
          <w:rStyle w:val="FootnoteReference"/>
        </w:rPr>
        <w:footnoteRef/>
      </w:r>
      <w:r w:rsidRPr="00E343EA">
        <w:t xml:space="preserve"> </w:t>
      </w:r>
      <w:r w:rsidRPr="00E343EA">
        <w:rPr>
          <w:i/>
        </w:rPr>
        <w:t>Importation and Use of Opium: Hearing on H.R. 25240, H.R. 25241, H.R. 25242, and H.R. 28971 Before the H. Comm. on Ways and Means</w:t>
      </w:r>
      <w:r w:rsidRPr="00E343EA">
        <w:t>, 61st Cong. 3d Sess. 71 (1911).</w:t>
      </w:r>
      <w:r w:rsidRPr="00E343EA">
        <w:rPr>
          <w:i/>
        </w:rPr>
        <w:t xml:space="preserve"> </w:t>
      </w:r>
    </w:p>
  </w:footnote>
  <w:footnote w:id="108">
    <w:p w14:paraId="3A35C39D" w14:textId="77777777" w:rsidR="00501D78" w:rsidRPr="00E343EA" w:rsidRDefault="00501D78" w:rsidP="00A67784">
      <w:pPr>
        <w:pStyle w:val="FootnoteText"/>
      </w:pPr>
      <w:r w:rsidRPr="00E343EA">
        <w:rPr>
          <w:rStyle w:val="FootnoteReference"/>
        </w:rPr>
        <w:footnoteRef/>
      </w:r>
      <w:r w:rsidRPr="00E343EA">
        <w:t xml:space="preserve"> </w:t>
      </w:r>
      <w:r w:rsidRPr="00E343EA">
        <w:rPr>
          <w:smallCaps/>
        </w:rPr>
        <w:t>Marvin Lachman, The Villainous Stage: Crime Plays on Broadway and in the West End</w:t>
      </w:r>
      <w:r w:rsidRPr="00E343EA">
        <w:t xml:space="preserve"> 155 (2014).</w:t>
      </w:r>
    </w:p>
  </w:footnote>
  <w:footnote w:id="109">
    <w:p w14:paraId="3B9E32C8" w14:textId="74029A95" w:rsidR="00501D78" w:rsidRPr="00E343EA" w:rsidRDefault="00501D78" w:rsidP="00A67784">
      <w:pPr>
        <w:pStyle w:val="FootnoteText"/>
      </w:pPr>
      <w:r w:rsidRPr="00E343EA">
        <w:rPr>
          <w:rStyle w:val="FootnoteReference"/>
        </w:rPr>
        <w:footnoteRef/>
      </w:r>
      <w:r w:rsidRPr="00E343EA">
        <w:t xml:space="preserve"> </w:t>
      </w:r>
      <w:r w:rsidRPr="00E343EA">
        <w:rPr>
          <w:smallCaps/>
        </w:rPr>
        <w:t>Dalles Daily Chron.</w:t>
      </w:r>
      <w:r>
        <w:rPr>
          <w:smallCaps/>
        </w:rPr>
        <w:t xml:space="preserve"> </w:t>
      </w:r>
      <w:r w:rsidRPr="00FA3721">
        <w:t>(Or.)</w:t>
      </w:r>
      <w:r w:rsidRPr="00E343EA">
        <w:rPr>
          <w:smallCaps/>
        </w:rPr>
        <w:t xml:space="preserve">, </w:t>
      </w:r>
      <w:r w:rsidRPr="00E343EA">
        <w:t>Oct. 6, 1900, at 4.</w:t>
      </w:r>
    </w:p>
  </w:footnote>
  <w:footnote w:id="110">
    <w:p w14:paraId="3F0EE6D7" w14:textId="77777777" w:rsidR="00501D78" w:rsidRPr="00E343EA" w:rsidRDefault="00501D78" w:rsidP="00A67784">
      <w:pPr>
        <w:pStyle w:val="FootnoteText"/>
      </w:pPr>
      <w:r w:rsidRPr="00E343EA">
        <w:rPr>
          <w:rStyle w:val="FootnoteReference"/>
        </w:rPr>
        <w:footnoteRef/>
      </w:r>
      <w:r w:rsidRPr="00E343EA">
        <w:t xml:space="preserve"> Judy M. Tachibana, </w:t>
      </w:r>
      <w:r w:rsidRPr="00E343EA">
        <w:rPr>
          <w:i/>
        </w:rPr>
        <w:t>Outwitting the Whites: One Image of the Chinese in California Fiction and Poetry, 1849-1924</w:t>
      </w:r>
      <w:r w:rsidRPr="00E343EA">
        <w:t xml:space="preserve">, 61 </w:t>
      </w:r>
      <w:r w:rsidRPr="00E343EA">
        <w:rPr>
          <w:smallCaps/>
        </w:rPr>
        <w:t>S. Cal. Q.</w:t>
      </w:r>
      <w:r w:rsidRPr="00E343EA">
        <w:t xml:space="preserve"> No. 4, 379, 385 (Winter 1979).</w:t>
      </w:r>
    </w:p>
  </w:footnote>
  <w:footnote w:id="111">
    <w:p w14:paraId="4992C93B" w14:textId="77A52797" w:rsidR="00501D78" w:rsidRDefault="00501D78" w:rsidP="00A67784">
      <w:pPr>
        <w:pStyle w:val="FootnoteText"/>
      </w:pPr>
      <w:r>
        <w:rPr>
          <w:rStyle w:val="FootnoteReference"/>
        </w:rPr>
        <w:footnoteRef/>
      </w:r>
      <w:r>
        <w:t xml:space="preserve"> Daniel Czitrom, </w:t>
      </w:r>
      <w:r w:rsidRPr="008A4E63">
        <w:rPr>
          <w:i/>
        </w:rPr>
        <w:t>The Politics of Performance: From Theater Licensing to Movie Censorship in Turn-of-the-Century New York</w:t>
      </w:r>
      <w:r>
        <w:t xml:space="preserve">, 44 </w:t>
      </w:r>
      <w:r w:rsidRPr="008A4E63">
        <w:rPr>
          <w:smallCaps/>
        </w:rPr>
        <w:t>Am. Q.</w:t>
      </w:r>
      <w:r>
        <w:t xml:space="preserve"> 525, 541 (1992) (describing films depicting Chinatown, such as </w:t>
      </w:r>
      <w:r w:rsidRPr="008A4E63">
        <w:rPr>
          <w:i/>
        </w:rPr>
        <w:t>Lifting the Lid</w:t>
      </w:r>
      <w:r>
        <w:t xml:space="preserve"> (Biograph 1905), and </w:t>
      </w:r>
      <w:r w:rsidRPr="008A4E63">
        <w:rPr>
          <w:i/>
        </w:rPr>
        <w:t>The Deceived Slumming Party</w:t>
      </w:r>
      <w:r>
        <w:t xml:space="preserve"> (Biograph 1908)).</w:t>
      </w:r>
    </w:p>
  </w:footnote>
  <w:footnote w:id="112">
    <w:p w14:paraId="39BAAB2F" w14:textId="77777777" w:rsidR="00501D78" w:rsidRDefault="00501D78" w:rsidP="00A67784">
      <w:pPr>
        <w:pStyle w:val="FootnoteText"/>
      </w:pPr>
      <w:r>
        <w:rPr>
          <w:rStyle w:val="FootnoteReference"/>
        </w:rPr>
        <w:footnoteRef/>
      </w:r>
      <w:r>
        <w:t xml:space="preserve"> John X. Christ, </w:t>
      </w:r>
      <w:r w:rsidRPr="008A4E63">
        <w:rPr>
          <w:i/>
        </w:rPr>
        <w:t>A Short Guide to the Art of Dining, Slumming, Touring, Wildlife, and Women for Hire in New York's Chinatown and Chinese Restaurants</w:t>
      </w:r>
      <w:r>
        <w:t xml:space="preserve">, 26 </w:t>
      </w:r>
      <w:r w:rsidRPr="008A4E63">
        <w:rPr>
          <w:smallCaps/>
        </w:rPr>
        <w:t>Oxford Art J.</w:t>
      </w:r>
      <w:r>
        <w:t xml:space="preserve"> 73 (2003).</w:t>
      </w:r>
    </w:p>
  </w:footnote>
  <w:footnote w:id="113">
    <w:p w14:paraId="2E5D5415" w14:textId="4359D77C" w:rsidR="00501D78" w:rsidRPr="00E343EA" w:rsidRDefault="00501D78" w:rsidP="00BF6A57">
      <w:pPr>
        <w:pStyle w:val="FootnoteText"/>
      </w:pPr>
      <w:r w:rsidRPr="00E343EA">
        <w:rPr>
          <w:rStyle w:val="FootnoteReference"/>
        </w:rPr>
        <w:footnoteRef/>
      </w:r>
      <w:r w:rsidRPr="00E343EA">
        <w:t xml:space="preserve"> </w:t>
      </w:r>
      <w:r w:rsidRPr="00E343EA">
        <w:rPr>
          <w:i/>
        </w:rPr>
        <w:t>See</w:t>
      </w:r>
      <w:r w:rsidRPr="00E343EA">
        <w:t xml:space="preserve"> Light, </w:t>
      </w:r>
      <w:r w:rsidRPr="00E343EA">
        <w:rPr>
          <w:i/>
        </w:rPr>
        <w:t>supra</w:t>
      </w:r>
      <w:r w:rsidRPr="00E343EA">
        <w:t xml:space="preserve"> note </w:t>
      </w:r>
      <w:r w:rsidRPr="00E343EA">
        <w:fldChar w:fldCharType="begin"/>
      </w:r>
      <w:r w:rsidRPr="00E343EA">
        <w:instrText xml:space="preserve"> NOTEREF _Ref460866700 \h </w:instrText>
      </w:r>
      <w:r>
        <w:instrText xml:space="preserve"> \* MERGEFORMAT </w:instrText>
      </w:r>
      <w:r w:rsidRPr="00E343EA">
        <w:fldChar w:fldCharType="separate"/>
      </w:r>
      <w:r w:rsidR="008A4890">
        <w:t>31</w:t>
      </w:r>
      <w:r w:rsidRPr="00E343EA">
        <w:fldChar w:fldCharType="end"/>
      </w:r>
      <w:r w:rsidRPr="00E343EA">
        <w:t>, at</w:t>
      </w:r>
      <w:r w:rsidRPr="00E343EA">
        <w:rPr>
          <w:smallCaps/>
        </w:rPr>
        <w:t xml:space="preserve"> 368; </w:t>
      </w:r>
      <w:r w:rsidRPr="00E343EA">
        <w:rPr>
          <w:i/>
        </w:rPr>
        <w:t>see also Girls Drink Beer At All Hours in Chop Suey Houses</w:t>
      </w:r>
      <w:r w:rsidRPr="00E343EA">
        <w:t xml:space="preserve">, </w:t>
      </w:r>
      <w:r>
        <w:rPr>
          <w:smallCaps/>
        </w:rPr>
        <w:t>Chi.</w:t>
      </w:r>
      <w:r w:rsidRPr="00E343EA">
        <w:rPr>
          <w:smallCaps/>
        </w:rPr>
        <w:t xml:space="preserve"> Daily </w:t>
      </w:r>
      <w:r>
        <w:rPr>
          <w:smallCaps/>
        </w:rPr>
        <w:t>Trib.</w:t>
      </w:r>
      <w:r w:rsidRPr="00E343EA">
        <w:rPr>
          <w:smallCaps/>
        </w:rPr>
        <w:t xml:space="preserve">, </w:t>
      </w:r>
      <w:r w:rsidRPr="00E343EA">
        <w:t>May 16, 1914, at 1 (discussing a 1914 investigation of 26 Chinese restaurants in Chicago);</w:t>
      </w:r>
      <w:r w:rsidRPr="00DD3B3C">
        <w:t xml:space="preserve"> </w:t>
      </w:r>
      <w:r w:rsidRPr="00E343EA">
        <w:rPr>
          <w:i/>
        </w:rPr>
        <w:t>Girl Exposes Opium Den</w:t>
      </w:r>
      <w:r w:rsidRPr="00E343EA">
        <w:t xml:space="preserve">, </w:t>
      </w:r>
      <w:r w:rsidRPr="00E343EA">
        <w:rPr>
          <w:smallCaps/>
        </w:rPr>
        <w:t xml:space="preserve">Indiana Star, </w:t>
      </w:r>
      <w:r w:rsidRPr="00E343EA">
        <w:t xml:space="preserve">Feb. 22, 1910, at 5; </w:t>
      </w:r>
      <w:r w:rsidRPr="00E343EA">
        <w:rPr>
          <w:i/>
        </w:rPr>
        <w:t>Barred from Chinatown</w:t>
      </w:r>
      <w:r w:rsidRPr="00E343EA">
        <w:t xml:space="preserve">, </w:t>
      </w:r>
      <w:r w:rsidRPr="000337CA">
        <w:rPr>
          <w:i/>
        </w:rPr>
        <w:t>supra</w:t>
      </w:r>
      <w:r w:rsidRPr="000337CA">
        <w:t xml:space="preserve"> note </w:t>
      </w:r>
      <w:r>
        <w:fldChar w:fldCharType="begin"/>
      </w:r>
      <w:r>
        <w:instrText xml:space="preserve"> NOTEREF _Ref461985950 \h </w:instrText>
      </w:r>
      <w:r>
        <w:fldChar w:fldCharType="separate"/>
      </w:r>
      <w:r w:rsidR="008A4890">
        <w:t>97</w:t>
      </w:r>
      <w:r>
        <w:fldChar w:fldCharType="end"/>
      </w:r>
      <w:r>
        <w:rPr>
          <w:smallCaps/>
        </w:rPr>
        <w:t>,</w:t>
      </w:r>
      <w:r w:rsidRPr="00E343EA">
        <w:t xml:space="preserve"> at 7; </w:t>
      </w:r>
      <w:r w:rsidRPr="00E343EA">
        <w:rPr>
          <w:i/>
        </w:rPr>
        <w:t>Assails Board</w:t>
      </w:r>
      <w:r w:rsidRPr="00E343EA">
        <w:t xml:space="preserve">, </w:t>
      </w:r>
      <w:r>
        <w:rPr>
          <w:smallCaps/>
        </w:rPr>
        <w:t>Bos.</w:t>
      </w:r>
      <w:r w:rsidRPr="00E343EA">
        <w:rPr>
          <w:smallCaps/>
        </w:rPr>
        <w:t xml:space="preserve"> Daily Globe, </w:t>
      </w:r>
      <w:r w:rsidRPr="00E343EA">
        <w:t>Feb. 1, 1901, at 6 (</w:t>
      </w:r>
      <w:r>
        <w:t>“</w:t>
      </w:r>
      <w:r w:rsidRPr="00E343EA">
        <w:t>The</w:t>
      </w:r>
      <w:r>
        <w:t>y</w:t>
      </w:r>
      <w:r w:rsidRPr="00E343EA">
        <w:t xml:space="preserve"> have suffered to exist for a long time Chinese resorts [sic], frequented by both sexes, where the scenes of the most revolting character are nightly enacted under the eye of the police, with no effort on the part of the board to stop this evil.</w:t>
      </w:r>
      <w:r>
        <w:t>”</w:t>
      </w:r>
      <w:r w:rsidRPr="00E343EA">
        <w:t xml:space="preserve">) (quoting statements before the Massachusetts Legislature); </w:t>
      </w:r>
      <w:r w:rsidRPr="00E343EA">
        <w:rPr>
          <w:i/>
        </w:rPr>
        <w:t>The Chinese Restaurants</w:t>
      </w:r>
      <w:r w:rsidRPr="00E343EA">
        <w:t xml:space="preserve">, </w:t>
      </w:r>
      <w:r>
        <w:rPr>
          <w:smallCaps/>
        </w:rPr>
        <w:t>Bos.</w:t>
      </w:r>
      <w:r w:rsidRPr="00E343EA">
        <w:rPr>
          <w:smallCaps/>
        </w:rPr>
        <w:t xml:space="preserve"> Daily Advertiser, </w:t>
      </w:r>
      <w:r>
        <w:t xml:space="preserve">Aug. 12, 1899, at 4; </w:t>
      </w:r>
      <w:r w:rsidRPr="00E343EA">
        <w:rPr>
          <w:i/>
        </w:rPr>
        <w:t>Sunday Vice in Chinatown</w:t>
      </w:r>
      <w:r w:rsidRPr="00E343EA">
        <w:t xml:space="preserve">, </w:t>
      </w:r>
      <w:r w:rsidRPr="00E343EA">
        <w:rPr>
          <w:smallCaps/>
        </w:rPr>
        <w:t xml:space="preserve">N.Y. Herald, </w:t>
      </w:r>
      <w:r w:rsidRPr="00E343EA">
        <w:t>Jan. 14, 1895, at 3</w:t>
      </w:r>
      <w:r>
        <w:t xml:space="preserve">. </w:t>
      </w:r>
      <w:r w:rsidRPr="000E6FAA">
        <w:rPr>
          <w:i/>
        </w:rPr>
        <w:t>But see</w:t>
      </w:r>
      <w:r>
        <w:t xml:space="preserve"> </w:t>
      </w:r>
      <w:r w:rsidRPr="00E343EA">
        <w:rPr>
          <w:i/>
        </w:rPr>
        <w:t>Reform Chinatown Here; No Fights, No Opium Now; All Games Are Innocent</w:t>
      </w:r>
      <w:r w:rsidRPr="00E343EA">
        <w:t xml:space="preserve">, </w:t>
      </w:r>
      <w:r w:rsidRPr="00E343EA">
        <w:rPr>
          <w:smallCaps/>
        </w:rPr>
        <w:t xml:space="preserve">Wash. Post, </w:t>
      </w:r>
      <w:r w:rsidRPr="00E343EA">
        <w:t>Mar. 25, 1917, at 2 (describing the Chinatown of the past while commenting on its recent reform)</w:t>
      </w:r>
      <w:r>
        <w:t>.</w:t>
      </w:r>
      <w:r w:rsidRPr="00E343EA">
        <w:rPr>
          <w:i/>
        </w:rPr>
        <w:t xml:space="preserve"> </w:t>
      </w:r>
    </w:p>
  </w:footnote>
  <w:footnote w:id="114">
    <w:p w14:paraId="4D6F7156" w14:textId="2D84CED6" w:rsidR="00501D78" w:rsidRPr="00E343EA" w:rsidRDefault="00501D78" w:rsidP="00BF6A57">
      <w:pPr>
        <w:pStyle w:val="FootnoteText"/>
      </w:pPr>
      <w:r w:rsidRPr="00E343EA">
        <w:rPr>
          <w:rStyle w:val="FootnoteReference"/>
        </w:rPr>
        <w:footnoteRef/>
      </w:r>
      <w:r w:rsidRPr="00E343EA">
        <w:t xml:space="preserve"> </w:t>
      </w:r>
      <w:r w:rsidRPr="00E343EA">
        <w:rPr>
          <w:i/>
        </w:rPr>
        <w:t>See To Make War on Restaurants Drinks</w:t>
      </w:r>
      <w:r w:rsidRPr="00E343EA">
        <w:t xml:space="preserve">, </w:t>
      </w:r>
      <w:r w:rsidRPr="00E343EA">
        <w:rPr>
          <w:smallCaps/>
        </w:rPr>
        <w:t>El Paso Herald, O</w:t>
      </w:r>
      <w:r w:rsidRPr="00E343EA">
        <w:t xml:space="preserve">ct. 5, 1913, at B4; </w:t>
      </w:r>
      <w:r w:rsidRPr="00E343EA">
        <w:rPr>
          <w:i/>
        </w:rPr>
        <w:t>see, e.g.</w:t>
      </w:r>
      <w:r w:rsidRPr="00E343EA">
        <w:t xml:space="preserve">, </w:t>
      </w:r>
      <w:r w:rsidRPr="00E343EA">
        <w:rPr>
          <w:i/>
        </w:rPr>
        <w:t>Chop Suey Dealer Is Fined</w:t>
      </w:r>
      <w:r w:rsidRPr="00E343EA">
        <w:t xml:space="preserve">, </w:t>
      </w:r>
      <w:r w:rsidRPr="00E343EA">
        <w:rPr>
          <w:smallCaps/>
        </w:rPr>
        <w:t>Omaha Sun</w:t>
      </w:r>
      <w:r>
        <w:rPr>
          <w:smallCaps/>
        </w:rPr>
        <w:t>.</w:t>
      </w:r>
      <w:r w:rsidRPr="00E343EA">
        <w:rPr>
          <w:smallCaps/>
        </w:rPr>
        <w:t xml:space="preserve"> Bee</w:t>
      </w:r>
      <w:r w:rsidRPr="00E343EA">
        <w:t>, Oct. 16, 1910, at F8 (reporting fine for selling liquor after 8 o</w:t>
      </w:r>
      <w:r>
        <w:t>’</w:t>
      </w:r>
      <w:r w:rsidRPr="00E343EA">
        <w:t xml:space="preserve">clock); </w:t>
      </w:r>
      <w:r w:rsidRPr="00E343EA">
        <w:rPr>
          <w:i/>
        </w:rPr>
        <w:t>Three Killed and Nine Wounded in Political Riots at Rock Island</w:t>
      </w:r>
      <w:r w:rsidRPr="00E343EA">
        <w:t xml:space="preserve">, </w:t>
      </w:r>
      <w:r w:rsidRPr="00E343EA">
        <w:rPr>
          <w:smallCaps/>
        </w:rPr>
        <w:t xml:space="preserve">El Paso Herald, </w:t>
      </w:r>
      <w:r w:rsidRPr="00E343EA">
        <w:t>Mar. 27, 1912, at 5 (</w:t>
      </w:r>
      <w:r>
        <w:t>“</w:t>
      </w:r>
      <w:r w:rsidRPr="00E343EA">
        <w:t>The whole trouble from its inception may be traced to the fact that I favored the law against disorderly saloons and chop suey joints.</w:t>
      </w:r>
      <w:r>
        <w:t>”</w:t>
      </w:r>
      <w:r w:rsidRPr="00E343EA">
        <w:t>).</w:t>
      </w:r>
    </w:p>
  </w:footnote>
  <w:footnote w:id="115">
    <w:p w14:paraId="300DB19C" w14:textId="2D8D613B" w:rsidR="00501D78" w:rsidRDefault="00501D78" w:rsidP="008A6BC1">
      <w:pPr>
        <w:pStyle w:val="FootnoteText"/>
      </w:pPr>
      <w:r>
        <w:rPr>
          <w:rStyle w:val="FootnoteReference"/>
        </w:rPr>
        <w:footnoteRef/>
      </w:r>
      <w:r>
        <w:t xml:space="preserve"> </w:t>
      </w:r>
      <w:r w:rsidRPr="00B347AD">
        <w:rPr>
          <w:smallCaps/>
        </w:rPr>
        <w:t>Chen</w:t>
      </w:r>
      <w:r w:rsidRPr="00B347AD">
        <w:t>,</w:t>
      </w:r>
      <w:r>
        <w:rPr>
          <w:i/>
        </w:rPr>
        <w:t xml:space="preserve"> supra</w:t>
      </w:r>
      <w:r w:rsidRPr="00B347AD">
        <w:t xml:space="preserve"> note</w:t>
      </w:r>
      <w:r>
        <w:t xml:space="preserve"> </w:t>
      </w:r>
      <w:r>
        <w:fldChar w:fldCharType="begin"/>
      </w:r>
      <w:r>
        <w:instrText xml:space="preserve"> NOTEREF _Ref475540046 \h </w:instrText>
      </w:r>
      <w:r>
        <w:fldChar w:fldCharType="separate"/>
      </w:r>
      <w:r w:rsidR="008A4890">
        <w:t>2</w:t>
      </w:r>
      <w:r>
        <w:fldChar w:fldCharType="end"/>
      </w:r>
      <w:r>
        <w:t>, at 107 (“The ambiance was not the only reason that attracted [African Americans] to the Chinese restaurant; it was one of the few public places that welcomed them.”). As one newspaper reported: “</w:t>
      </w:r>
      <w:r w:rsidRPr="00E343EA">
        <w:t>Whites, blacks, and Mongolians mingled without sign of prejudice.</w:t>
      </w:r>
      <w:r>
        <w:t>”</w:t>
      </w:r>
      <w:r w:rsidRPr="00E343EA">
        <w:t xml:space="preserve"> </w:t>
      </w:r>
      <w:r w:rsidRPr="00E343EA">
        <w:rPr>
          <w:i/>
        </w:rPr>
        <w:t>Two Mott Street Restaurants: Open All Night—Free Tea and Mixed Company</w:t>
      </w:r>
      <w:r w:rsidRPr="00E343EA">
        <w:t xml:space="preserve">, </w:t>
      </w:r>
      <w:r w:rsidRPr="00E343EA">
        <w:rPr>
          <w:smallCaps/>
        </w:rPr>
        <w:t>N.Y. Sun</w:t>
      </w:r>
      <w:r w:rsidRPr="00E343EA">
        <w:t>, Feb. 28, 1892, at 21.</w:t>
      </w:r>
      <w:r>
        <w:t xml:space="preserve"> </w:t>
      </w:r>
      <w:r w:rsidRPr="00982E32">
        <w:rPr>
          <w:i/>
        </w:rPr>
        <w:t>See also</w:t>
      </w:r>
      <w:r>
        <w:t xml:space="preserve"> </w:t>
      </w:r>
      <w:r>
        <w:rPr>
          <w:i/>
        </w:rPr>
        <w:t xml:space="preserve">In Washington’s </w:t>
      </w:r>
      <w:r w:rsidRPr="00E343EA">
        <w:rPr>
          <w:i/>
        </w:rPr>
        <w:t xml:space="preserve"> Chinatown</w:t>
      </w:r>
      <w:r w:rsidRPr="00E343EA">
        <w:t>,</w:t>
      </w:r>
      <w:r w:rsidRPr="00E343EA">
        <w:rPr>
          <w:smallCaps/>
        </w:rPr>
        <w:t xml:space="preserve"> </w:t>
      </w:r>
      <w:r w:rsidRPr="008C6F08">
        <w:rPr>
          <w:i/>
        </w:rPr>
        <w:t>supra</w:t>
      </w:r>
      <w:r w:rsidRPr="008C6F08">
        <w:t xml:space="preserve"> note</w:t>
      </w:r>
      <w:r>
        <w:rPr>
          <w:smallCaps/>
        </w:rPr>
        <w:t xml:space="preserve"> </w:t>
      </w:r>
      <w:r>
        <w:rPr>
          <w:smallCaps/>
        </w:rPr>
        <w:fldChar w:fldCharType="begin"/>
      </w:r>
      <w:r>
        <w:rPr>
          <w:smallCaps/>
        </w:rPr>
        <w:instrText xml:space="preserve"> NOTEREF _Ref476490883 \h </w:instrText>
      </w:r>
      <w:r>
        <w:rPr>
          <w:smallCaps/>
        </w:rPr>
      </w:r>
      <w:r>
        <w:rPr>
          <w:smallCaps/>
        </w:rPr>
        <w:fldChar w:fldCharType="separate"/>
      </w:r>
      <w:r w:rsidR="008A4890">
        <w:rPr>
          <w:smallCaps/>
        </w:rPr>
        <w:t>41</w:t>
      </w:r>
      <w:r>
        <w:rPr>
          <w:smallCaps/>
        </w:rPr>
        <w:fldChar w:fldCharType="end"/>
      </w:r>
      <w:r w:rsidRPr="00E343EA">
        <w:t>, at 6 (</w:t>
      </w:r>
      <w:r>
        <w:t>“</w:t>
      </w:r>
      <w:r w:rsidRPr="00E343EA">
        <w:t>Another of the original chop suey and yet quo mein restaurants in Chinatown is familiarly known as Moy</w:t>
      </w:r>
      <w:r>
        <w:t>’</w:t>
      </w:r>
      <w:r w:rsidRPr="00E343EA">
        <w:t>s. . . . These resorts a do rushing business after the bells have tolled the midnight hour, and often a motley array of customers are to be found in them while the city sleeps — men, women and boys, black, white and yellow and all shades of morality, some drunk, some sober and others who eat great quantities of yet quo mein in their efforts to get sober, as the dish is said to have quite a sobering effect on the whiskey-soaked rounder of the night.</w:t>
      </w:r>
      <w:r>
        <w:t>”</w:t>
      </w:r>
      <w:r w:rsidRPr="00E343EA">
        <w:t>)</w:t>
      </w:r>
      <w:r>
        <w:t>.</w:t>
      </w:r>
    </w:p>
  </w:footnote>
  <w:footnote w:id="116">
    <w:p w14:paraId="266A448E" w14:textId="1E7A6EB4" w:rsidR="00501D78" w:rsidRPr="00E343EA" w:rsidRDefault="00501D78" w:rsidP="00BF6A57">
      <w:pPr>
        <w:pStyle w:val="FootnoteText"/>
      </w:pPr>
      <w:r w:rsidRPr="00E343EA">
        <w:rPr>
          <w:rStyle w:val="FootnoteReference"/>
        </w:rPr>
        <w:footnoteRef/>
      </w:r>
      <w:r w:rsidRPr="00E343EA">
        <w:t xml:space="preserve"> </w:t>
      </w:r>
      <w:r w:rsidRPr="00E343EA">
        <w:rPr>
          <w:i/>
        </w:rPr>
        <w:t xml:space="preserve">See </w:t>
      </w:r>
      <w:r w:rsidRPr="00E343EA">
        <w:t xml:space="preserve">Berglund, </w:t>
      </w:r>
      <w:r w:rsidRPr="00E343EA">
        <w:rPr>
          <w:i/>
        </w:rPr>
        <w:t>supra</w:t>
      </w:r>
      <w:r w:rsidRPr="00E343EA">
        <w:t xml:space="preserve"> note </w:t>
      </w:r>
      <w:r>
        <w:fldChar w:fldCharType="begin"/>
      </w:r>
      <w:r>
        <w:instrText xml:space="preserve"> NOTEREF _Ref461986149 \h </w:instrText>
      </w:r>
      <w:r>
        <w:fldChar w:fldCharType="separate"/>
      </w:r>
      <w:r w:rsidR="008A4890">
        <w:t>96</w:t>
      </w:r>
      <w:r>
        <w:fldChar w:fldCharType="end"/>
      </w:r>
      <w:r>
        <w:t>,</w:t>
      </w:r>
      <w:r w:rsidRPr="00E343EA">
        <w:t xml:space="preserve"> at 17 (</w:t>
      </w:r>
      <w:r>
        <w:t>“</w:t>
      </w:r>
      <w:r w:rsidRPr="00E343EA">
        <w:t>In the tourist literature, Chinese restaurants, for example, were portrayed as violating norms of public health as well as various food taboos.</w:t>
      </w:r>
      <w:r>
        <w:t>”</w:t>
      </w:r>
      <w:r w:rsidRPr="00E343EA">
        <w:t xml:space="preserve">); Light, </w:t>
      </w:r>
      <w:r w:rsidRPr="00E343EA">
        <w:rPr>
          <w:i/>
        </w:rPr>
        <w:t xml:space="preserve">supra </w:t>
      </w:r>
      <w:r w:rsidRPr="00E343EA">
        <w:t xml:space="preserve">note </w:t>
      </w:r>
      <w:r w:rsidRPr="00E343EA">
        <w:fldChar w:fldCharType="begin"/>
      </w:r>
      <w:r w:rsidRPr="00E343EA">
        <w:instrText xml:space="preserve"> NOTEREF _Ref460866700 \h </w:instrText>
      </w:r>
      <w:r>
        <w:instrText xml:space="preserve"> \* MERGEFORMAT </w:instrText>
      </w:r>
      <w:r w:rsidRPr="00E343EA">
        <w:fldChar w:fldCharType="separate"/>
      </w:r>
      <w:r w:rsidR="008A4890">
        <w:t>31</w:t>
      </w:r>
      <w:r w:rsidRPr="00E343EA">
        <w:fldChar w:fldCharType="end"/>
      </w:r>
      <w:r w:rsidRPr="00E343EA">
        <w:t xml:space="preserve">, at 383; </w:t>
      </w:r>
      <w:r w:rsidRPr="00E343EA">
        <w:rPr>
          <w:i/>
        </w:rPr>
        <w:t>Police Capture 178 In Chop Suey Raids</w:t>
      </w:r>
      <w:r w:rsidRPr="00E343EA">
        <w:t xml:space="preserve">, </w:t>
      </w:r>
      <w:r w:rsidRPr="00E343EA">
        <w:rPr>
          <w:smallCaps/>
        </w:rPr>
        <w:t xml:space="preserve">N.Y. Times, </w:t>
      </w:r>
      <w:r w:rsidRPr="00E343EA">
        <w:t xml:space="preserve">Apr. 15, 1918, at 8 (quoting an assistant district attorney as stating </w:t>
      </w:r>
      <w:r>
        <w:t>“</w:t>
      </w:r>
      <w:r w:rsidRPr="00E343EA">
        <w:t>there are many persons left in this city who believe that the Sabbath should be observed. Chop suey restaurants at 2 o</w:t>
      </w:r>
      <w:r>
        <w:t>’</w:t>
      </w:r>
      <w:r w:rsidRPr="00E343EA">
        <w:t>clock or later in the morning are not fit places for young girls 16 or 17 and there were several of this age detained</w:t>
      </w:r>
      <w:r>
        <w:t>”</w:t>
      </w:r>
      <w:r w:rsidRPr="00E343EA">
        <w:t xml:space="preserve">); </w:t>
      </w:r>
      <w:r w:rsidRPr="00E343EA">
        <w:rPr>
          <w:i/>
        </w:rPr>
        <w:t>300 Arrested as N.Y. Police Raid 30 Joints</w:t>
      </w:r>
      <w:r w:rsidRPr="00E343EA">
        <w:t xml:space="preserve">, </w:t>
      </w:r>
      <w:r w:rsidRPr="00E343EA">
        <w:rPr>
          <w:smallCaps/>
        </w:rPr>
        <w:t>Wash. Herald</w:t>
      </w:r>
      <w:r w:rsidRPr="00E343EA">
        <w:t>, Apr. 15, 1918, at 8 (</w:t>
      </w:r>
      <w:r>
        <w:t>“</w:t>
      </w:r>
      <w:r w:rsidRPr="00E343EA">
        <w:t>Many young girls evidently not out of their teens were found in the raid. In most of these cases as soon as the police entered the man escorts of the girls deserted them.</w:t>
      </w:r>
      <w:r>
        <w:t>”</w:t>
      </w:r>
      <w:r w:rsidRPr="00E343EA">
        <w:t>)</w:t>
      </w:r>
      <w:r>
        <w:t>;</w:t>
      </w:r>
      <w:r w:rsidRPr="00E343EA">
        <w:t xml:space="preserve"> 26 </w:t>
      </w:r>
      <w:r w:rsidRPr="00E343EA">
        <w:rPr>
          <w:smallCaps/>
        </w:rPr>
        <w:t>Mixer &amp; Server</w:t>
      </w:r>
      <w:r w:rsidRPr="00E343EA">
        <w:t xml:space="preserve"> No. 5,  May 15, 1917, at 23  (</w:t>
      </w:r>
      <w:r>
        <w:t>noting “</w:t>
      </w:r>
      <w:r w:rsidRPr="00E343EA">
        <w:t>the demoralizing effect the behavior permitted in those places is liable to have on the community.</w:t>
      </w:r>
      <w:r>
        <w:t>”</w:t>
      </w:r>
      <w:r w:rsidRPr="00E343EA">
        <w:t xml:space="preserve">); 24 </w:t>
      </w:r>
      <w:r w:rsidRPr="00E343EA">
        <w:rPr>
          <w:smallCaps/>
        </w:rPr>
        <w:t>Mixer &amp; Server</w:t>
      </w:r>
      <w:r w:rsidRPr="00E343EA">
        <w:t xml:space="preserve"> No. 4, Apr</w:t>
      </w:r>
      <w:r>
        <w:t>.</w:t>
      </w:r>
      <w:r w:rsidRPr="00E343EA">
        <w:t xml:space="preserve"> 15, 1915 at 29-30  (</w:t>
      </w:r>
      <w:r>
        <w:t>noting that sponsor of anti-Chinese restaurant measure reported that</w:t>
      </w:r>
      <w:r w:rsidRPr="00E343EA">
        <w:t xml:space="preserve"> </w:t>
      </w:r>
      <w:r>
        <w:t>‘</w:t>
      </w:r>
      <w:r w:rsidRPr="00E343EA">
        <w:t xml:space="preserve">I have been called upon to attend many young girls who have become addicted to the use of drugs. Questioning disclosed the fact that the </w:t>
      </w:r>
      <w:r>
        <w:t>‘</w:t>
      </w:r>
      <w:r w:rsidRPr="00E343EA">
        <w:t>habit</w:t>
      </w:r>
      <w:r>
        <w:t>’</w:t>
      </w:r>
      <w:r w:rsidRPr="00E343EA">
        <w:t xml:space="preserve"> had been contracted in so-called Chinese restaurants, operating in this state.</w:t>
      </w:r>
      <w:r>
        <w:t>’</w:t>
      </w:r>
      <w:r w:rsidRPr="00E343EA">
        <w:t xml:space="preserve"> He also stated that he believed </w:t>
      </w:r>
      <w:r>
        <w:t>‘</w:t>
      </w:r>
      <w:r w:rsidRPr="00E343EA">
        <w:t>The moral features of the bill should receive the support of each and every person interested in safeguarding young womanhood</w:t>
      </w:r>
      <w:r>
        <w:t>’</w:t>
      </w:r>
      <w:r w:rsidRPr="00E343EA">
        <w:t xml:space="preserve">); </w:t>
      </w:r>
      <w:r w:rsidRPr="00E343EA">
        <w:rPr>
          <w:i/>
        </w:rPr>
        <w:t xml:space="preserve">see also </w:t>
      </w:r>
      <w:r w:rsidRPr="00E343EA">
        <w:t xml:space="preserve">24 </w:t>
      </w:r>
      <w:r w:rsidRPr="00E343EA">
        <w:rPr>
          <w:smallCaps/>
        </w:rPr>
        <w:t>Mixer &amp; Server</w:t>
      </w:r>
      <w:r w:rsidRPr="00E343EA">
        <w:t xml:space="preserve"> No. 3, </w:t>
      </w:r>
      <w:r>
        <w:t>Mar.</w:t>
      </w:r>
      <w:r w:rsidRPr="00E343EA">
        <w:t xml:space="preserve"> 15, 1915 at 32 (stating </w:t>
      </w:r>
      <w:r>
        <w:t>“</w:t>
      </w:r>
      <w:r w:rsidRPr="00E343EA">
        <w:t>this bill, if enacted into law, will go a long way towards decreasing the popularity of the Chinese restaurants in the State</w:t>
      </w:r>
      <w:r>
        <w:t>”</w:t>
      </w:r>
      <w:r w:rsidRPr="00E343EA">
        <w:t>).</w:t>
      </w:r>
    </w:p>
  </w:footnote>
  <w:footnote w:id="117">
    <w:p w14:paraId="7FAD42B1" w14:textId="06C45A90" w:rsidR="00501D78" w:rsidRDefault="00501D78" w:rsidP="00B06E49">
      <w:pPr>
        <w:pStyle w:val="FootnoteText"/>
      </w:pPr>
      <w:r>
        <w:rPr>
          <w:rStyle w:val="FootnoteReference"/>
        </w:rPr>
        <w:footnoteRef/>
      </w:r>
      <w:r>
        <w:t xml:space="preserve"> </w:t>
      </w:r>
      <w:r w:rsidRPr="001E4F72">
        <w:rPr>
          <w:i/>
        </w:rPr>
        <w:t>Children</w:t>
      </w:r>
      <w:r>
        <w:rPr>
          <w:i/>
        </w:rPr>
        <w:t>’</w:t>
      </w:r>
      <w:r w:rsidRPr="001E4F72">
        <w:rPr>
          <w:i/>
        </w:rPr>
        <w:t>s Society</w:t>
      </w:r>
      <w:r>
        <w:t xml:space="preserve">, </w:t>
      </w:r>
      <w:r w:rsidRPr="001E4F72">
        <w:rPr>
          <w:smallCaps/>
        </w:rPr>
        <w:t>Sacramento Daily Union</w:t>
      </w:r>
      <w:r>
        <w:t>, May 9, 1899, at 4.</w:t>
      </w:r>
    </w:p>
  </w:footnote>
  <w:footnote w:id="118">
    <w:p w14:paraId="3BC7CAFE" w14:textId="18F34BE2" w:rsidR="00501D78" w:rsidRDefault="00501D78" w:rsidP="00B06E49">
      <w:pPr>
        <w:pStyle w:val="FootnoteText"/>
      </w:pPr>
      <w:r>
        <w:rPr>
          <w:rStyle w:val="FootnoteReference"/>
        </w:rPr>
        <w:footnoteRef/>
      </w:r>
      <w:r>
        <w:t xml:space="preserve"> </w:t>
      </w:r>
      <w:r w:rsidRPr="001C1DCC">
        <w:rPr>
          <w:i/>
        </w:rPr>
        <w:t>Chinese Restaurants</w:t>
      </w:r>
      <w:r>
        <w:t xml:space="preserve">, </w:t>
      </w:r>
      <w:r w:rsidRPr="00A37D94">
        <w:rPr>
          <w:i/>
        </w:rPr>
        <w:t>supra</w:t>
      </w:r>
      <w:r>
        <w:t xml:space="preserve"> note </w:t>
      </w:r>
      <w:r>
        <w:fldChar w:fldCharType="begin"/>
      </w:r>
      <w:r>
        <w:instrText xml:space="preserve"> NOTEREF _Ref476154556 \h </w:instrText>
      </w:r>
      <w:r>
        <w:fldChar w:fldCharType="separate"/>
      </w:r>
      <w:r w:rsidR="008A4890">
        <w:t>5</w:t>
      </w:r>
      <w:r>
        <w:fldChar w:fldCharType="end"/>
      </w:r>
      <w:r>
        <w:t>, at 2.</w:t>
      </w:r>
    </w:p>
  </w:footnote>
  <w:footnote w:id="119">
    <w:p w14:paraId="01968C8D" w14:textId="3B797C8D" w:rsidR="00501D78" w:rsidRDefault="00501D78" w:rsidP="00B90656">
      <w:pPr>
        <w:pStyle w:val="FootnoteText"/>
      </w:pPr>
      <w:r>
        <w:rPr>
          <w:rStyle w:val="FootnoteReference"/>
        </w:rPr>
        <w:footnoteRef/>
      </w:r>
      <w:r>
        <w:t xml:space="preserve"> 18</w:t>
      </w:r>
      <w:r w:rsidRPr="00E343EA">
        <w:t xml:space="preserve"> </w:t>
      </w:r>
      <w:r w:rsidRPr="00E343EA">
        <w:rPr>
          <w:smallCaps/>
        </w:rPr>
        <w:t>Mixer &amp; Server</w:t>
      </w:r>
      <w:r w:rsidRPr="00E343EA">
        <w:t xml:space="preserve"> No. </w:t>
      </w:r>
      <w:r>
        <w:t>8</w:t>
      </w:r>
      <w:r w:rsidRPr="00E343EA">
        <w:t xml:space="preserve">, </w:t>
      </w:r>
      <w:r>
        <w:t>Aug</w:t>
      </w:r>
      <w:r w:rsidRPr="00E343EA">
        <w:t>. 15, 19</w:t>
      </w:r>
      <w:r>
        <w:t>09,</w:t>
      </w:r>
      <w:r w:rsidRPr="00E343EA">
        <w:t xml:space="preserve"> at </w:t>
      </w:r>
      <w:r>
        <w:t xml:space="preserve">42 (As far as the restaurants in Duluth are concerned, conditions are deplorable.  I find more Chinese running restaurants in this city and white women working for them than I ever seen in all my career”); Chinese restaurants reportedly employed children. </w:t>
      </w:r>
      <w:r w:rsidRPr="00E343EA">
        <w:rPr>
          <w:i/>
        </w:rPr>
        <w:t xml:space="preserve">See </w:t>
      </w:r>
      <w:r w:rsidRPr="00E343EA">
        <w:rPr>
          <w:smallCaps/>
        </w:rPr>
        <w:t>Minutes of the Newark Conference of the Methodist Episcopal Church</w:t>
      </w:r>
      <w:r w:rsidRPr="00E343EA">
        <w:t xml:space="preserve"> 65 (1911); </w:t>
      </w:r>
      <w:r w:rsidRPr="00E343EA">
        <w:rPr>
          <w:i/>
        </w:rPr>
        <w:t>Report from the Child Labor Committee</w:t>
      </w:r>
      <w:r w:rsidRPr="00E343EA">
        <w:t>, 169</w:t>
      </w:r>
      <w:r>
        <w:t xml:space="preserve"> </w:t>
      </w:r>
      <w:r w:rsidRPr="00A823F3">
        <w:rPr>
          <w:i/>
        </w:rPr>
        <w:t xml:space="preserve">in </w:t>
      </w:r>
      <w:r w:rsidRPr="00E343EA">
        <w:rPr>
          <w:smallCaps/>
        </w:rPr>
        <w:t>Proceedings of the Annual Meeting of the National Child Labor Committee</w:t>
      </w:r>
      <w:r>
        <w:rPr>
          <w:smallCaps/>
        </w:rPr>
        <w:t xml:space="preserve"> </w:t>
      </w:r>
      <w:r w:rsidRPr="00E343EA">
        <w:t xml:space="preserve">(1911) (stating that Chinese restaurants sometimes used children as </w:t>
      </w:r>
      <w:r>
        <w:t>“</w:t>
      </w:r>
      <w:r w:rsidRPr="00E343EA">
        <w:t>night messengers</w:t>
      </w:r>
      <w:r>
        <w:t>”</w:t>
      </w:r>
      <w:r w:rsidRPr="00E343EA">
        <w:t xml:space="preserve"> for immoral purposes); </w:t>
      </w:r>
      <w:r w:rsidRPr="00E343EA">
        <w:rPr>
          <w:i/>
        </w:rPr>
        <w:t>Redskins Hot After Scalp</w:t>
      </w:r>
      <w:r w:rsidRPr="00E343EA">
        <w:t xml:space="preserve">, </w:t>
      </w:r>
      <w:r w:rsidRPr="00E343EA">
        <w:rPr>
          <w:smallCaps/>
        </w:rPr>
        <w:t>L.A. Times</w:t>
      </w:r>
      <w:r w:rsidRPr="00E343EA">
        <w:t xml:space="preserve">, July 9, 1903, at 13 (stating that </w:t>
      </w:r>
      <w:r>
        <w:t>“</w:t>
      </w:r>
      <w:r w:rsidRPr="00E343EA">
        <w:t>in many instances [Chinese restaurants] employed as waiters on table, Indian boys</w:t>
      </w:r>
      <w:r>
        <w:t>”</w:t>
      </w:r>
      <w:r w:rsidRPr="00E343EA">
        <w:t>).</w:t>
      </w:r>
    </w:p>
  </w:footnote>
  <w:footnote w:id="120">
    <w:p w14:paraId="079AB6EC" w14:textId="29CE2737" w:rsidR="00501D78" w:rsidRPr="00E343EA" w:rsidRDefault="00501D78" w:rsidP="00B90656">
      <w:pPr>
        <w:pStyle w:val="FootnoteText"/>
      </w:pPr>
      <w:r w:rsidRPr="00E343EA">
        <w:rPr>
          <w:rStyle w:val="FootnoteReference"/>
        </w:rPr>
        <w:footnoteRef/>
      </w:r>
      <w:r w:rsidRPr="00E343EA">
        <w:t xml:space="preserve"> </w:t>
      </w:r>
      <w:r w:rsidRPr="00E343EA">
        <w:rPr>
          <w:i/>
        </w:rPr>
        <w:t>After the Chinese</w:t>
      </w:r>
      <w:r w:rsidRPr="00E343EA">
        <w:t xml:space="preserve">, </w:t>
      </w:r>
      <w:r w:rsidRPr="00A37D94">
        <w:rPr>
          <w:i/>
        </w:rPr>
        <w:t>supra</w:t>
      </w:r>
      <w:r>
        <w:t xml:space="preserve"> note </w:t>
      </w:r>
      <w:r>
        <w:fldChar w:fldCharType="begin"/>
      </w:r>
      <w:r>
        <w:instrText xml:space="preserve"> NOTEREF _Ref476154648 \h </w:instrText>
      </w:r>
      <w:r>
        <w:fldChar w:fldCharType="separate"/>
      </w:r>
      <w:r w:rsidR="008A4890">
        <w:t>6</w:t>
      </w:r>
      <w:r>
        <w:fldChar w:fldCharType="end"/>
      </w:r>
      <w:r>
        <w:t xml:space="preserve">, </w:t>
      </w:r>
      <w:r w:rsidRPr="00E343EA">
        <w:t>at 1.</w:t>
      </w:r>
    </w:p>
  </w:footnote>
  <w:footnote w:id="121">
    <w:p w14:paraId="556829F7" w14:textId="675CBCFA" w:rsidR="00501D78" w:rsidRPr="00E343EA" w:rsidRDefault="00501D78" w:rsidP="00406EB1">
      <w:pPr>
        <w:pStyle w:val="FootnoteText"/>
      </w:pPr>
      <w:r w:rsidRPr="00E343EA">
        <w:rPr>
          <w:rStyle w:val="FootnoteReference"/>
        </w:rPr>
        <w:footnoteRef/>
      </w:r>
      <w:r w:rsidRPr="00E343EA">
        <w:t xml:space="preserve"> </w:t>
      </w:r>
      <w:r>
        <w:rPr>
          <w:i/>
        </w:rPr>
        <w:t>Id</w:t>
      </w:r>
      <w:r w:rsidRPr="00E343EA">
        <w:t>.</w:t>
      </w:r>
      <w:r w:rsidRPr="00315CE7">
        <w:t xml:space="preserve"> </w:t>
      </w:r>
    </w:p>
  </w:footnote>
  <w:footnote w:id="122">
    <w:p w14:paraId="2DDB80FE" w14:textId="2EE36B5C" w:rsidR="00501D78" w:rsidRPr="00E343EA" w:rsidRDefault="00501D78" w:rsidP="00B06E49">
      <w:pPr>
        <w:pStyle w:val="FootnoteText"/>
      </w:pPr>
      <w:r w:rsidRPr="00E343EA">
        <w:rPr>
          <w:rStyle w:val="FootnoteReference"/>
        </w:rPr>
        <w:footnoteRef/>
      </w:r>
      <w:r w:rsidRPr="00E343EA">
        <w:t xml:space="preserve"> </w:t>
      </w:r>
      <w:r w:rsidRPr="00E343EA">
        <w:rPr>
          <w:i/>
        </w:rPr>
        <w:t>Chinese Dens of Iniquity That Are Well Protected by the Authorities</w:t>
      </w:r>
      <w:r w:rsidRPr="00E343EA">
        <w:t xml:space="preserve">, </w:t>
      </w:r>
      <w:r w:rsidRPr="00E343EA">
        <w:rPr>
          <w:smallCaps/>
        </w:rPr>
        <w:t>Bridgeport Herald</w:t>
      </w:r>
      <w:r>
        <w:rPr>
          <w:smallCaps/>
        </w:rPr>
        <w:t xml:space="preserve"> </w:t>
      </w:r>
      <w:r w:rsidRPr="002E66B3">
        <w:t>(Conn.)</w:t>
      </w:r>
      <w:r w:rsidRPr="00E343EA">
        <w:rPr>
          <w:smallCaps/>
        </w:rPr>
        <w:t xml:space="preserve">, </w:t>
      </w:r>
      <w:r w:rsidRPr="00E343EA">
        <w:t>Aug. 28, 1904, at 11.</w:t>
      </w:r>
    </w:p>
  </w:footnote>
  <w:footnote w:id="123">
    <w:p w14:paraId="58F06E28" w14:textId="272FD4E7" w:rsidR="00501D78" w:rsidRPr="00E343EA" w:rsidRDefault="00501D78" w:rsidP="00B06E49">
      <w:pPr>
        <w:pStyle w:val="FootnoteText"/>
      </w:pPr>
      <w:r w:rsidRPr="00E343EA">
        <w:rPr>
          <w:rStyle w:val="FootnoteReference"/>
        </w:rPr>
        <w:footnoteRef/>
      </w:r>
      <w:r w:rsidRPr="00E343EA">
        <w:t xml:space="preserve"> </w:t>
      </w:r>
      <w:r w:rsidRPr="00E343EA">
        <w:rPr>
          <w:i/>
        </w:rPr>
        <w:t xml:space="preserve">Suey </w:t>
      </w:r>
      <w:r>
        <w:rPr>
          <w:i/>
        </w:rPr>
        <w:t>‘</w:t>
      </w:r>
      <w:r w:rsidRPr="00E343EA">
        <w:rPr>
          <w:i/>
        </w:rPr>
        <w:t>Joints</w:t>
      </w:r>
      <w:r>
        <w:rPr>
          <w:i/>
        </w:rPr>
        <w:t>’</w:t>
      </w:r>
      <w:r w:rsidRPr="00E343EA">
        <w:rPr>
          <w:i/>
        </w:rPr>
        <w:t xml:space="preserve"> Dens of Vice</w:t>
      </w:r>
      <w:r w:rsidRPr="00E343EA">
        <w:t xml:space="preserve">, </w:t>
      </w:r>
      <w:r>
        <w:rPr>
          <w:smallCaps/>
        </w:rPr>
        <w:t>Chi.</w:t>
      </w:r>
      <w:r w:rsidRPr="00E343EA">
        <w:rPr>
          <w:smallCaps/>
        </w:rPr>
        <w:t xml:space="preserve"> Trib., </w:t>
      </w:r>
      <w:r w:rsidRPr="00E343EA">
        <w:t>Mar. 28, 1910, at 2.</w:t>
      </w:r>
    </w:p>
  </w:footnote>
  <w:footnote w:id="124">
    <w:p w14:paraId="6D708467" w14:textId="5417D995" w:rsidR="00501D78" w:rsidRPr="00E343EA" w:rsidRDefault="00501D78" w:rsidP="008C3D51">
      <w:pPr>
        <w:pStyle w:val="FootnoteText"/>
      </w:pPr>
      <w:r w:rsidRPr="00E343EA">
        <w:rPr>
          <w:rStyle w:val="FootnoteReference"/>
        </w:rPr>
        <w:footnoteRef/>
      </w:r>
      <w:r w:rsidRPr="00E343EA">
        <w:t xml:space="preserve"> </w:t>
      </w:r>
      <w:r>
        <w:t>“</w:t>
      </w:r>
      <w:r w:rsidRPr="00E343EA">
        <w:t xml:space="preserve">Chinese men were thought to lust after White women, </w:t>
      </w:r>
      <w:r>
        <w:t>‘</w:t>
      </w:r>
      <w:r w:rsidRPr="00E343EA">
        <w:t>seeking to assuage their perilous hunger by luring these women behind the partitions of their laundries or restaurants into their private lairs, then seducing them with wine and opium so that they could have sexual relations with them.</w:t>
      </w:r>
      <w:r>
        <w:t>’”</w:t>
      </w:r>
      <w:r w:rsidRPr="00E343EA">
        <w:t xml:space="preserve"> Sandra Ka Hon Chu, </w:t>
      </w:r>
      <w:r w:rsidRPr="00E343EA">
        <w:rPr>
          <w:i/>
        </w:rPr>
        <w:t>Reparation as Narrative Resistance: Displacing Orientalism and Recoding Harm for Chinese Women of the Exclusion Era</w:t>
      </w:r>
      <w:r w:rsidRPr="00E343EA">
        <w:t xml:space="preserve">, 18 </w:t>
      </w:r>
      <w:r w:rsidRPr="00E343EA">
        <w:rPr>
          <w:smallCaps/>
        </w:rPr>
        <w:t xml:space="preserve">Can. J. Women &amp; L. </w:t>
      </w:r>
      <w:r w:rsidRPr="00E343EA">
        <w:t xml:space="preserve">387, 394 (2006) (quoting Tania Das Gupta, </w:t>
      </w:r>
      <w:r w:rsidRPr="00E343EA">
        <w:rPr>
          <w:i/>
        </w:rPr>
        <w:t>Families of Native People, Immigrants, and People of Colour</w:t>
      </w:r>
      <w:r w:rsidRPr="00E343EA">
        <w:t xml:space="preserve"> 146 at 153, </w:t>
      </w:r>
      <w:r w:rsidRPr="00E343EA">
        <w:rPr>
          <w:i/>
        </w:rPr>
        <w:t>in</w:t>
      </w:r>
      <w:r w:rsidRPr="00E343EA">
        <w:t xml:space="preserve"> </w:t>
      </w:r>
      <w:r w:rsidRPr="00E343EA">
        <w:rPr>
          <w:smallCaps/>
        </w:rPr>
        <w:t>Canadian Families: Diversity, Conflict and Change</w:t>
      </w:r>
      <w:r w:rsidRPr="00E343EA">
        <w:t xml:space="preserve"> (N. Mandell &amp; A. Duffy, eds., 2000</w:t>
      </w:r>
      <w:r>
        <w:t>)</w:t>
      </w:r>
      <w:r w:rsidRPr="00E343EA">
        <w:t xml:space="preserve">). </w:t>
      </w:r>
    </w:p>
  </w:footnote>
  <w:footnote w:id="125">
    <w:p w14:paraId="5E4417DC" w14:textId="5BBFB953" w:rsidR="00501D78" w:rsidRPr="00E343EA" w:rsidRDefault="00501D78" w:rsidP="00B06E49">
      <w:pPr>
        <w:pStyle w:val="FootnoteText"/>
      </w:pPr>
      <w:r w:rsidRPr="00E343EA">
        <w:rPr>
          <w:rStyle w:val="FootnoteReference"/>
        </w:rPr>
        <w:footnoteRef/>
      </w:r>
      <w:r w:rsidRPr="00E343EA">
        <w:t xml:space="preserve"> </w:t>
      </w:r>
      <w:r w:rsidRPr="00E343EA">
        <w:rPr>
          <w:i/>
        </w:rPr>
        <w:t xml:space="preserve">See </w:t>
      </w:r>
      <w:r w:rsidRPr="00E343EA">
        <w:rPr>
          <w:smallCaps/>
        </w:rPr>
        <w:t>Sucheng Chan</w:t>
      </w:r>
      <w:r w:rsidRPr="00E343EA">
        <w:t xml:space="preserve">, </w:t>
      </w:r>
      <w:r w:rsidRPr="00E343EA">
        <w:rPr>
          <w:smallCaps/>
        </w:rPr>
        <w:t>Entry Denied: Exclusion and the Chinese Community in America</w:t>
      </w:r>
      <w:r w:rsidRPr="00E343EA">
        <w:t xml:space="preserve"> 95-146 1882-1943 </w:t>
      </w:r>
      <w:r w:rsidRPr="00E343EA">
        <w:rPr>
          <w:smallCaps/>
        </w:rPr>
        <w:t>95 (1991</w:t>
      </w:r>
      <w:r>
        <w:rPr>
          <w:smallCaps/>
        </w:rPr>
        <w:t>)</w:t>
      </w:r>
      <w:r w:rsidRPr="00E343EA">
        <w:rPr>
          <w:smallCaps/>
        </w:rPr>
        <w:t>; McAdoo</w:t>
      </w:r>
      <w:r w:rsidRPr="006A4A81">
        <w:t xml:space="preserve">, </w:t>
      </w:r>
      <w:r w:rsidRPr="006A4A81">
        <w:rPr>
          <w:i/>
        </w:rPr>
        <w:t>supra</w:t>
      </w:r>
      <w:r w:rsidRPr="006A4A81">
        <w:t xml:space="preserve"> note </w:t>
      </w:r>
      <w:r>
        <w:fldChar w:fldCharType="begin"/>
      </w:r>
      <w:r>
        <w:instrText xml:space="preserve"> NOTEREF _Ref461985950 \h </w:instrText>
      </w:r>
      <w:r>
        <w:fldChar w:fldCharType="separate"/>
      </w:r>
      <w:r w:rsidR="008A4890">
        <w:t>97</w:t>
      </w:r>
      <w:r>
        <w:fldChar w:fldCharType="end"/>
      </w:r>
      <w:r w:rsidRPr="006A4A81">
        <w:t>, at</w:t>
      </w:r>
      <w:r>
        <w:rPr>
          <w:smallCaps/>
        </w:rPr>
        <w:t xml:space="preserve"> </w:t>
      </w:r>
      <w:r w:rsidRPr="00E343EA">
        <w:rPr>
          <w:smallCaps/>
        </w:rPr>
        <w:t>171.</w:t>
      </w:r>
    </w:p>
  </w:footnote>
  <w:footnote w:id="126">
    <w:p w14:paraId="75543766" w14:textId="0A3A5A12" w:rsidR="00501D78" w:rsidRPr="00E343EA" w:rsidRDefault="00501D78" w:rsidP="00B06E49">
      <w:pPr>
        <w:pStyle w:val="FootnoteText"/>
      </w:pPr>
      <w:r w:rsidRPr="00E343EA">
        <w:rPr>
          <w:rStyle w:val="FootnoteReference"/>
        </w:rPr>
        <w:footnoteRef/>
      </w:r>
      <w:r w:rsidRPr="00E343EA">
        <w:t xml:space="preserve"> </w:t>
      </w:r>
      <w:r w:rsidRPr="00E343EA">
        <w:rPr>
          <w:i/>
        </w:rPr>
        <w:t xml:space="preserve">See </w:t>
      </w:r>
      <w:r w:rsidRPr="00E343EA">
        <w:t xml:space="preserve">Light, </w:t>
      </w:r>
      <w:r w:rsidRPr="00E343EA">
        <w:rPr>
          <w:i/>
        </w:rPr>
        <w:t xml:space="preserve">supra </w:t>
      </w:r>
      <w:r w:rsidRPr="00E343EA">
        <w:t xml:space="preserve">note </w:t>
      </w:r>
      <w:r w:rsidRPr="00E343EA">
        <w:fldChar w:fldCharType="begin"/>
      </w:r>
      <w:r w:rsidRPr="00E343EA">
        <w:instrText xml:space="preserve"> NOTEREF _Ref460866700 \h </w:instrText>
      </w:r>
      <w:r>
        <w:instrText xml:space="preserve"> \* MERGEFORMAT </w:instrText>
      </w:r>
      <w:r w:rsidRPr="00E343EA">
        <w:fldChar w:fldCharType="separate"/>
      </w:r>
      <w:r w:rsidR="008A4890">
        <w:t>31</w:t>
      </w:r>
      <w:r w:rsidRPr="00E343EA">
        <w:fldChar w:fldCharType="end"/>
      </w:r>
      <w:r w:rsidRPr="00E343EA">
        <w:t xml:space="preserve">, at 375; </w:t>
      </w:r>
      <w:r w:rsidRPr="00E343EA">
        <w:rPr>
          <w:i/>
        </w:rPr>
        <w:t>see also</w:t>
      </w:r>
      <w:r w:rsidRPr="00E343EA">
        <w:rPr>
          <w:smallCaps/>
        </w:rPr>
        <w:t xml:space="preserve"> Takaki,</w:t>
      </w:r>
      <w:r>
        <w:rPr>
          <w:smallCaps/>
        </w:rPr>
        <w:t xml:space="preserve"> </w:t>
      </w:r>
      <w:r w:rsidRPr="0098114C">
        <w:rPr>
          <w:i/>
        </w:rPr>
        <w:t>supra</w:t>
      </w:r>
      <w:r w:rsidRPr="0098114C">
        <w:t xml:space="preserve"> note</w:t>
      </w:r>
      <w:r>
        <w:t xml:space="preserve"> </w:t>
      </w:r>
      <w:r>
        <w:fldChar w:fldCharType="begin"/>
      </w:r>
      <w:r>
        <w:instrText xml:space="preserve"> NOTEREF _Ref461985394 \h </w:instrText>
      </w:r>
      <w:r>
        <w:fldChar w:fldCharType="separate"/>
      </w:r>
      <w:r w:rsidR="008A4890">
        <w:t>28</w:t>
      </w:r>
      <w:r>
        <w:fldChar w:fldCharType="end"/>
      </w:r>
      <w:r w:rsidRPr="0098114C">
        <w:t xml:space="preserve">, at </w:t>
      </w:r>
      <w:r w:rsidRPr="00E343EA">
        <w:t>239.</w:t>
      </w:r>
      <w:r w:rsidRPr="00E343EA">
        <w:rPr>
          <w:i/>
        </w:rPr>
        <w:t xml:space="preserve"> </w:t>
      </w:r>
    </w:p>
  </w:footnote>
  <w:footnote w:id="127">
    <w:p w14:paraId="3ADE3426" w14:textId="5A4553F6" w:rsidR="00501D78" w:rsidRPr="00E343EA" w:rsidRDefault="00501D78" w:rsidP="00B06E49">
      <w:pPr>
        <w:pStyle w:val="FootnoteText"/>
      </w:pPr>
      <w:r w:rsidRPr="00E343EA">
        <w:rPr>
          <w:rStyle w:val="FootnoteReference"/>
        </w:rPr>
        <w:footnoteRef/>
      </w:r>
      <w:r w:rsidRPr="00E343EA">
        <w:t xml:space="preserve"> </w:t>
      </w:r>
      <w:r w:rsidRPr="00E343EA">
        <w:rPr>
          <w:smallCaps/>
        </w:rPr>
        <w:t>The House of Representatives of Massachusetts, Report for the Investigation of the White Slave Traffic</w:t>
      </w:r>
      <w:r w:rsidRPr="00E343EA">
        <w:t xml:space="preserve"> 16 (1914) (</w:t>
      </w:r>
      <w:r>
        <w:t>“</w:t>
      </w:r>
      <w:r w:rsidRPr="00E343EA">
        <w:t>Certain White Prostitutes solicit exclusively in Chinese Restaurants, and cater only to Chinese patrons.</w:t>
      </w:r>
      <w:r>
        <w:t>”</w:t>
      </w:r>
      <w:r w:rsidRPr="00E343EA">
        <w:t xml:space="preserve">); Light, </w:t>
      </w:r>
      <w:r w:rsidRPr="00E343EA">
        <w:rPr>
          <w:i/>
        </w:rPr>
        <w:t xml:space="preserve">supra </w:t>
      </w:r>
      <w:r w:rsidRPr="00E343EA">
        <w:t xml:space="preserve">note </w:t>
      </w:r>
      <w:r w:rsidRPr="00E343EA">
        <w:fldChar w:fldCharType="begin"/>
      </w:r>
      <w:r w:rsidRPr="00E343EA">
        <w:instrText xml:space="preserve"> NOTEREF _Ref460866700 \h </w:instrText>
      </w:r>
      <w:r>
        <w:instrText xml:space="preserve"> \* MERGEFORMAT </w:instrText>
      </w:r>
      <w:r w:rsidRPr="00E343EA">
        <w:fldChar w:fldCharType="separate"/>
      </w:r>
      <w:r w:rsidR="008A4890">
        <w:t>31</w:t>
      </w:r>
      <w:r w:rsidRPr="00E343EA">
        <w:fldChar w:fldCharType="end"/>
      </w:r>
      <w:r w:rsidRPr="00E343EA">
        <w:t>, at</w:t>
      </w:r>
      <w:r w:rsidRPr="00E343EA">
        <w:rPr>
          <w:smallCaps/>
        </w:rPr>
        <w:t xml:space="preserve"> 370.</w:t>
      </w:r>
    </w:p>
  </w:footnote>
  <w:footnote w:id="128">
    <w:p w14:paraId="3B2FA79F" w14:textId="2269AAA1" w:rsidR="00501D78" w:rsidRDefault="00501D78">
      <w:pPr>
        <w:pStyle w:val="FootnoteText"/>
      </w:pPr>
      <w:r>
        <w:rPr>
          <w:rStyle w:val="FootnoteReference"/>
        </w:rPr>
        <w:footnoteRef/>
      </w:r>
      <w:r>
        <w:t xml:space="preserve"> “Chinese-Irish marriages were sufficiently noticeable in New York City to merit regular comment in the city’s newspapers.” John Kuo Wei Tchen, </w:t>
      </w:r>
      <w:r w:rsidRPr="00097781">
        <w:rPr>
          <w:i/>
        </w:rPr>
        <w:t>Quimbo Appo</w:t>
      </w:r>
      <w:r>
        <w:rPr>
          <w:i/>
        </w:rPr>
        <w:t>’</w:t>
      </w:r>
      <w:r w:rsidRPr="00097781">
        <w:rPr>
          <w:i/>
        </w:rPr>
        <w:t>s Fear of Fenians: Chinese-Irish-Anglo Relations in New York City</w:t>
      </w:r>
      <w:r>
        <w:t xml:space="preserve"> 129 </w:t>
      </w:r>
      <w:r w:rsidRPr="00097781">
        <w:rPr>
          <w:i/>
        </w:rPr>
        <w:t>in</w:t>
      </w:r>
      <w:r>
        <w:t xml:space="preserve">  </w:t>
      </w:r>
      <w:r w:rsidRPr="00097781">
        <w:rPr>
          <w:smallCaps/>
        </w:rPr>
        <w:t>The New York Irish</w:t>
      </w:r>
      <w:r>
        <w:t xml:space="preserve"> (Ronald H. Bayor &amp; Timothy J. Meagher eds. 1996).</w:t>
      </w:r>
    </w:p>
  </w:footnote>
  <w:footnote w:id="129">
    <w:p w14:paraId="79836573" w14:textId="515D726A" w:rsidR="00501D78" w:rsidRPr="00E343EA" w:rsidRDefault="00501D78" w:rsidP="00B06E49">
      <w:pPr>
        <w:pStyle w:val="FootnoteText"/>
        <w:rPr>
          <w:i/>
        </w:rPr>
      </w:pPr>
      <w:r w:rsidRPr="00E343EA">
        <w:rPr>
          <w:rStyle w:val="FootnoteReference"/>
        </w:rPr>
        <w:footnoteRef/>
      </w:r>
      <w:r w:rsidRPr="00E343EA">
        <w:t xml:space="preserve"> </w:t>
      </w:r>
      <w:r w:rsidRPr="00E343EA">
        <w:rPr>
          <w:i/>
        </w:rPr>
        <w:t xml:space="preserve">See </w:t>
      </w:r>
      <w:r w:rsidRPr="00E343EA">
        <w:t xml:space="preserve">Jung, </w:t>
      </w:r>
      <w:r w:rsidRPr="00E343EA">
        <w:rPr>
          <w:i/>
        </w:rPr>
        <w:t>The Sour Side of Chinese Restaurants</w:t>
      </w:r>
      <w:r w:rsidRPr="00E343EA">
        <w:t xml:space="preserve">, </w:t>
      </w:r>
      <w:r w:rsidRPr="00E343EA">
        <w:rPr>
          <w:i/>
        </w:rPr>
        <w:t xml:space="preserve">supra </w:t>
      </w:r>
      <w:r w:rsidRPr="00E343EA">
        <w:t xml:space="preserve">note </w:t>
      </w:r>
      <w:r>
        <w:fldChar w:fldCharType="begin"/>
      </w:r>
      <w:r>
        <w:instrText xml:space="preserve"> NOTEREF _Ref461985950 \h </w:instrText>
      </w:r>
      <w:r>
        <w:fldChar w:fldCharType="separate"/>
      </w:r>
      <w:r w:rsidR="008A4890">
        <w:t>97</w:t>
      </w:r>
      <w:r>
        <w:fldChar w:fldCharType="end"/>
      </w:r>
      <w:r w:rsidRPr="00E343EA">
        <w:t xml:space="preserve">, at 18 n.12; Huping Ling, </w:t>
      </w:r>
      <w:r>
        <w:rPr>
          <w:i/>
        </w:rPr>
        <w:t>“</w:t>
      </w:r>
      <w:r w:rsidRPr="00E343EA">
        <w:rPr>
          <w:i/>
        </w:rPr>
        <w:t>Hop Alley</w:t>
      </w:r>
      <w:r>
        <w:rPr>
          <w:i/>
        </w:rPr>
        <w:t>”</w:t>
      </w:r>
      <w:r w:rsidRPr="00E343EA">
        <w:rPr>
          <w:i/>
        </w:rPr>
        <w:t>: Myth and Reality in the St. Louis Chinatown</w:t>
      </w:r>
      <w:r w:rsidRPr="00E343EA">
        <w:t xml:space="preserve">, 28 J. </w:t>
      </w:r>
      <w:r w:rsidRPr="00E343EA">
        <w:rPr>
          <w:smallCaps/>
        </w:rPr>
        <w:t>Urban Hist. 184, 209 (2002) (</w:t>
      </w:r>
      <w:r>
        <w:t>noting</w:t>
      </w:r>
      <w:r w:rsidRPr="00E343EA">
        <w:t xml:space="preserve"> </w:t>
      </w:r>
      <w:r>
        <w:t>“</w:t>
      </w:r>
      <w:r w:rsidRPr="00E343EA">
        <w:t>nationwide antagonism against the interracial sexual relationships between European Americans and Chinese</w:t>
      </w:r>
      <w:r>
        <w:t>”</w:t>
      </w:r>
      <w:r w:rsidRPr="00E343EA">
        <w:t>)</w:t>
      </w:r>
      <w:r w:rsidRPr="00E343EA">
        <w:rPr>
          <w:smallCaps/>
        </w:rPr>
        <w:t>;</w:t>
      </w:r>
      <w:r w:rsidRPr="00E343EA">
        <w:t xml:space="preserve"> </w:t>
      </w:r>
      <w:r w:rsidRPr="00E343EA">
        <w:rPr>
          <w:i/>
        </w:rPr>
        <w:t>Calls Police an Abomination . . .  White Wife Excites Policeman</w:t>
      </w:r>
      <w:r>
        <w:rPr>
          <w:i/>
        </w:rPr>
        <w:t>’</w:t>
      </w:r>
      <w:r w:rsidRPr="00E343EA">
        <w:rPr>
          <w:i/>
        </w:rPr>
        <w:t>s Suspicions</w:t>
      </w:r>
      <w:r w:rsidRPr="00E343EA">
        <w:t xml:space="preserve">, </w:t>
      </w:r>
      <w:r w:rsidRPr="00E343EA">
        <w:rPr>
          <w:smallCaps/>
        </w:rPr>
        <w:t>Or. Daily J</w:t>
      </w:r>
      <w:r>
        <w:rPr>
          <w:smallCaps/>
        </w:rPr>
        <w:t>.</w:t>
      </w:r>
      <w:r w:rsidRPr="00E343EA">
        <w:rPr>
          <w:smallCaps/>
        </w:rPr>
        <w:t xml:space="preserve">, </w:t>
      </w:r>
      <w:r w:rsidRPr="00E343EA">
        <w:t xml:space="preserve">Apr. 18, 1906, at 10; </w:t>
      </w:r>
      <w:r w:rsidRPr="00EF58F1">
        <w:rPr>
          <w:i/>
        </w:rPr>
        <w:t>Committee Kills Bills Presented on Miscegenation: Detroit Negroes Elated over Failure of House to Get Vote</w:t>
      </w:r>
      <w:r>
        <w:t xml:space="preserve">, </w:t>
      </w:r>
      <w:r>
        <w:rPr>
          <w:smallCaps/>
        </w:rPr>
        <w:t>The Broad Ax (</w:t>
      </w:r>
      <w:r w:rsidRPr="004E1A88">
        <w:t>Utah</w:t>
      </w:r>
      <w:r w:rsidRPr="00EF58F1">
        <w:rPr>
          <w:smallCaps/>
        </w:rPr>
        <w:t>)</w:t>
      </w:r>
      <w:r>
        <w:t>, Mar. 22, 1913, at 2 (“Agitation which resulted in the determination to press the inter-racial marriage prohibition [in Michigan] began immediately after the Jack Johnson-Lucile Cameraon union, and received a local impetus when a Chinese restaurant keeper married a White girl.”)</w:t>
      </w:r>
      <w:r w:rsidRPr="00E343EA">
        <w:t xml:space="preserve">; </w:t>
      </w:r>
      <w:r w:rsidRPr="00E343EA">
        <w:rPr>
          <w:i/>
        </w:rPr>
        <w:t xml:space="preserve">see also Another </w:t>
      </w:r>
      <w:r>
        <w:rPr>
          <w:i/>
        </w:rPr>
        <w:t>‘</w:t>
      </w:r>
      <w:r w:rsidRPr="00E343EA">
        <w:rPr>
          <w:i/>
        </w:rPr>
        <w:t>Friend</w:t>
      </w:r>
      <w:r>
        <w:rPr>
          <w:i/>
        </w:rPr>
        <w:t>’</w:t>
      </w:r>
      <w:r w:rsidRPr="00E343EA">
        <w:rPr>
          <w:i/>
        </w:rPr>
        <w:t xml:space="preserve"> of Hing To Be Deported</w:t>
      </w:r>
      <w:r w:rsidRPr="00E343EA">
        <w:t xml:space="preserve">, </w:t>
      </w:r>
      <w:r w:rsidRPr="00E343EA">
        <w:rPr>
          <w:smallCaps/>
        </w:rPr>
        <w:t>Ariz</w:t>
      </w:r>
      <w:r>
        <w:rPr>
          <w:smallCaps/>
        </w:rPr>
        <w:t>.</w:t>
      </w:r>
      <w:r w:rsidRPr="00E343EA">
        <w:rPr>
          <w:smallCaps/>
        </w:rPr>
        <w:t xml:space="preserve"> Republican, </w:t>
      </w:r>
      <w:r w:rsidRPr="00E343EA">
        <w:t xml:space="preserve">Oct. 2, 1909, at 3; </w:t>
      </w:r>
      <w:r w:rsidRPr="00E343EA">
        <w:rPr>
          <w:i/>
        </w:rPr>
        <w:t>Believe Admirer of White Wife May Have Slain Chinamen</w:t>
      </w:r>
      <w:r w:rsidRPr="00E343EA">
        <w:t xml:space="preserve">, </w:t>
      </w:r>
      <w:r w:rsidRPr="00E343EA">
        <w:rPr>
          <w:smallCaps/>
        </w:rPr>
        <w:t xml:space="preserve">Pittsburg Press, </w:t>
      </w:r>
      <w:r w:rsidRPr="00E343EA">
        <w:t>Aug. 4, 1913, at 1 (</w:t>
      </w:r>
      <w:r>
        <w:t>“</w:t>
      </w:r>
      <w:r w:rsidRPr="00E343EA">
        <w:t>[W]ealthy Chinese restaurant man found hacked to death in his bed yesterday, was the victim of a disappointed sweetheart of his young white wife . . . . [They met when she] was working [as a mission worker] in the Chinese section when Elsie Sigel was murdered in New York.</w:t>
      </w:r>
      <w:r>
        <w:t>”</w:t>
      </w:r>
      <w:r w:rsidRPr="00E343EA">
        <w:t xml:space="preserve">); </w:t>
      </w:r>
      <w:r w:rsidRPr="00E343EA">
        <w:rPr>
          <w:i/>
        </w:rPr>
        <w:t>Detroit Chinaman and White Girl to Marry</w:t>
      </w:r>
      <w:r w:rsidRPr="00E343EA">
        <w:t xml:space="preserve">, </w:t>
      </w:r>
      <w:r w:rsidRPr="00E343EA">
        <w:rPr>
          <w:smallCaps/>
        </w:rPr>
        <w:t xml:space="preserve">Detroit Free Press, </w:t>
      </w:r>
      <w:r w:rsidRPr="00E343EA">
        <w:t>Mar. 27, 1907, at 8 (</w:t>
      </w:r>
      <w:r>
        <w:t>“</w:t>
      </w:r>
      <w:r w:rsidRPr="00E343EA">
        <w:t>Charlie Jinwing, First Celestial to Sell Chop Suey Here, Inaugurates Another Innovation by Securing License to Wed Miss Evelyn G, Clark.</w:t>
      </w:r>
      <w:r>
        <w:t>”</w:t>
      </w:r>
      <w:r w:rsidRPr="00E343EA">
        <w:t xml:space="preserve">); </w:t>
      </w:r>
      <w:r w:rsidRPr="00E343EA">
        <w:rPr>
          <w:i/>
        </w:rPr>
        <w:t>Finds Wife a Chinaman</w:t>
      </w:r>
      <w:r>
        <w:rPr>
          <w:i/>
        </w:rPr>
        <w:t>’</w:t>
      </w:r>
      <w:r w:rsidRPr="00E343EA">
        <w:rPr>
          <w:i/>
        </w:rPr>
        <w:t>s Bride; Charges Bigamy</w:t>
      </w:r>
      <w:r w:rsidRPr="00E343EA">
        <w:t xml:space="preserve">, </w:t>
      </w:r>
      <w:r w:rsidRPr="00E343EA">
        <w:rPr>
          <w:smallCaps/>
        </w:rPr>
        <w:t xml:space="preserve">St. Louis Post, </w:t>
      </w:r>
      <w:r w:rsidRPr="00E343EA">
        <w:t>Jun</w:t>
      </w:r>
      <w:r>
        <w:t>e</w:t>
      </w:r>
      <w:r w:rsidRPr="00E343EA">
        <w:t xml:space="preserve"> 7, 1907, at 4 (</w:t>
      </w:r>
      <w:r>
        <w:t>“</w:t>
      </w:r>
      <w:r w:rsidRPr="00E343EA">
        <w:t>When told that . . . her daughter married a Chinaman, Mrs. McGraw fell back in her chair with a Groan.</w:t>
      </w:r>
      <w:r>
        <w:t>”</w:t>
      </w:r>
      <w:r w:rsidRPr="00E343EA">
        <w:t xml:space="preserve">); </w:t>
      </w:r>
      <w:r>
        <w:rPr>
          <w:i/>
        </w:rPr>
        <w:t>In Washington’s</w:t>
      </w:r>
      <w:r w:rsidRPr="00E343EA">
        <w:rPr>
          <w:i/>
        </w:rPr>
        <w:t xml:space="preserve"> Chinatown</w:t>
      </w:r>
      <w:r w:rsidRPr="00E343EA">
        <w:t>,</w:t>
      </w:r>
      <w:r>
        <w:t xml:space="preserve"> </w:t>
      </w:r>
      <w:r w:rsidRPr="00FA4D27">
        <w:rPr>
          <w:i/>
        </w:rPr>
        <w:t>supra</w:t>
      </w:r>
      <w:r>
        <w:t xml:space="preserve"> note </w:t>
      </w:r>
      <w:r>
        <w:fldChar w:fldCharType="begin"/>
      </w:r>
      <w:r>
        <w:instrText xml:space="preserve"> NOTEREF _Ref476490883 \h </w:instrText>
      </w:r>
      <w:r>
        <w:fldChar w:fldCharType="separate"/>
      </w:r>
      <w:r w:rsidR="008A4890">
        <w:t>41</w:t>
      </w:r>
      <w:r>
        <w:fldChar w:fldCharType="end"/>
      </w:r>
      <w:r>
        <w:t>,</w:t>
      </w:r>
      <w:r w:rsidRPr="00E343EA">
        <w:t xml:space="preserve"> at 6 (</w:t>
      </w:r>
      <w:r>
        <w:t>“</w:t>
      </w:r>
      <w:r w:rsidRPr="00E343EA">
        <w:t>This celestial is not the only citizen of Chinatown who married a white wife. Several others have taken unto themselves Caucasian brides, and have half-breed children. . . . Most of these white wives are said to follow their husband</w:t>
      </w:r>
      <w:r>
        <w:t>’</w:t>
      </w:r>
      <w:r w:rsidRPr="00E343EA">
        <w:t>s example and become hitters of the opium pipe.</w:t>
      </w:r>
      <w:r>
        <w:t>”</w:t>
      </w:r>
      <w:r w:rsidRPr="00E343EA">
        <w:t>)</w:t>
      </w:r>
    </w:p>
  </w:footnote>
  <w:footnote w:id="130">
    <w:p w14:paraId="63155ED6"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St. Louis Police Will Regulate Chinese Resorts</w:t>
      </w:r>
      <w:r w:rsidRPr="00E343EA">
        <w:t xml:space="preserve">, </w:t>
      </w:r>
      <w:r w:rsidRPr="00E343EA">
        <w:rPr>
          <w:smallCaps/>
        </w:rPr>
        <w:t xml:space="preserve">St. Louis Post, </w:t>
      </w:r>
      <w:r w:rsidRPr="00E343EA">
        <w:t>June 21, 1909, at 3.</w:t>
      </w:r>
    </w:p>
  </w:footnote>
  <w:footnote w:id="131">
    <w:p w14:paraId="45E4358C"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smallCaps/>
        </w:rPr>
        <w:t>The House of Representatives of Massachusetts, Report for the Investigation of the White Slave Traffic</w:t>
      </w:r>
      <w:r w:rsidRPr="00E343EA">
        <w:t xml:space="preserve"> 16 (1914).</w:t>
      </w:r>
    </w:p>
  </w:footnote>
  <w:footnote w:id="132">
    <w:p w14:paraId="5EE714B9" w14:textId="71AB7DE1" w:rsidR="00501D78" w:rsidRPr="00E343EA" w:rsidRDefault="00501D78" w:rsidP="00B06E49">
      <w:pPr>
        <w:pStyle w:val="FootnoteText"/>
      </w:pPr>
      <w:r w:rsidRPr="00E343EA">
        <w:rPr>
          <w:rStyle w:val="FootnoteReference"/>
        </w:rPr>
        <w:footnoteRef/>
      </w:r>
      <w:r w:rsidRPr="00E343EA">
        <w:t xml:space="preserve"> </w:t>
      </w:r>
      <w:r w:rsidRPr="00E343EA">
        <w:rPr>
          <w:i/>
        </w:rPr>
        <w:t>Fatal Lure of Chinese</w:t>
      </w:r>
      <w:r w:rsidRPr="00E343EA">
        <w:t xml:space="preserve">, </w:t>
      </w:r>
      <w:r w:rsidRPr="00FA2477">
        <w:rPr>
          <w:i/>
        </w:rPr>
        <w:t>supra</w:t>
      </w:r>
      <w:r w:rsidRPr="00FA2477">
        <w:t xml:space="preserve"> note </w:t>
      </w:r>
      <w:r>
        <w:fldChar w:fldCharType="begin"/>
      </w:r>
      <w:r>
        <w:instrText xml:space="preserve"> NOTEREF _Ref461985950 \h </w:instrText>
      </w:r>
      <w:r>
        <w:fldChar w:fldCharType="separate"/>
      </w:r>
      <w:r w:rsidR="008A4890">
        <w:t>97</w:t>
      </w:r>
      <w:r>
        <w:fldChar w:fldCharType="end"/>
      </w:r>
      <w:r w:rsidRPr="00E343EA">
        <w:t>, at 6.</w:t>
      </w:r>
    </w:p>
  </w:footnote>
  <w:footnote w:id="133">
    <w:p w14:paraId="76FD5F1C" w14:textId="6C1C9251" w:rsidR="00501D78" w:rsidRPr="00E343EA" w:rsidRDefault="00501D78" w:rsidP="00B06E49">
      <w:pPr>
        <w:pStyle w:val="FootnoteText"/>
      </w:pPr>
      <w:r w:rsidRPr="00E343EA">
        <w:rPr>
          <w:rStyle w:val="FootnoteReference"/>
        </w:rPr>
        <w:footnoteRef/>
      </w:r>
      <w:r w:rsidRPr="00E343EA">
        <w:t xml:space="preserve"> </w:t>
      </w:r>
      <w:r w:rsidRPr="00E343EA">
        <w:rPr>
          <w:smallCaps/>
        </w:rPr>
        <w:t>McAdoo,</w:t>
      </w:r>
      <w:r w:rsidRPr="008C5123">
        <w:t xml:space="preserve"> </w:t>
      </w:r>
      <w:r w:rsidRPr="008C5123">
        <w:rPr>
          <w:i/>
        </w:rPr>
        <w:t>supra</w:t>
      </w:r>
      <w:r w:rsidRPr="008C5123">
        <w:t xml:space="preserve"> note </w:t>
      </w:r>
      <w:r>
        <w:fldChar w:fldCharType="begin"/>
      </w:r>
      <w:r>
        <w:instrText xml:space="preserve"> NOTEREF _Ref461985950 \h </w:instrText>
      </w:r>
      <w:r>
        <w:fldChar w:fldCharType="separate"/>
      </w:r>
      <w:r w:rsidR="008A4890">
        <w:t>97</w:t>
      </w:r>
      <w:r>
        <w:fldChar w:fldCharType="end"/>
      </w:r>
      <w:r w:rsidRPr="008C5123">
        <w:t>,</w:t>
      </w:r>
      <w:r>
        <w:rPr>
          <w:smallCaps/>
        </w:rPr>
        <w:t xml:space="preserve"> </w:t>
      </w:r>
      <w:r w:rsidRPr="008C5123">
        <w:t>at</w:t>
      </w:r>
      <w:r>
        <w:rPr>
          <w:smallCaps/>
        </w:rPr>
        <w:t xml:space="preserve"> </w:t>
      </w:r>
      <w:r w:rsidRPr="00E343EA">
        <w:rPr>
          <w:smallCaps/>
        </w:rPr>
        <w:t>171.</w:t>
      </w:r>
    </w:p>
  </w:footnote>
  <w:footnote w:id="134">
    <w:p w14:paraId="7136ACE8" w14:textId="6EDE7AC5" w:rsidR="00501D78" w:rsidRPr="00E343EA" w:rsidRDefault="00501D78" w:rsidP="00B06E49">
      <w:pPr>
        <w:pStyle w:val="FootnoteText"/>
        <w:rPr>
          <w:i/>
        </w:rPr>
      </w:pPr>
      <w:r w:rsidRPr="00E343EA">
        <w:rPr>
          <w:rStyle w:val="FootnoteReference"/>
        </w:rPr>
        <w:footnoteRef/>
      </w:r>
      <w:r w:rsidRPr="00E343EA">
        <w:t xml:space="preserve"> </w:t>
      </w:r>
      <w:r w:rsidRPr="00E343EA">
        <w:rPr>
          <w:i/>
        </w:rPr>
        <w:t>Free Labor Bureau Helps Young Girls</w:t>
      </w:r>
      <w:r w:rsidRPr="00E343EA">
        <w:t xml:space="preserve">, </w:t>
      </w:r>
      <w:r w:rsidRPr="00E343EA">
        <w:rPr>
          <w:smallCaps/>
        </w:rPr>
        <w:t>Lab</w:t>
      </w:r>
      <w:r>
        <w:rPr>
          <w:smallCaps/>
        </w:rPr>
        <w:t>.</w:t>
      </w:r>
      <w:r w:rsidRPr="00E343EA">
        <w:rPr>
          <w:smallCaps/>
        </w:rPr>
        <w:t xml:space="preserve"> World, </w:t>
      </w:r>
      <w:r w:rsidRPr="00E343EA">
        <w:t>Mar. 9, 1912, at 1, 3.</w:t>
      </w:r>
      <w:r w:rsidRPr="00E343EA">
        <w:rPr>
          <w:i/>
        </w:rPr>
        <w:t xml:space="preserve"> </w:t>
      </w:r>
      <w:r w:rsidRPr="00A84B5A">
        <w:t xml:space="preserve">But sexual immorality was not limited to Chinese men.  The 1914 Wisconsin Vice Committee reported that </w:t>
      </w:r>
      <w:r>
        <w:t>“</w:t>
      </w:r>
      <w:r w:rsidRPr="00A84B5A">
        <w:t>couples who are desirous of indulging in immoral practices [enter Chinese restaurants because] they serve as convenient meeting places for who are yet ashamed to enter wine rooms and saloons. . . .  The appearance of innocence . . . lead[s] inexperienced young people to enter . . . meeting [them] with the strongest sexual temptations.</w:t>
      </w:r>
      <w:r>
        <w:t xml:space="preserve">” </w:t>
      </w:r>
      <w:r w:rsidRPr="00E343EA">
        <w:rPr>
          <w:smallCaps/>
        </w:rPr>
        <w:t>State of Wisconsin, Report and Recommendation of the Wisconsin Legislative Committee to Investigate the White Slave Traffic and Kindred Subjects</w:t>
      </w:r>
      <w:r w:rsidRPr="00E343EA">
        <w:t xml:space="preserve"> 57 (1914).</w:t>
      </w:r>
    </w:p>
  </w:footnote>
  <w:footnote w:id="135">
    <w:p w14:paraId="4C5F8AB6"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 xml:space="preserve">See </w:t>
      </w:r>
      <w:r w:rsidRPr="00E343EA">
        <w:rPr>
          <w:smallCaps/>
        </w:rPr>
        <w:t>Mary Ting Yi Lui, The Chinatown Trunk Mystery, Murder, Miscegenation, and Other Dangerous Encounters in Turn-of-the-Century New York City 111-43 (2005).</w:t>
      </w:r>
    </w:p>
  </w:footnote>
  <w:footnote w:id="136">
    <w:p w14:paraId="08594675" w14:textId="654F0F17" w:rsidR="00501D78" w:rsidRPr="00E343EA" w:rsidRDefault="00501D78" w:rsidP="00B06E49">
      <w:pPr>
        <w:pStyle w:val="FootnoteText"/>
      </w:pPr>
      <w:r w:rsidRPr="00E343EA">
        <w:rPr>
          <w:rStyle w:val="FootnoteReference"/>
        </w:rPr>
        <w:footnoteRef/>
      </w:r>
      <w:r w:rsidRPr="00E343EA">
        <w:rPr>
          <w:i/>
        </w:rPr>
        <w:t xml:space="preserve"> Fatal Lure of Chinese</w:t>
      </w:r>
      <w:r w:rsidRPr="00E343EA">
        <w:t xml:space="preserve">, </w:t>
      </w:r>
      <w:r w:rsidRPr="00FA2477">
        <w:rPr>
          <w:i/>
        </w:rPr>
        <w:t>supra</w:t>
      </w:r>
      <w:r w:rsidRPr="00FA2477">
        <w:t xml:space="preserve"> note</w:t>
      </w:r>
      <w:r>
        <w:rPr>
          <w:smallCaps/>
        </w:rPr>
        <w:t xml:space="preserve"> </w:t>
      </w:r>
      <w:r>
        <w:rPr>
          <w:smallCaps/>
        </w:rPr>
        <w:fldChar w:fldCharType="begin"/>
      </w:r>
      <w:r>
        <w:rPr>
          <w:smallCaps/>
        </w:rPr>
        <w:instrText xml:space="preserve"> NOTEREF _Ref461985950 \h </w:instrText>
      </w:r>
      <w:r>
        <w:rPr>
          <w:smallCaps/>
        </w:rPr>
      </w:r>
      <w:r>
        <w:rPr>
          <w:smallCaps/>
        </w:rPr>
        <w:fldChar w:fldCharType="separate"/>
      </w:r>
      <w:r w:rsidR="008A4890">
        <w:rPr>
          <w:smallCaps/>
        </w:rPr>
        <w:t>97</w:t>
      </w:r>
      <w:r>
        <w:rPr>
          <w:smallCaps/>
        </w:rPr>
        <w:fldChar w:fldCharType="end"/>
      </w:r>
      <w:r w:rsidRPr="00E343EA">
        <w:t xml:space="preserve"> at 1, 6 (</w:t>
      </w:r>
      <w:r>
        <w:t>“</w:t>
      </w:r>
      <w:r w:rsidRPr="00E343EA">
        <w:t>The police say the Chinamen go to Sunday school only to learn English and to associate with well bred white girls. . . The high caste Chinamen flock to the Sunday school that has the prettiest teacher.</w:t>
      </w:r>
      <w:r>
        <w:t>”</w:t>
      </w:r>
      <w:r w:rsidRPr="00E343EA">
        <w:t>).</w:t>
      </w:r>
      <w:r w:rsidRPr="00E343EA">
        <w:rPr>
          <w:smallCaps/>
        </w:rPr>
        <w:t xml:space="preserve"> Lui</w:t>
      </w:r>
      <w:r w:rsidRPr="00E343EA">
        <w:t xml:space="preserve">, </w:t>
      </w:r>
      <w:r w:rsidRPr="00E343EA">
        <w:rPr>
          <w:i/>
        </w:rPr>
        <w:t>supra</w:t>
      </w:r>
      <w:r w:rsidRPr="00E343EA">
        <w:t xml:space="preserve"> note </w:t>
      </w:r>
      <w:r>
        <w:fldChar w:fldCharType="begin"/>
      </w:r>
      <w:r>
        <w:instrText xml:space="preserve"> NOTEREF _Ref461395125 \h  \* MERGEFORMAT </w:instrText>
      </w:r>
      <w:r>
        <w:fldChar w:fldCharType="separate"/>
      </w:r>
      <w:r w:rsidR="008A4890">
        <w:t>132</w:t>
      </w:r>
      <w:r>
        <w:fldChar w:fldCharType="end"/>
      </w:r>
      <w:r w:rsidRPr="00E343EA">
        <w:t xml:space="preserve">, at 42-44; </w:t>
      </w:r>
      <w:r w:rsidRPr="00E343EA">
        <w:rPr>
          <w:smallCaps/>
        </w:rPr>
        <w:t xml:space="preserve">Nascher, </w:t>
      </w:r>
      <w:r w:rsidRPr="00D45120">
        <w:rPr>
          <w:i/>
        </w:rPr>
        <w:t>supra</w:t>
      </w:r>
      <w:r w:rsidRPr="00D45120">
        <w:t xml:space="preserve"> note </w:t>
      </w:r>
      <w:r>
        <w:fldChar w:fldCharType="begin"/>
      </w:r>
      <w:r>
        <w:instrText xml:space="preserve"> NOTEREF _Ref476063581 \h </w:instrText>
      </w:r>
      <w:r>
        <w:fldChar w:fldCharType="separate"/>
      </w:r>
      <w:r w:rsidR="008A4890">
        <w:t>100</w:t>
      </w:r>
      <w:r>
        <w:fldChar w:fldCharType="end"/>
      </w:r>
      <w:r w:rsidRPr="00D45120">
        <w:t xml:space="preserve"> at</w:t>
      </w:r>
      <w:r>
        <w:rPr>
          <w:smallCaps/>
        </w:rPr>
        <w:t xml:space="preserve"> </w:t>
      </w:r>
      <w:r w:rsidRPr="00E343EA">
        <w:rPr>
          <w:smallCaps/>
        </w:rPr>
        <w:t>134</w:t>
      </w:r>
    </w:p>
  </w:footnote>
  <w:footnote w:id="137">
    <w:p w14:paraId="63F09DEA" w14:textId="64254A4C" w:rsidR="00501D78" w:rsidRPr="00E343EA" w:rsidRDefault="00501D78" w:rsidP="00B06E49">
      <w:pPr>
        <w:pStyle w:val="FootnoteText"/>
      </w:pPr>
      <w:r w:rsidRPr="00E343EA">
        <w:rPr>
          <w:rStyle w:val="FootnoteReference"/>
        </w:rPr>
        <w:footnoteRef/>
      </w:r>
      <w:r w:rsidRPr="00E343EA">
        <w:t xml:space="preserve"> </w:t>
      </w:r>
      <w:r w:rsidRPr="00E343EA">
        <w:rPr>
          <w:i/>
        </w:rPr>
        <w:t>Chinese Resorts</w:t>
      </w:r>
      <w:r w:rsidRPr="00E343EA">
        <w:t xml:space="preserve">, </w:t>
      </w:r>
      <w:r w:rsidRPr="00FA2477">
        <w:rPr>
          <w:i/>
        </w:rPr>
        <w:t>supra</w:t>
      </w:r>
      <w:r w:rsidRPr="00FA2477">
        <w:t xml:space="preserve"> note</w:t>
      </w:r>
      <w:r>
        <w:rPr>
          <w:smallCaps/>
        </w:rPr>
        <w:t xml:space="preserve"> </w:t>
      </w:r>
      <w:r>
        <w:rPr>
          <w:smallCaps/>
        </w:rPr>
        <w:fldChar w:fldCharType="begin"/>
      </w:r>
      <w:r>
        <w:rPr>
          <w:smallCaps/>
        </w:rPr>
        <w:instrText xml:space="preserve"> NOTEREF _Ref476408421 \h </w:instrText>
      </w:r>
      <w:r>
        <w:rPr>
          <w:smallCaps/>
        </w:rPr>
      </w:r>
      <w:r>
        <w:rPr>
          <w:smallCaps/>
        </w:rPr>
        <w:fldChar w:fldCharType="separate"/>
      </w:r>
      <w:r w:rsidR="008A4890">
        <w:rPr>
          <w:smallCaps/>
        </w:rPr>
        <w:t>127</w:t>
      </w:r>
      <w:r>
        <w:rPr>
          <w:smallCaps/>
        </w:rPr>
        <w:fldChar w:fldCharType="end"/>
      </w:r>
      <w:r w:rsidRPr="00E343EA">
        <w:t>, at 3.</w:t>
      </w:r>
    </w:p>
  </w:footnote>
  <w:footnote w:id="138">
    <w:p w14:paraId="20E708AE" w14:textId="122D202F" w:rsidR="00501D78" w:rsidRPr="00E343EA" w:rsidRDefault="00501D78" w:rsidP="00B06E49">
      <w:pPr>
        <w:pStyle w:val="FootnoteText"/>
      </w:pPr>
      <w:r w:rsidRPr="00E343EA">
        <w:rPr>
          <w:rStyle w:val="FootnoteReference"/>
        </w:rPr>
        <w:footnoteRef/>
      </w:r>
      <w:r w:rsidRPr="00E343EA">
        <w:t xml:space="preserve"> </w:t>
      </w:r>
      <w:r w:rsidRPr="00E343EA">
        <w:rPr>
          <w:i/>
        </w:rPr>
        <w:t>Follow Trail Set By The Black Book</w:t>
      </w:r>
      <w:r w:rsidRPr="00E343EA">
        <w:t xml:space="preserve">, </w:t>
      </w:r>
      <w:r w:rsidRPr="00E343EA">
        <w:rPr>
          <w:smallCaps/>
        </w:rPr>
        <w:t xml:space="preserve">Wash. Times, </w:t>
      </w:r>
      <w:r w:rsidRPr="00E343EA">
        <w:t>Sept. 8, 1913, at 2.</w:t>
      </w:r>
    </w:p>
  </w:footnote>
  <w:footnote w:id="139">
    <w:p w14:paraId="5A44B98D" w14:textId="389E4BAB" w:rsidR="00501D78" w:rsidRPr="00E343EA" w:rsidRDefault="00501D78" w:rsidP="00B06E49">
      <w:pPr>
        <w:pStyle w:val="FootnoteText"/>
      </w:pPr>
      <w:r w:rsidRPr="00E343EA">
        <w:rPr>
          <w:rStyle w:val="FootnoteReference"/>
        </w:rPr>
        <w:footnoteRef/>
      </w:r>
      <w:r w:rsidRPr="00E343EA">
        <w:t xml:space="preserve"> </w:t>
      </w:r>
      <w:r w:rsidRPr="00E343EA">
        <w:rPr>
          <w:i/>
        </w:rPr>
        <w:t>Fatal Lure of Chinese</w:t>
      </w:r>
      <w:r w:rsidRPr="00E343EA">
        <w:t xml:space="preserve">, </w:t>
      </w:r>
      <w:r w:rsidRPr="00FA2477">
        <w:rPr>
          <w:i/>
        </w:rPr>
        <w:t>supra</w:t>
      </w:r>
      <w:r w:rsidRPr="00FA2477">
        <w:t xml:space="preserve"> note</w:t>
      </w:r>
      <w:r>
        <w:rPr>
          <w:smallCaps/>
        </w:rPr>
        <w:t xml:space="preserve"> </w:t>
      </w:r>
      <w:r>
        <w:rPr>
          <w:smallCaps/>
        </w:rPr>
        <w:fldChar w:fldCharType="begin"/>
      </w:r>
      <w:r>
        <w:rPr>
          <w:smallCaps/>
        </w:rPr>
        <w:instrText xml:space="preserve"> NOTEREF _Ref461985950 \h </w:instrText>
      </w:r>
      <w:r>
        <w:rPr>
          <w:smallCaps/>
        </w:rPr>
      </w:r>
      <w:r>
        <w:rPr>
          <w:smallCaps/>
        </w:rPr>
        <w:fldChar w:fldCharType="separate"/>
      </w:r>
      <w:r w:rsidR="008A4890">
        <w:rPr>
          <w:smallCaps/>
        </w:rPr>
        <w:t>97</w:t>
      </w:r>
      <w:r>
        <w:rPr>
          <w:smallCaps/>
        </w:rPr>
        <w:fldChar w:fldCharType="end"/>
      </w:r>
      <w:r>
        <w:rPr>
          <w:smallCaps/>
        </w:rPr>
        <w:t>,</w:t>
      </w:r>
      <w:r w:rsidRPr="00E343EA">
        <w:t xml:space="preserve"> at 6.</w:t>
      </w:r>
    </w:p>
  </w:footnote>
  <w:footnote w:id="140">
    <w:p w14:paraId="198F34DC" w14:textId="027E5967" w:rsidR="00501D78" w:rsidRPr="00E343EA" w:rsidRDefault="00501D78" w:rsidP="00B06E49">
      <w:pPr>
        <w:pStyle w:val="FootnoteText"/>
      </w:pPr>
      <w:r w:rsidRPr="00E343EA">
        <w:rPr>
          <w:rStyle w:val="FootnoteReference"/>
        </w:rPr>
        <w:footnoteRef/>
      </w:r>
      <w:r w:rsidRPr="00E343EA">
        <w:t xml:space="preserve"> Lawrence Burt, </w:t>
      </w:r>
      <w:r w:rsidRPr="00E343EA">
        <w:rPr>
          <w:i/>
        </w:rPr>
        <w:t>Woman</w:t>
      </w:r>
      <w:r>
        <w:rPr>
          <w:i/>
        </w:rPr>
        <w:t>’</w:t>
      </w:r>
      <w:r w:rsidRPr="00E343EA">
        <w:rPr>
          <w:i/>
        </w:rPr>
        <w:t>s Love of the Exotic</w:t>
      </w:r>
      <w:r w:rsidRPr="00E343EA">
        <w:t xml:space="preserve">, </w:t>
      </w:r>
      <w:r w:rsidRPr="00E343EA">
        <w:rPr>
          <w:smallCaps/>
        </w:rPr>
        <w:t>Munsey</w:t>
      </w:r>
      <w:r>
        <w:rPr>
          <w:smallCaps/>
        </w:rPr>
        <w:t>’</w:t>
      </w:r>
      <w:r w:rsidRPr="00E343EA">
        <w:rPr>
          <w:smallCaps/>
        </w:rPr>
        <w:t xml:space="preserve">s Mag., </w:t>
      </w:r>
      <w:r w:rsidRPr="00E343EA">
        <w:t xml:space="preserve">Sept. 1909 at 831-32, </w:t>
      </w:r>
      <w:r w:rsidRPr="00E343EA">
        <w:rPr>
          <w:i/>
        </w:rPr>
        <w:t>available at</w:t>
      </w:r>
      <w:r w:rsidRPr="00E343EA">
        <w:t xml:space="preserve"> http://www.unz.org/Pub/Munseys-1909sep-00831.</w:t>
      </w:r>
    </w:p>
  </w:footnote>
  <w:footnote w:id="141">
    <w:p w14:paraId="25EB9F36" w14:textId="71C1B024" w:rsidR="00501D78" w:rsidRPr="00E343EA" w:rsidRDefault="00501D78" w:rsidP="00B06E49">
      <w:pPr>
        <w:pStyle w:val="FootnoteText"/>
      </w:pPr>
      <w:r w:rsidRPr="00E343EA">
        <w:rPr>
          <w:rStyle w:val="FootnoteReference"/>
        </w:rPr>
        <w:footnoteRef/>
      </w:r>
      <w:r w:rsidRPr="00E343EA">
        <w:t xml:space="preserve"> </w:t>
      </w:r>
      <w:r w:rsidRPr="00E343EA">
        <w:rPr>
          <w:i/>
        </w:rPr>
        <w:t xml:space="preserve">See </w:t>
      </w:r>
      <w:r w:rsidRPr="00E343EA">
        <w:rPr>
          <w:smallCaps/>
        </w:rPr>
        <w:t xml:space="preserve">Nascher, </w:t>
      </w:r>
      <w:r w:rsidRPr="00E343EA">
        <w:rPr>
          <w:i/>
        </w:rPr>
        <w:t>supra</w:t>
      </w:r>
      <w:r w:rsidRPr="00E343EA">
        <w:t xml:space="preserve"> note </w:t>
      </w:r>
      <w:r>
        <w:fldChar w:fldCharType="begin"/>
      </w:r>
      <w:r>
        <w:instrText xml:space="preserve"> NOTEREF _Ref476063581 \h </w:instrText>
      </w:r>
      <w:r>
        <w:fldChar w:fldCharType="separate"/>
      </w:r>
      <w:r w:rsidR="008A4890">
        <w:t>100</w:t>
      </w:r>
      <w:r>
        <w:fldChar w:fldCharType="end"/>
      </w:r>
      <w:r w:rsidRPr="00E343EA">
        <w:t xml:space="preserve">, at </w:t>
      </w:r>
      <w:r w:rsidRPr="00E343EA">
        <w:rPr>
          <w:smallCaps/>
        </w:rPr>
        <w:t>134.</w:t>
      </w:r>
    </w:p>
  </w:footnote>
  <w:footnote w:id="142">
    <w:p w14:paraId="32B7E92A" w14:textId="7326703E" w:rsidR="00501D78" w:rsidRPr="00E343EA" w:rsidRDefault="00501D78" w:rsidP="00B06E49">
      <w:pPr>
        <w:pStyle w:val="FootnoteText"/>
      </w:pPr>
      <w:r w:rsidRPr="00E343EA">
        <w:rPr>
          <w:rStyle w:val="FootnoteReference"/>
        </w:rPr>
        <w:footnoteRef/>
      </w:r>
      <w:r w:rsidRPr="00E343EA">
        <w:t xml:space="preserve"> </w:t>
      </w:r>
      <w:r w:rsidRPr="00E343EA">
        <w:rPr>
          <w:smallCaps/>
        </w:rPr>
        <w:t>David F. Musto, The American Disease: Origins of Narcotic Control</w:t>
      </w:r>
      <w:r w:rsidRPr="00E343EA">
        <w:t xml:space="preserve"> 3 (3d ed. 1999) (</w:t>
      </w:r>
      <w:r>
        <w:t>“</w:t>
      </w:r>
      <w:r w:rsidRPr="00E343EA">
        <w:t>Opiates and cocaine became popular—if unrecognized—items in the everyday life of Americans</w:t>
      </w:r>
      <w:r>
        <w:t>”</w:t>
      </w:r>
      <w:r w:rsidRPr="00E343EA">
        <w:t>)</w:t>
      </w:r>
      <w:r>
        <w:t>.</w:t>
      </w:r>
    </w:p>
  </w:footnote>
  <w:footnote w:id="143">
    <w:p w14:paraId="02A7EDD5" w14:textId="4247A385" w:rsidR="00501D78" w:rsidRPr="00E343EA" w:rsidRDefault="00501D78" w:rsidP="00B06E49">
      <w:pPr>
        <w:pStyle w:val="FootnoteText"/>
      </w:pPr>
      <w:r w:rsidRPr="00E343EA">
        <w:rPr>
          <w:rStyle w:val="FootnoteReference"/>
        </w:rPr>
        <w:footnoteRef/>
      </w:r>
      <w:r w:rsidRPr="00E343EA">
        <w:t xml:space="preserve"> </w:t>
      </w:r>
      <w:r w:rsidRPr="00E343EA">
        <w:rPr>
          <w:i/>
        </w:rPr>
        <w:t xml:space="preserve">See </w:t>
      </w:r>
      <w:r w:rsidRPr="00E343EA">
        <w:rPr>
          <w:smallCaps/>
        </w:rPr>
        <w:t>Cheryl L.</w:t>
      </w:r>
      <w:r w:rsidRPr="00E343EA">
        <w:rPr>
          <w:i/>
          <w:smallCaps/>
        </w:rPr>
        <w:t xml:space="preserve"> </w:t>
      </w:r>
      <w:r w:rsidRPr="00E343EA">
        <w:rPr>
          <w:smallCaps/>
        </w:rPr>
        <w:t>Chambers</w:t>
      </w:r>
      <w:r w:rsidRPr="00E343EA">
        <w:t xml:space="preserve">, </w:t>
      </w:r>
      <w:r w:rsidRPr="00E343EA">
        <w:rPr>
          <w:smallCaps/>
        </w:rPr>
        <w:t xml:space="preserve">Drug Laws and Institutional Racism; The Story Told By the Congressional Record (2011); </w:t>
      </w:r>
      <w:r>
        <w:rPr>
          <w:i/>
        </w:rPr>
        <w:t>s</w:t>
      </w:r>
      <w:r w:rsidRPr="00E343EA">
        <w:rPr>
          <w:i/>
        </w:rPr>
        <w:t>ee, e.g.</w:t>
      </w:r>
      <w:r w:rsidRPr="00E343EA">
        <w:t xml:space="preserve">, </w:t>
      </w:r>
      <w:r w:rsidRPr="00E343EA">
        <w:rPr>
          <w:i/>
        </w:rPr>
        <w:t>Dreamers Who Hit the Pipe</w:t>
      </w:r>
      <w:r w:rsidRPr="00E343EA">
        <w:t xml:space="preserve">, </w:t>
      </w:r>
      <w:r w:rsidRPr="00E343EA">
        <w:rPr>
          <w:smallCaps/>
        </w:rPr>
        <w:t xml:space="preserve">Wash. Post, </w:t>
      </w:r>
      <w:r w:rsidRPr="00E343EA">
        <w:t xml:space="preserve">Mar. 7, 1909, at M1; </w:t>
      </w:r>
      <w:r w:rsidRPr="00E343EA">
        <w:rPr>
          <w:i/>
        </w:rPr>
        <w:t>Fight on Opium Led by America</w:t>
      </w:r>
      <w:r w:rsidRPr="00E343EA">
        <w:t xml:space="preserve">, </w:t>
      </w:r>
      <w:r>
        <w:rPr>
          <w:smallCaps/>
        </w:rPr>
        <w:t>Chi.</w:t>
      </w:r>
      <w:r w:rsidRPr="00E343EA">
        <w:rPr>
          <w:smallCaps/>
        </w:rPr>
        <w:t xml:space="preserve"> Daily Trib., </w:t>
      </w:r>
      <w:r w:rsidRPr="00E343EA">
        <w:t xml:space="preserve">Apr. 19, 1909, at 1; </w:t>
      </w:r>
      <w:r w:rsidRPr="00E343EA">
        <w:rPr>
          <w:i/>
        </w:rPr>
        <w:t>Opium Barred After April 1</w:t>
      </w:r>
      <w:r w:rsidRPr="00E343EA">
        <w:t xml:space="preserve">, </w:t>
      </w:r>
      <w:r w:rsidRPr="00E343EA">
        <w:rPr>
          <w:smallCaps/>
        </w:rPr>
        <w:t xml:space="preserve">N.Y. Times, </w:t>
      </w:r>
      <w:r w:rsidRPr="00E343EA">
        <w:t xml:space="preserve">Mar. 28, 1909, at 3; </w:t>
      </w:r>
      <w:r w:rsidRPr="00E343EA">
        <w:rPr>
          <w:i/>
        </w:rPr>
        <w:t>Opium Barred by New Statute</w:t>
      </w:r>
      <w:r w:rsidRPr="00E343EA">
        <w:t>,</w:t>
      </w:r>
      <w:r w:rsidRPr="00E343EA">
        <w:rPr>
          <w:smallCaps/>
        </w:rPr>
        <w:t xml:space="preserve"> S.F. Chron</w:t>
      </w:r>
      <w:r>
        <w:rPr>
          <w:smallCaps/>
        </w:rPr>
        <w:t>.</w:t>
      </w:r>
      <w:r w:rsidRPr="00E343EA">
        <w:t xml:space="preserve">, Mar. 28, 1909, at 39; </w:t>
      </w:r>
      <w:r w:rsidRPr="00E343EA">
        <w:rPr>
          <w:i/>
        </w:rPr>
        <w:t>Opium Barred Except for Medical Use</w:t>
      </w:r>
      <w:r w:rsidRPr="00E343EA">
        <w:t xml:space="preserve">, </w:t>
      </w:r>
      <w:r w:rsidRPr="00E343EA">
        <w:rPr>
          <w:smallCaps/>
        </w:rPr>
        <w:t>L</w:t>
      </w:r>
      <w:r>
        <w:rPr>
          <w:smallCaps/>
        </w:rPr>
        <w:t>.</w:t>
      </w:r>
      <w:r w:rsidRPr="00E343EA">
        <w:rPr>
          <w:smallCaps/>
        </w:rPr>
        <w:t>A</w:t>
      </w:r>
      <w:r>
        <w:rPr>
          <w:smallCaps/>
        </w:rPr>
        <w:t>.</w:t>
      </w:r>
      <w:r w:rsidRPr="00E343EA">
        <w:rPr>
          <w:smallCaps/>
        </w:rPr>
        <w:t xml:space="preserve"> Times, </w:t>
      </w:r>
      <w:r w:rsidRPr="00E343EA">
        <w:t xml:space="preserve">Mar. 28, 1909, at I2; </w:t>
      </w:r>
      <w:r w:rsidRPr="00E343EA">
        <w:rPr>
          <w:i/>
        </w:rPr>
        <w:t>Opium Riots Spread</w:t>
      </w:r>
      <w:r w:rsidRPr="00E343EA">
        <w:t xml:space="preserve">, </w:t>
      </w:r>
      <w:r w:rsidRPr="00E343EA">
        <w:rPr>
          <w:smallCaps/>
        </w:rPr>
        <w:t xml:space="preserve">L.A. Times, </w:t>
      </w:r>
      <w:r w:rsidRPr="00E343EA">
        <w:t xml:space="preserve">Dec. 29, 1908, at I1; </w:t>
      </w:r>
      <w:r w:rsidRPr="00E343EA">
        <w:rPr>
          <w:i/>
        </w:rPr>
        <w:t>Sent Trouble Over Opium Law</w:t>
      </w:r>
      <w:r w:rsidRPr="00E343EA">
        <w:t>,</w:t>
      </w:r>
      <w:r w:rsidRPr="00E343EA">
        <w:rPr>
          <w:smallCaps/>
        </w:rPr>
        <w:t xml:space="preserve"> S.F. Chron.</w:t>
      </w:r>
      <w:r w:rsidRPr="00E343EA">
        <w:t xml:space="preserve">, Mar. 21, 1909, at 21; </w:t>
      </w:r>
      <w:r w:rsidRPr="00E343EA">
        <w:rPr>
          <w:i/>
        </w:rPr>
        <w:t>State Officers are After Opium</w:t>
      </w:r>
      <w:r w:rsidRPr="00E343EA">
        <w:t xml:space="preserve">, </w:t>
      </w:r>
      <w:r w:rsidRPr="00E343EA">
        <w:rPr>
          <w:smallCaps/>
        </w:rPr>
        <w:t>S.F. Chron.</w:t>
      </w:r>
      <w:r w:rsidRPr="00E343EA">
        <w:t xml:space="preserve">, Apr. 24, 1909, at 7; </w:t>
      </w:r>
      <w:r w:rsidRPr="00E343EA">
        <w:rPr>
          <w:i/>
        </w:rPr>
        <w:t>Riot Against Opium Edict</w:t>
      </w:r>
      <w:r w:rsidRPr="00E343EA">
        <w:t xml:space="preserve">, </w:t>
      </w:r>
      <w:r w:rsidRPr="00E343EA">
        <w:rPr>
          <w:smallCaps/>
        </w:rPr>
        <w:t xml:space="preserve">Wash. Post, </w:t>
      </w:r>
      <w:r w:rsidRPr="00E343EA">
        <w:t>Dec. 28, 1908, at 4.</w:t>
      </w:r>
    </w:p>
  </w:footnote>
  <w:footnote w:id="144">
    <w:p w14:paraId="7F5BC3B1" w14:textId="7D059E52" w:rsidR="00501D78" w:rsidRPr="00E343EA" w:rsidRDefault="00501D78" w:rsidP="00B06E49">
      <w:pPr>
        <w:pStyle w:val="FootnoteText"/>
      </w:pPr>
      <w:r w:rsidRPr="00E343EA">
        <w:rPr>
          <w:rStyle w:val="FootnoteReference"/>
        </w:rPr>
        <w:footnoteRef/>
      </w:r>
      <w:r w:rsidRPr="00E343EA">
        <w:t xml:space="preserve"> </w:t>
      </w:r>
      <w:r w:rsidRPr="00E343EA">
        <w:rPr>
          <w:i/>
        </w:rPr>
        <w:t>See generally</w:t>
      </w:r>
      <w:r w:rsidRPr="00E343EA">
        <w:rPr>
          <w:smallCaps/>
        </w:rPr>
        <w:t xml:space="preserve"> Lui, </w:t>
      </w:r>
      <w:r w:rsidRPr="00E343EA">
        <w:rPr>
          <w:i/>
        </w:rPr>
        <w:t xml:space="preserve">supra </w:t>
      </w:r>
      <w:r w:rsidRPr="00E343EA">
        <w:t xml:space="preserve">note </w:t>
      </w:r>
      <w:r>
        <w:fldChar w:fldCharType="begin"/>
      </w:r>
      <w:r>
        <w:instrText xml:space="preserve"> NOTEREF _Ref461395125 \h  \* MERGEFORMAT </w:instrText>
      </w:r>
      <w:r>
        <w:fldChar w:fldCharType="separate"/>
      </w:r>
      <w:r w:rsidR="008A4890">
        <w:t>132</w:t>
      </w:r>
      <w:r>
        <w:fldChar w:fldCharType="end"/>
      </w:r>
      <w:r w:rsidRPr="00E343EA">
        <w:rPr>
          <w:smallCaps/>
        </w:rPr>
        <w:t xml:space="preserve">; </w:t>
      </w:r>
      <w:r w:rsidRPr="00E343EA">
        <w:rPr>
          <w:i/>
        </w:rPr>
        <w:t>see, e.g.</w:t>
      </w:r>
      <w:r w:rsidRPr="00E343EA">
        <w:t xml:space="preserve">, </w:t>
      </w:r>
      <w:r w:rsidRPr="00E343EA">
        <w:rPr>
          <w:i/>
        </w:rPr>
        <w:t>Chinese Resorts</w:t>
      </w:r>
      <w:r w:rsidRPr="00E343EA">
        <w:t xml:space="preserve">, </w:t>
      </w:r>
      <w:r w:rsidRPr="00FA2477">
        <w:rPr>
          <w:i/>
        </w:rPr>
        <w:t>supra</w:t>
      </w:r>
      <w:r w:rsidRPr="00FA2477">
        <w:t xml:space="preserve"> note</w:t>
      </w:r>
      <w:r>
        <w:rPr>
          <w:smallCaps/>
        </w:rPr>
        <w:t xml:space="preserve"> </w:t>
      </w:r>
      <w:r>
        <w:rPr>
          <w:smallCaps/>
        </w:rPr>
        <w:fldChar w:fldCharType="begin"/>
      </w:r>
      <w:r>
        <w:rPr>
          <w:smallCaps/>
        </w:rPr>
        <w:instrText xml:space="preserve"> NOTEREF _Ref476408421 \h </w:instrText>
      </w:r>
      <w:r>
        <w:rPr>
          <w:smallCaps/>
        </w:rPr>
      </w:r>
      <w:r>
        <w:rPr>
          <w:smallCaps/>
        </w:rPr>
        <w:fldChar w:fldCharType="separate"/>
      </w:r>
      <w:r w:rsidR="008A4890">
        <w:rPr>
          <w:smallCaps/>
        </w:rPr>
        <w:t>127</w:t>
      </w:r>
      <w:r>
        <w:rPr>
          <w:smallCaps/>
        </w:rPr>
        <w:fldChar w:fldCharType="end"/>
      </w:r>
      <w:r>
        <w:rPr>
          <w:smallCaps/>
        </w:rPr>
        <w:t>,</w:t>
      </w:r>
      <w:r w:rsidRPr="00E343EA">
        <w:t xml:space="preserve"> at 3 (asking the chief of police what he would do in light of their </w:t>
      </w:r>
      <w:r>
        <w:t>“</w:t>
      </w:r>
      <w:r w:rsidRPr="00E343EA">
        <w:t>attention [being] called to the Chinese problem in American cities by the murder of Elsie Sigel</w:t>
      </w:r>
      <w:r>
        <w:t>”</w:t>
      </w:r>
      <w:r w:rsidRPr="00E343EA">
        <w:t>).</w:t>
      </w:r>
    </w:p>
  </w:footnote>
  <w:footnote w:id="145">
    <w:p w14:paraId="7E6F49CC" w14:textId="5CCFF876" w:rsidR="00501D78" w:rsidRPr="00E343EA" w:rsidRDefault="00501D78" w:rsidP="00B06E49">
      <w:pPr>
        <w:pStyle w:val="FootnoteText"/>
      </w:pPr>
      <w:r w:rsidRPr="00E343EA">
        <w:rPr>
          <w:rStyle w:val="FootnoteReference"/>
        </w:rPr>
        <w:footnoteRef/>
      </w:r>
      <w:r w:rsidRPr="00E343EA">
        <w:t xml:space="preserve"> </w:t>
      </w:r>
      <w:r w:rsidRPr="00E343EA">
        <w:rPr>
          <w:i/>
        </w:rPr>
        <w:t>See generally</w:t>
      </w:r>
      <w:r w:rsidRPr="00E343EA">
        <w:rPr>
          <w:smallCaps/>
        </w:rPr>
        <w:t xml:space="preserve"> Lui, </w:t>
      </w:r>
      <w:r w:rsidRPr="00E343EA">
        <w:rPr>
          <w:i/>
        </w:rPr>
        <w:t xml:space="preserve">supra </w:t>
      </w:r>
      <w:r w:rsidRPr="00E343EA">
        <w:t xml:space="preserve">note </w:t>
      </w:r>
      <w:r>
        <w:fldChar w:fldCharType="begin"/>
      </w:r>
      <w:r>
        <w:instrText xml:space="preserve"> NOTEREF _Ref461395125 \h  \* MERGEFORMAT </w:instrText>
      </w:r>
      <w:r>
        <w:fldChar w:fldCharType="separate"/>
      </w:r>
      <w:r w:rsidR="008A4890">
        <w:t>132</w:t>
      </w:r>
      <w:r>
        <w:fldChar w:fldCharType="end"/>
      </w:r>
      <w:r w:rsidRPr="00E343EA">
        <w:t>.</w:t>
      </w:r>
    </w:p>
  </w:footnote>
  <w:footnote w:id="146">
    <w:p w14:paraId="0E6F08A1" w14:textId="4829FA1D" w:rsidR="00501D78" w:rsidRPr="00E343EA" w:rsidRDefault="00501D78" w:rsidP="00B06E49">
      <w:pPr>
        <w:pStyle w:val="FootnoteText"/>
      </w:pPr>
      <w:r w:rsidRPr="00E343EA">
        <w:rPr>
          <w:rStyle w:val="FootnoteReference"/>
        </w:rPr>
        <w:footnoteRef/>
      </w:r>
      <w:r w:rsidRPr="00E343EA">
        <w:t xml:space="preserve"> </w:t>
      </w:r>
      <w:r w:rsidRPr="00E343EA">
        <w:rPr>
          <w:i/>
        </w:rPr>
        <w:t>See e.g.</w:t>
      </w:r>
      <w:r w:rsidRPr="00E343EA">
        <w:t>,</w:t>
      </w:r>
      <w:r w:rsidRPr="00E343EA">
        <w:rPr>
          <w:i/>
        </w:rPr>
        <w:t xml:space="preserve"> Fatal Lure of Chinese</w:t>
      </w:r>
      <w:r w:rsidRPr="00E343EA">
        <w:t xml:space="preserve">, </w:t>
      </w:r>
      <w:r w:rsidRPr="00FA2477">
        <w:rPr>
          <w:i/>
        </w:rPr>
        <w:t>supra</w:t>
      </w:r>
      <w:r>
        <w:t xml:space="preserve"> note </w:t>
      </w:r>
      <w:r>
        <w:fldChar w:fldCharType="begin"/>
      </w:r>
      <w:r>
        <w:instrText xml:space="preserve"> NOTEREF _Ref461985950 \h </w:instrText>
      </w:r>
      <w:r>
        <w:fldChar w:fldCharType="separate"/>
      </w:r>
      <w:r w:rsidR="008A4890">
        <w:t>97</w:t>
      </w:r>
      <w:r>
        <w:fldChar w:fldCharType="end"/>
      </w:r>
      <w:r>
        <w:t xml:space="preserve">, </w:t>
      </w:r>
      <w:r w:rsidRPr="00E343EA">
        <w:t xml:space="preserve">at 1, 6; </w:t>
      </w:r>
      <w:r w:rsidRPr="00E343EA">
        <w:rPr>
          <w:i/>
        </w:rPr>
        <w:t>Girl Found Murdered in Chinatown</w:t>
      </w:r>
      <w:r>
        <w:rPr>
          <w:i/>
        </w:rPr>
        <w:t>’</w:t>
      </w:r>
      <w:r w:rsidRPr="00E343EA">
        <w:rPr>
          <w:i/>
        </w:rPr>
        <w:t>s Room a Sigel</w:t>
      </w:r>
      <w:r w:rsidRPr="00E343EA">
        <w:t xml:space="preserve">, </w:t>
      </w:r>
      <w:r w:rsidRPr="00E343EA">
        <w:rPr>
          <w:smallCaps/>
        </w:rPr>
        <w:t>Wy</w:t>
      </w:r>
      <w:r>
        <w:rPr>
          <w:smallCaps/>
        </w:rPr>
        <w:t>o</w:t>
      </w:r>
      <w:r w:rsidRPr="00E343EA">
        <w:rPr>
          <w:smallCaps/>
        </w:rPr>
        <w:t xml:space="preserve">. Semi-Weekly </w:t>
      </w:r>
      <w:r>
        <w:rPr>
          <w:smallCaps/>
        </w:rPr>
        <w:t>Trib.</w:t>
      </w:r>
      <w:r w:rsidRPr="00E343EA">
        <w:rPr>
          <w:smallCaps/>
        </w:rPr>
        <w:t xml:space="preserve">, </w:t>
      </w:r>
      <w:r w:rsidRPr="00E343EA">
        <w:t>June 6, 1909, at 1.</w:t>
      </w:r>
    </w:p>
  </w:footnote>
  <w:footnote w:id="147">
    <w:p w14:paraId="54AAC328" w14:textId="73B9ED54" w:rsidR="00501D78" w:rsidRPr="00E343EA" w:rsidRDefault="00501D78" w:rsidP="00B06E49">
      <w:pPr>
        <w:pStyle w:val="FootnoteText"/>
      </w:pPr>
      <w:r w:rsidRPr="00E343EA">
        <w:rPr>
          <w:rStyle w:val="FootnoteReference"/>
        </w:rPr>
        <w:footnoteRef/>
      </w:r>
      <w:r w:rsidRPr="00E343EA">
        <w:t xml:space="preserve"> </w:t>
      </w:r>
      <w:r w:rsidRPr="00E343EA">
        <w:rPr>
          <w:i/>
        </w:rPr>
        <w:t>Was Strangled By Her Chinese Lover</w:t>
      </w:r>
      <w:r w:rsidRPr="00E343EA">
        <w:t xml:space="preserve">, </w:t>
      </w:r>
      <w:r w:rsidRPr="00E343EA">
        <w:rPr>
          <w:smallCaps/>
        </w:rPr>
        <w:t xml:space="preserve">S.F. Chron., </w:t>
      </w:r>
      <w:r w:rsidRPr="00E343EA">
        <w:t>June 19, 1909, at 1.</w:t>
      </w:r>
    </w:p>
  </w:footnote>
  <w:footnote w:id="148">
    <w:p w14:paraId="360DB7FD" w14:textId="3A4E0266" w:rsidR="00501D78" w:rsidRPr="00E343EA" w:rsidRDefault="00501D78" w:rsidP="00B06E49">
      <w:pPr>
        <w:pStyle w:val="FootnoteText"/>
      </w:pPr>
      <w:r w:rsidRPr="00E343EA">
        <w:rPr>
          <w:rStyle w:val="FootnoteReference"/>
        </w:rPr>
        <w:footnoteRef/>
      </w:r>
      <w:r w:rsidRPr="00E343EA">
        <w:t xml:space="preserve"> </w:t>
      </w:r>
      <w:r w:rsidRPr="00E343EA">
        <w:rPr>
          <w:i/>
        </w:rPr>
        <w:t>See Girl Found Murdered</w:t>
      </w:r>
      <w:r w:rsidRPr="00E343EA">
        <w:t xml:space="preserve">, </w:t>
      </w:r>
      <w:r w:rsidRPr="00E83B9B">
        <w:rPr>
          <w:i/>
        </w:rPr>
        <w:t>supra</w:t>
      </w:r>
      <w:r>
        <w:t xml:space="preserve"> note </w:t>
      </w:r>
      <w:r>
        <w:fldChar w:fldCharType="begin"/>
      </w:r>
      <w:r>
        <w:instrText xml:space="preserve"> NOTEREF _Ref476491986 \h </w:instrText>
      </w:r>
      <w:r>
        <w:fldChar w:fldCharType="separate"/>
      </w:r>
      <w:r w:rsidR="008A4890">
        <w:t>143</w:t>
      </w:r>
      <w:r>
        <w:fldChar w:fldCharType="end"/>
      </w:r>
      <w:r w:rsidRPr="00E343EA">
        <w:t xml:space="preserve">, at 1; </w:t>
      </w:r>
      <w:r w:rsidRPr="00E343EA">
        <w:rPr>
          <w:i/>
        </w:rPr>
        <w:t>Fatal Lure of Chinese</w:t>
      </w:r>
      <w:r w:rsidRPr="00E343EA">
        <w:t xml:space="preserve">, </w:t>
      </w:r>
      <w:r w:rsidRPr="00FA2477">
        <w:rPr>
          <w:i/>
        </w:rPr>
        <w:t>supra</w:t>
      </w:r>
      <w:r>
        <w:t xml:space="preserve"> note </w:t>
      </w:r>
      <w:r>
        <w:fldChar w:fldCharType="begin"/>
      </w:r>
      <w:r>
        <w:instrText xml:space="preserve"> NOTEREF _Ref461985950 \h </w:instrText>
      </w:r>
      <w:r>
        <w:fldChar w:fldCharType="separate"/>
      </w:r>
      <w:r w:rsidR="008A4890">
        <w:t>97</w:t>
      </w:r>
      <w:r>
        <w:fldChar w:fldCharType="end"/>
      </w:r>
      <w:r>
        <w:t xml:space="preserve">, </w:t>
      </w:r>
      <w:r w:rsidRPr="00E343EA">
        <w:t>at 1, 6.</w:t>
      </w:r>
    </w:p>
  </w:footnote>
  <w:footnote w:id="149">
    <w:p w14:paraId="47583250" w14:textId="7946DB73" w:rsidR="00501D78" w:rsidRPr="00E343EA" w:rsidRDefault="00501D78" w:rsidP="00B06E49">
      <w:pPr>
        <w:pStyle w:val="FootnoteText"/>
      </w:pPr>
      <w:r w:rsidRPr="00E343EA">
        <w:rPr>
          <w:rStyle w:val="FootnoteReference"/>
        </w:rPr>
        <w:footnoteRef/>
      </w:r>
      <w:r w:rsidRPr="00E343EA">
        <w:t xml:space="preserve"> </w:t>
      </w:r>
      <w:r>
        <w:rPr>
          <w:smallCaps/>
        </w:rPr>
        <w:t xml:space="preserve">Guernsey Gazette </w:t>
      </w:r>
      <w:r w:rsidRPr="00CB39AA">
        <w:t>(Wyo.),</w:t>
      </w:r>
      <w:r w:rsidRPr="00E343EA">
        <w:rPr>
          <w:smallCaps/>
        </w:rPr>
        <w:t xml:space="preserve"> </w:t>
      </w:r>
      <w:r w:rsidRPr="00E343EA">
        <w:t>Oct. 22, 1909, [no reported page].</w:t>
      </w:r>
    </w:p>
  </w:footnote>
  <w:footnote w:id="150">
    <w:p w14:paraId="1D8EF2E4" w14:textId="70A0A66E" w:rsidR="00501D78" w:rsidRPr="00E343EA" w:rsidRDefault="00501D78" w:rsidP="00B06E49">
      <w:pPr>
        <w:pStyle w:val="FootnoteText"/>
      </w:pPr>
      <w:r w:rsidRPr="00E343EA">
        <w:rPr>
          <w:rStyle w:val="FootnoteReference"/>
        </w:rPr>
        <w:footnoteRef/>
      </w:r>
      <w:r w:rsidRPr="00E343EA">
        <w:t xml:space="preserve"> </w:t>
      </w:r>
      <w:r w:rsidRPr="00E343EA">
        <w:rPr>
          <w:smallCaps/>
        </w:rPr>
        <w:t xml:space="preserve">Sunday Oregonian, </w:t>
      </w:r>
      <w:r w:rsidRPr="00E343EA">
        <w:t>July</w:t>
      </w:r>
      <w:r w:rsidRPr="00E343EA">
        <w:rPr>
          <w:smallCaps/>
        </w:rPr>
        <w:t xml:space="preserve"> 18, 1909, </w:t>
      </w:r>
      <w:r w:rsidRPr="00E343EA">
        <w:t xml:space="preserve">at 2; </w:t>
      </w:r>
      <w:r w:rsidRPr="00E343EA">
        <w:rPr>
          <w:i/>
        </w:rPr>
        <w:t>see also Chop Suey Profits Lessen</w:t>
      </w:r>
      <w:r w:rsidRPr="00E343EA">
        <w:t xml:space="preserve">, </w:t>
      </w:r>
      <w:r w:rsidRPr="00E343EA">
        <w:rPr>
          <w:smallCaps/>
        </w:rPr>
        <w:t>Logansport Pharos Trib.</w:t>
      </w:r>
      <w:r>
        <w:rPr>
          <w:smallCaps/>
        </w:rPr>
        <w:t xml:space="preserve"> </w:t>
      </w:r>
      <w:r w:rsidRPr="00170B9C">
        <w:t>(Ind.)</w:t>
      </w:r>
      <w:r w:rsidRPr="00E343EA">
        <w:rPr>
          <w:smallCaps/>
        </w:rPr>
        <w:t xml:space="preserve">, </w:t>
      </w:r>
      <w:r w:rsidRPr="00E343EA">
        <w:t>Aug. 23, 1909</w:t>
      </w:r>
      <w:r>
        <w:t>.</w:t>
      </w:r>
    </w:p>
  </w:footnote>
  <w:footnote w:id="151">
    <w:p w14:paraId="1008E7C7" w14:textId="237A894B" w:rsidR="00501D78" w:rsidRPr="00E343EA" w:rsidRDefault="00501D78" w:rsidP="00B06E49">
      <w:pPr>
        <w:pStyle w:val="FootnoteText"/>
      </w:pPr>
      <w:r w:rsidRPr="00E343EA">
        <w:rPr>
          <w:rStyle w:val="FootnoteReference"/>
        </w:rPr>
        <w:footnoteRef/>
      </w:r>
      <w:r w:rsidRPr="00E343EA">
        <w:t xml:space="preserve"> </w:t>
      </w:r>
      <w:r w:rsidRPr="00E343EA">
        <w:rPr>
          <w:i/>
        </w:rPr>
        <w:t xml:space="preserve">See </w:t>
      </w:r>
      <w:r w:rsidRPr="00E343EA">
        <w:rPr>
          <w:smallCaps/>
        </w:rPr>
        <w:t>Lui</w:t>
      </w:r>
      <w:r w:rsidRPr="00E343EA">
        <w:t xml:space="preserve">, </w:t>
      </w:r>
      <w:r w:rsidRPr="00E343EA">
        <w:rPr>
          <w:i/>
        </w:rPr>
        <w:t>supra</w:t>
      </w:r>
      <w:r w:rsidRPr="00E343EA">
        <w:t xml:space="preserve"> note </w:t>
      </w:r>
      <w:r>
        <w:fldChar w:fldCharType="begin"/>
      </w:r>
      <w:r>
        <w:instrText xml:space="preserve"> NOTEREF _Ref461395125 \h  \* MERGEFORMAT </w:instrText>
      </w:r>
      <w:r>
        <w:fldChar w:fldCharType="separate"/>
      </w:r>
      <w:r w:rsidR="008A4890">
        <w:t>132</w:t>
      </w:r>
      <w:r>
        <w:fldChar w:fldCharType="end"/>
      </w:r>
      <w:r w:rsidRPr="00E343EA">
        <w:t xml:space="preserve">, at 12-16; </w:t>
      </w:r>
      <w:r w:rsidRPr="00E343EA">
        <w:rPr>
          <w:i/>
        </w:rPr>
        <w:t>see</w:t>
      </w:r>
      <w:r w:rsidRPr="00E343EA">
        <w:t xml:space="preserve"> </w:t>
      </w:r>
      <w:r w:rsidRPr="00E343EA">
        <w:rPr>
          <w:i/>
        </w:rPr>
        <w:t>also Thinks Elsie Sigel To Blame</w:t>
      </w:r>
      <w:r w:rsidRPr="00E343EA">
        <w:t xml:space="preserve">, </w:t>
      </w:r>
      <w:r w:rsidRPr="00E343EA">
        <w:rPr>
          <w:smallCaps/>
        </w:rPr>
        <w:t xml:space="preserve">Wyo. Stockgrower &amp; Farmer, </w:t>
      </w:r>
      <w:r w:rsidRPr="00E343EA">
        <w:t>July 7, 1909, at 4 (</w:t>
      </w:r>
      <w:r>
        <w:t>“</w:t>
      </w:r>
      <w:r w:rsidRPr="00E343EA">
        <w:t>It is a mistake to send attractive young women down to the slums to teach these classes in mission schools.</w:t>
      </w:r>
      <w:r>
        <w:t>”</w:t>
      </w:r>
      <w:r w:rsidRPr="00E343EA">
        <w:t>).</w:t>
      </w:r>
    </w:p>
  </w:footnote>
  <w:footnote w:id="152">
    <w:p w14:paraId="3A14D7F9" w14:textId="2CC59F10" w:rsidR="00501D78" w:rsidRDefault="00501D78" w:rsidP="00B06E49">
      <w:pPr>
        <w:pStyle w:val="FootnoteText"/>
      </w:pPr>
      <w:r>
        <w:rPr>
          <w:rStyle w:val="FootnoteReference"/>
        </w:rPr>
        <w:footnoteRef/>
      </w:r>
      <w:r>
        <w:t xml:space="preserve"> </w:t>
      </w:r>
      <w:r w:rsidRPr="00023695">
        <w:rPr>
          <w:i/>
        </w:rPr>
        <w:t>These are Hard Days for Chinese</w:t>
      </w:r>
      <w:r>
        <w:t xml:space="preserve">, </w:t>
      </w:r>
      <w:r>
        <w:rPr>
          <w:smallCaps/>
        </w:rPr>
        <w:t>Bridgeport Evening Farmer (</w:t>
      </w:r>
      <w:r w:rsidRPr="00A37D94">
        <w:t>Conn.</w:t>
      </w:r>
      <w:r w:rsidRPr="00023695">
        <w:rPr>
          <w:smallCaps/>
        </w:rPr>
        <w:t>)</w:t>
      </w:r>
      <w:r>
        <w:t>, June 22, 1909, at 1.</w:t>
      </w:r>
    </w:p>
  </w:footnote>
  <w:footnote w:id="153">
    <w:p w14:paraId="2B306182" w14:textId="28A38D33" w:rsidR="00501D78" w:rsidRPr="00E343EA" w:rsidRDefault="00501D78" w:rsidP="00B06E49">
      <w:pPr>
        <w:pStyle w:val="FootnoteText"/>
      </w:pPr>
      <w:r w:rsidRPr="00E343EA">
        <w:rPr>
          <w:rStyle w:val="FootnoteReference"/>
        </w:rPr>
        <w:footnoteRef/>
      </w:r>
      <w:r w:rsidRPr="00E343EA">
        <w:t xml:space="preserve"> </w:t>
      </w:r>
      <w:r w:rsidRPr="00E343EA">
        <w:rPr>
          <w:i/>
        </w:rPr>
        <w:t>Alleged Opium Chief Held</w:t>
      </w:r>
      <w:r w:rsidRPr="00E343EA">
        <w:t xml:space="preserve">, </w:t>
      </w:r>
      <w:r w:rsidRPr="00E343EA">
        <w:rPr>
          <w:smallCaps/>
        </w:rPr>
        <w:t xml:space="preserve">Wash. Post, </w:t>
      </w:r>
      <w:r w:rsidRPr="00E343EA">
        <w:t xml:space="preserve">Jan. 31, 1911, at 3; </w:t>
      </w:r>
      <w:r w:rsidRPr="00E343EA">
        <w:rPr>
          <w:i/>
        </w:rPr>
        <w:t>Hold Chinaman as Head of Opium Ring</w:t>
      </w:r>
      <w:r w:rsidRPr="00E343EA">
        <w:t xml:space="preserve">, </w:t>
      </w:r>
      <w:r w:rsidRPr="00E343EA">
        <w:rPr>
          <w:smallCaps/>
        </w:rPr>
        <w:t>N.Y. Times,</w:t>
      </w:r>
      <w:r w:rsidRPr="00E343EA">
        <w:t xml:space="preserve"> Jan. 31, 1911 at 1.</w:t>
      </w:r>
      <w:r w:rsidRPr="004C033D">
        <w:rPr>
          <w:i/>
        </w:rPr>
        <w:t xml:space="preserve"> </w:t>
      </w:r>
      <w:r w:rsidRPr="003F714C">
        <w:rPr>
          <w:i/>
        </w:rPr>
        <w:t xml:space="preserve">See also, e.g., </w:t>
      </w:r>
      <w:r w:rsidRPr="00E343EA">
        <w:rPr>
          <w:i/>
        </w:rPr>
        <w:t>Elsie Siegel Case is Recalled: Murder of girl by Chinaman brought to Mind by Chink</w:t>
      </w:r>
      <w:r>
        <w:rPr>
          <w:i/>
        </w:rPr>
        <w:t>’</w:t>
      </w:r>
      <w:r w:rsidRPr="00E343EA">
        <w:rPr>
          <w:i/>
        </w:rPr>
        <w:t>s Arrest</w:t>
      </w:r>
      <w:r w:rsidRPr="00E343EA">
        <w:t xml:space="preserve">, </w:t>
      </w:r>
      <w:r w:rsidRPr="00E343EA">
        <w:rPr>
          <w:smallCaps/>
        </w:rPr>
        <w:t>Daily Missoulian</w:t>
      </w:r>
      <w:r w:rsidRPr="00E343EA">
        <w:t>, Sept. 3, 1911, at 7 (</w:t>
      </w:r>
      <w:r>
        <w:t>reporting, after immigration arrest, that “[a]</w:t>
      </w:r>
      <w:r w:rsidRPr="00E343EA">
        <w:t>lthough the authorities declined to explain what connection, it any, the arrest had with the Siegel case, it was reported today that the police had found an important clue.</w:t>
      </w:r>
      <w:r>
        <w:t>”</w:t>
      </w:r>
      <w:r w:rsidRPr="00E343EA">
        <w:t>).</w:t>
      </w:r>
    </w:p>
  </w:footnote>
  <w:footnote w:id="154">
    <w:p w14:paraId="7A199090" w14:textId="3FEED8E3" w:rsidR="00501D78" w:rsidRPr="00E343EA" w:rsidRDefault="00501D78" w:rsidP="00B06E49">
      <w:pPr>
        <w:pStyle w:val="FootnoteText"/>
      </w:pPr>
      <w:r w:rsidRPr="00E343EA">
        <w:rPr>
          <w:rStyle w:val="FootnoteReference"/>
        </w:rPr>
        <w:footnoteRef/>
      </w:r>
      <w:r w:rsidRPr="00E343EA">
        <w:t xml:space="preserve"> </w:t>
      </w:r>
      <w:r w:rsidRPr="00E343EA">
        <w:rPr>
          <w:i/>
        </w:rPr>
        <w:t>Alleged Opium Chief Held</w:t>
      </w:r>
      <w:r w:rsidRPr="00E343EA">
        <w:t xml:space="preserve">, </w:t>
      </w:r>
      <w:r w:rsidRPr="00E343EA">
        <w:rPr>
          <w:smallCaps/>
        </w:rPr>
        <w:t xml:space="preserve">Wash. Post, </w:t>
      </w:r>
      <w:r w:rsidRPr="00E343EA">
        <w:t>Jan. 31, 1911, at 3</w:t>
      </w:r>
      <w:r>
        <w:t>.</w:t>
      </w:r>
    </w:p>
  </w:footnote>
  <w:footnote w:id="155">
    <w:p w14:paraId="5F8A2CD2"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Protection of Young Women Urged by Research Workers</w:t>
      </w:r>
      <w:r w:rsidRPr="00E343EA">
        <w:t xml:space="preserve">, </w:t>
      </w:r>
      <w:r w:rsidRPr="00E343EA">
        <w:rPr>
          <w:smallCaps/>
        </w:rPr>
        <w:t xml:space="preserve">S.F. Chron., </w:t>
      </w:r>
      <w:r w:rsidRPr="00E343EA">
        <w:t>Oct. 23, 1916, at 3.</w:t>
      </w:r>
    </w:p>
  </w:footnote>
  <w:footnote w:id="156">
    <w:p w14:paraId="46ED838F" w14:textId="61AB7542" w:rsidR="00501D78" w:rsidRPr="00E343EA" w:rsidRDefault="00501D78" w:rsidP="00B06E49">
      <w:pPr>
        <w:pStyle w:val="FootnoteText"/>
      </w:pPr>
      <w:r w:rsidRPr="00E343EA">
        <w:rPr>
          <w:rStyle w:val="FootnoteReference"/>
        </w:rPr>
        <w:footnoteRef/>
      </w:r>
      <w:r w:rsidRPr="00E343EA">
        <w:t xml:space="preserve"> </w:t>
      </w:r>
      <w:r w:rsidRPr="00E343EA">
        <w:rPr>
          <w:i/>
        </w:rPr>
        <w:t>Follow Trail Set By The Black Book</w:t>
      </w:r>
      <w:r w:rsidRPr="00E343EA">
        <w:t xml:space="preserve">, </w:t>
      </w:r>
      <w:r w:rsidRPr="00E343EA">
        <w:rPr>
          <w:smallCaps/>
        </w:rPr>
        <w:t xml:space="preserve">Wash. Times, </w:t>
      </w:r>
      <w:r w:rsidRPr="00E343EA">
        <w:t>Sept. 8, 1913, at 2.</w:t>
      </w:r>
    </w:p>
  </w:footnote>
  <w:footnote w:id="157">
    <w:p w14:paraId="67B4E9C1" w14:textId="49034838" w:rsidR="00501D78" w:rsidRPr="00E343EA" w:rsidRDefault="00501D78" w:rsidP="009B48C9">
      <w:pPr>
        <w:pStyle w:val="FootnoteText"/>
      </w:pPr>
      <w:r w:rsidRPr="00E343EA">
        <w:rPr>
          <w:rStyle w:val="FootnoteReference"/>
        </w:rPr>
        <w:footnoteRef/>
      </w:r>
      <w:r w:rsidRPr="00E343EA">
        <w:t xml:space="preserve"> Constance Backhouse, </w:t>
      </w:r>
      <w:r w:rsidRPr="00E343EA">
        <w:rPr>
          <w:i/>
        </w:rPr>
        <w:t>The White Women</w:t>
      </w:r>
      <w:r>
        <w:rPr>
          <w:i/>
        </w:rPr>
        <w:t>’</w:t>
      </w:r>
      <w:r w:rsidRPr="00E343EA">
        <w:rPr>
          <w:i/>
        </w:rPr>
        <w:t>s Labor Laws: Anti-Chinese Racism in Early Twentieth-Century Canada</w:t>
      </w:r>
      <w:r w:rsidRPr="00E343EA">
        <w:t xml:space="preserve">, 14 </w:t>
      </w:r>
      <w:r w:rsidRPr="00E343EA">
        <w:rPr>
          <w:smallCaps/>
        </w:rPr>
        <w:t>L. &amp; Hist. Rev. 315, 326-30 (1996).</w:t>
      </w:r>
      <w:r>
        <w:rPr>
          <w:smallCaps/>
        </w:rPr>
        <w:t xml:space="preserve"> </w:t>
      </w:r>
      <w:r w:rsidRPr="009B48C9">
        <w:t xml:space="preserve"> </w:t>
      </w:r>
      <w:r>
        <w:t xml:space="preserve"> The Supreme Court of Canada upheld the law.  </w:t>
      </w:r>
      <w:r w:rsidRPr="00E343EA">
        <w:t>Quong Wing v. The King, 49 S.C.R. 440 (1914).</w:t>
      </w:r>
      <w:r>
        <w:t xml:space="preserve"> </w:t>
      </w:r>
      <w:r w:rsidRPr="00BD2F81">
        <w:rPr>
          <w:i/>
        </w:rPr>
        <w:t>See also</w:t>
      </w:r>
      <w:r>
        <w:t xml:space="preserve"> </w:t>
      </w:r>
      <w:r w:rsidRPr="00BD2F81">
        <w:rPr>
          <w:smallCaps/>
        </w:rPr>
        <w:t xml:space="preserve">Paul Yee, Saltwater City: </w:t>
      </w:r>
      <w:r>
        <w:rPr>
          <w:smallCaps/>
        </w:rPr>
        <w:t xml:space="preserve">An Illustrated History of </w:t>
      </w:r>
      <w:r w:rsidRPr="00BD2F81">
        <w:rPr>
          <w:smallCaps/>
        </w:rPr>
        <w:t>Story of</w:t>
      </w:r>
      <w:r>
        <w:rPr>
          <w:smallCaps/>
        </w:rPr>
        <w:t xml:space="preserve"> the Chinese in </w:t>
      </w:r>
      <w:r w:rsidRPr="00BD2F81">
        <w:rPr>
          <w:smallCaps/>
        </w:rPr>
        <w:t xml:space="preserve">Vancouver </w:t>
      </w:r>
      <w:r>
        <w:t>102 (Rev. ed. 2006) (“The Women and Girls Protection Act of 1924 allowed the police chief to force employers to discharge white females from work that damaged their moral fibre, and in the fall of 1935, three Chinatown café owners were ordered to fire their white waitresses.”)</w:t>
      </w:r>
    </w:p>
  </w:footnote>
  <w:footnote w:id="158">
    <w:p w14:paraId="446B476A" w14:textId="5C7A6285" w:rsidR="00501D78" w:rsidRPr="00E343EA" w:rsidRDefault="00501D78" w:rsidP="00B06E49">
      <w:pPr>
        <w:pStyle w:val="FootnoteText"/>
      </w:pPr>
      <w:r w:rsidRPr="00E343EA">
        <w:rPr>
          <w:rStyle w:val="FootnoteReference"/>
        </w:rPr>
        <w:footnoteRef/>
      </w:r>
      <w:r w:rsidRPr="00E343EA">
        <w:t xml:space="preserve"> </w:t>
      </w:r>
      <w:r w:rsidRPr="00E343EA">
        <w:rPr>
          <w:smallCaps/>
        </w:rPr>
        <w:t>Thirty-Third Annual Conv</w:t>
      </w:r>
      <w:r>
        <w:rPr>
          <w:smallCaps/>
        </w:rPr>
        <w:t>ent</w:t>
      </w:r>
      <w:r w:rsidRPr="00E343EA">
        <w:rPr>
          <w:smallCaps/>
        </w:rPr>
        <w:t>ion</w:t>
      </w:r>
      <w:r>
        <w:rPr>
          <w:smallCaps/>
        </w:rPr>
        <w:t>,</w:t>
      </w:r>
      <w:r w:rsidRPr="00EE44D9">
        <w:t xml:space="preserve"> </w:t>
      </w:r>
      <w:r w:rsidRPr="00EE44D9">
        <w:rPr>
          <w:i/>
        </w:rPr>
        <w:t>supra</w:t>
      </w:r>
      <w:r w:rsidRPr="00EE44D9">
        <w:t xml:space="preserve"> note </w:t>
      </w:r>
      <w:r w:rsidRPr="00EE44D9">
        <w:fldChar w:fldCharType="begin"/>
      </w:r>
      <w:r w:rsidRPr="00EE44D9">
        <w:instrText xml:space="preserve"> NOTEREF _Ref476153281 \h </w:instrText>
      </w:r>
      <w:r>
        <w:instrText xml:space="preserve"> \* MERGEFORMAT </w:instrText>
      </w:r>
      <w:r w:rsidRPr="00EE44D9">
        <w:fldChar w:fldCharType="separate"/>
      </w:r>
      <w:r w:rsidR="008A4890">
        <w:t>3</w:t>
      </w:r>
      <w:r w:rsidRPr="00EE44D9">
        <w:fldChar w:fldCharType="end"/>
      </w:r>
      <w:r>
        <w:t>,</w:t>
      </w:r>
      <w:r w:rsidRPr="00EE44D9">
        <w:t xml:space="preserve"> at</w:t>
      </w:r>
      <w:r w:rsidRPr="00E343EA">
        <w:t xml:space="preserve"> 370; </w:t>
      </w:r>
      <w:r w:rsidRPr="00E343EA">
        <w:rPr>
          <w:i/>
        </w:rPr>
        <w:t xml:space="preserve">see also </w:t>
      </w:r>
      <w:r w:rsidRPr="00E343EA">
        <w:rPr>
          <w:smallCaps/>
        </w:rPr>
        <w:t>Thirty-Fourth Annual Convent</w:t>
      </w:r>
      <w:r>
        <w:rPr>
          <w:smallCaps/>
        </w:rPr>
        <w:t>ion</w:t>
      </w:r>
      <w:r w:rsidRPr="00E343EA">
        <w:t xml:space="preserve">, </w:t>
      </w:r>
      <w:r w:rsidRPr="00EE44D9">
        <w:rPr>
          <w:i/>
        </w:rPr>
        <w:t>supra</w:t>
      </w:r>
      <w:r>
        <w:t xml:space="preserve"> note </w:t>
      </w:r>
      <w:r>
        <w:fldChar w:fldCharType="begin"/>
      </w:r>
      <w:r>
        <w:instrText xml:space="preserve"> NOTEREF _Ref476153413 \h </w:instrText>
      </w:r>
      <w:r>
        <w:fldChar w:fldCharType="separate"/>
      </w:r>
      <w:r w:rsidR="008A4890">
        <w:t>43</w:t>
      </w:r>
      <w:r>
        <w:fldChar w:fldCharType="end"/>
      </w:r>
      <w:r>
        <w:t xml:space="preserve">, </w:t>
      </w:r>
      <w:r w:rsidRPr="00E343EA">
        <w:t xml:space="preserve">at 90 (noting that </w:t>
      </w:r>
      <w:r>
        <w:t>“</w:t>
      </w:r>
      <w:r w:rsidRPr="00E343EA">
        <w:t>[t]his question is one that should be considered by state legislatures and city councils, where organizations in the pacific and intermountain states are doing their utmost to carry out the purposes contained in this resolution.</w:t>
      </w:r>
      <w:r>
        <w:t>”</w:t>
      </w:r>
      <w:r w:rsidRPr="00E343EA">
        <w:t xml:space="preserve">); </w:t>
      </w:r>
      <w:r w:rsidRPr="00E343EA">
        <w:rPr>
          <w:i/>
        </w:rPr>
        <w:t xml:space="preserve">Resolutions Acted </w:t>
      </w:r>
      <w:r>
        <w:rPr>
          <w:i/>
        </w:rPr>
        <w:t>o</w:t>
      </w:r>
      <w:r w:rsidRPr="00E343EA">
        <w:rPr>
          <w:i/>
        </w:rPr>
        <w:t xml:space="preserve">n </w:t>
      </w:r>
      <w:r>
        <w:rPr>
          <w:i/>
        </w:rPr>
        <w:t>b</w:t>
      </w:r>
      <w:r w:rsidRPr="00E343EA">
        <w:rPr>
          <w:i/>
        </w:rPr>
        <w:t>y Convention at Fairbault</w:t>
      </w:r>
      <w:r w:rsidRPr="00E343EA">
        <w:t xml:space="preserve">, </w:t>
      </w:r>
      <w:r w:rsidRPr="00E343EA">
        <w:rPr>
          <w:smallCaps/>
        </w:rPr>
        <w:t xml:space="preserve">Lab. </w:t>
      </w:r>
      <w:r w:rsidRPr="00170B9C">
        <w:rPr>
          <w:smallCaps/>
        </w:rPr>
        <w:t>World</w:t>
      </w:r>
      <w:r>
        <w:t xml:space="preserve"> (Minn.)</w:t>
      </w:r>
      <w:r w:rsidRPr="00E343EA">
        <w:t xml:space="preserve">, July 28, 1917, at 2 (noting recent AFL resolution </w:t>
      </w:r>
      <w:r>
        <w:t>“</w:t>
      </w:r>
      <w:r w:rsidRPr="00E343EA">
        <w:t xml:space="preserve">that the executive council of the Federation be instructed to work out some plan that will prevent the employment of white women in </w:t>
      </w:r>
      <w:r>
        <w:t>‘</w:t>
      </w:r>
      <w:r w:rsidRPr="00E343EA">
        <w:t>chop suey</w:t>
      </w:r>
      <w:r>
        <w:t>’</w:t>
      </w:r>
      <w:r w:rsidRPr="00E343EA">
        <w:t xml:space="preserve"> or </w:t>
      </w:r>
      <w:r>
        <w:t>‘</w:t>
      </w:r>
      <w:r w:rsidRPr="00E343EA">
        <w:t>noodle</w:t>
      </w:r>
      <w:r>
        <w:t>’</w:t>
      </w:r>
      <w:r w:rsidRPr="00E343EA">
        <w:t xml:space="preserve"> houses.</w:t>
      </w:r>
      <w:r>
        <w:t>”</w:t>
      </w:r>
      <w:r w:rsidRPr="00E343EA">
        <w:t>).</w:t>
      </w:r>
    </w:p>
  </w:footnote>
  <w:footnote w:id="159">
    <w:p w14:paraId="441B48A1" w14:textId="3079D543" w:rsidR="00501D78" w:rsidRDefault="00501D78" w:rsidP="005056B2">
      <w:pPr>
        <w:pStyle w:val="FootnoteText"/>
        <w:tabs>
          <w:tab w:val="left" w:pos="1455"/>
        </w:tabs>
      </w:pPr>
      <w:r>
        <w:rPr>
          <w:rStyle w:val="FootnoteReference"/>
        </w:rPr>
        <w:footnoteRef/>
      </w:r>
      <w:r>
        <w:t xml:space="preserve"> As Professor Mae Quinn noted, “[a]nxiety about the changing role of women led to new forms of regulation of their conduct.”  Mae C. Quinn, </w:t>
      </w:r>
      <w:r w:rsidRPr="00E83B2C">
        <w:rPr>
          <w:i/>
        </w:rPr>
        <w:t>From Turkey Trot to Twitter: Policing Puberty, Purity, and Sex-Positivity</w:t>
      </w:r>
      <w:r>
        <w:t xml:space="preserve">, 38 </w:t>
      </w:r>
      <w:r w:rsidRPr="00E83B2C">
        <w:rPr>
          <w:smallCaps/>
        </w:rPr>
        <w:t>N.Y.U. Rev. L. &amp; Soc. Change</w:t>
      </w:r>
      <w:r>
        <w:t xml:space="preserve"> 51 (2014).</w:t>
      </w:r>
    </w:p>
  </w:footnote>
  <w:footnote w:id="160">
    <w:p w14:paraId="1AC72FB5" w14:textId="06EB1DF4" w:rsidR="00501D78" w:rsidRDefault="00501D78" w:rsidP="00B06E49">
      <w:pPr>
        <w:pStyle w:val="FootnoteText"/>
      </w:pPr>
      <w:r>
        <w:rPr>
          <w:rStyle w:val="FootnoteReference"/>
        </w:rPr>
        <w:footnoteRef/>
      </w:r>
      <w:r>
        <w:t xml:space="preserve"> </w:t>
      </w:r>
      <w:r w:rsidRPr="00BB15E9">
        <w:rPr>
          <w:i/>
        </w:rPr>
        <w:t>Rich: Why Try to be Popular</w:t>
      </w:r>
      <w:r>
        <w:t xml:space="preserve">, </w:t>
      </w:r>
      <w:r w:rsidRPr="00BB15E9">
        <w:rPr>
          <w:smallCaps/>
        </w:rPr>
        <w:t>Ariz</w:t>
      </w:r>
      <w:r>
        <w:rPr>
          <w:smallCaps/>
        </w:rPr>
        <w:t>.</w:t>
      </w:r>
      <w:r w:rsidRPr="00BB15E9">
        <w:rPr>
          <w:smallCaps/>
        </w:rPr>
        <w:t xml:space="preserve"> Republican</w:t>
      </w:r>
      <w:r>
        <w:t>, Mar. 25, 1916, at 8.</w:t>
      </w:r>
    </w:p>
  </w:footnote>
  <w:footnote w:id="161">
    <w:p w14:paraId="5A0BE036"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Mrs. Masters Is Fighting the Chinese Restaurants</w:t>
      </w:r>
      <w:r w:rsidRPr="00E343EA">
        <w:t xml:space="preserve">, </w:t>
      </w:r>
      <w:r w:rsidRPr="00E343EA">
        <w:rPr>
          <w:smallCaps/>
        </w:rPr>
        <w:t>Pittsburgh Press</w:t>
      </w:r>
      <w:r w:rsidRPr="00E343EA">
        <w:t>, Sept. 12, 1910, at 1.</w:t>
      </w:r>
    </w:p>
  </w:footnote>
  <w:footnote w:id="162">
    <w:p w14:paraId="21079017" w14:textId="2BB3746B" w:rsidR="00501D78" w:rsidRPr="00E343EA" w:rsidRDefault="00501D78" w:rsidP="00B06E49">
      <w:pPr>
        <w:pStyle w:val="FootnoteText"/>
      </w:pPr>
      <w:r w:rsidRPr="00E343EA">
        <w:rPr>
          <w:rStyle w:val="FootnoteReference"/>
        </w:rPr>
        <w:footnoteRef/>
      </w:r>
      <w:r w:rsidRPr="00E343EA">
        <w:t xml:space="preserve"> </w:t>
      </w:r>
      <w:r w:rsidRPr="008F0E0A">
        <w:rPr>
          <w:i/>
        </w:rPr>
        <w:t xml:space="preserve">Id. </w:t>
      </w:r>
      <w:r>
        <w:t>at 2;</w:t>
      </w:r>
      <w:r w:rsidRPr="002646E3">
        <w:rPr>
          <w:i/>
        </w:rPr>
        <w:t xml:space="preserve"> </w:t>
      </w:r>
      <w:r w:rsidRPr="00E343EA">
        <w:rPr>
          <w:i/>
        </w:rPr>
        <w:t>Chinese Will Not Obey Restaurant Ordinance</w:t>
      </w:r>
      <w:r w:rsidRPr="00E343EA">
        <w:t xml:space="preserve">, </w:t>
      </w:r>
      <w:r w:rsidRPr="00E343EA">
        <w:rPr>
          <w:smallCaps/>
        </w:rPr>
        <w:t>Pittsburgh Press</w:t>
      </w:r>
      <w:r w:rsidRPr="00E343EA">
        <w:t>, Nov. 30, 1910, at 9.</w:t>
      </w:r>
    </w:p>
  </w:footnote>
  <w:footnote w:id="163">
    <w:p w14:paraId="3A2F8F9B" w14:textId="0CE704F9" w:rsidR="00501D78" w:rsidRPr="00E343EA" w:rsidRDefault="00501D78" w:rsidP="00B06E49">
      <w:pPr>
        <w:pStyle w:val="FootnoteText"/>
      </w:pPr>
      <w:r w:rsidRPr="00E343EA">
        <w:rPr>
          <w:rStyle w:val="FootnoteReference"/>
        </w:rPr>
        <w:footnoteRef/>
      </w:r>
      <w:r w:rsidRPr="00E343EA">
        <w:t xml:space="preserve"> </w:t>
      </w:r>
      <w:r>
        <w:t xml:space="preserve">43 </w:t>
      </w:r>
      <w:r w:rsidRPr="00E343EA">
        <w:rPr>
          <w:smallCaps/>
        </w:rPr>
        <w:t>Minutes and Proceedings of the Council of the City of Pittsburgh</w:t>
      </w:r>
      <w:r w:rsidRPr="00E343EA">
        <w:t xml:space="preserve"> at 221, 323, 989</w:t>
      </w:r>
      <w:r>
        <w:t xml:space="preserve"> (1910)</w:t>
      </w:r>
      <w:r w:rsidRPr="00E343EA">
        <w:t xml:space="preserve">; </w:t>
      </w:r>
      <w:r w:rsidRPr="00E343EA">
        <w:rPr>
          <w:i/>
        </w:rPr>
        <w:t>Chop Suey Ordinance Passed</w:t>
      </w:r>
      <w:r w:rsidRPr="00E343EA">
        <w:t xml:space="preserve">, </w:t>
      </w:r>
      <w:r w:rsidRPr="00E343EA">
        <w:rPr>
          <w:smallCaps/>
        </w:rPr>
        <w:t xml:space="preserve">Gazette Times, </w:t>
      </w:r>
      <w:r w:rsidRPr="00E343EA">
        <w:t>Dec. 28, 1910, at 1.</w:t>
      </w:r>
    </w:p>
  </w:footnote>
  <w:footnote w:id="164">
    <w:p w14:paraId="752394D5" w14:textId="77777777" w:rsidR="00501D78" w:rsidRPr="00E343EA" w:rsidRDefault="00501D78" w:rsidP="00384F85">
      <w:pPr>
        <w:pStyle w:val="FootnoteText"/>
      </w:pPr>
      <w:r w:rsidRPr="00E343EA">
        <w:rPr>
          <w:rStyle w:val="FootnoteReference"/>
        </w:rPr>
        <w:footnoteRef/>
      </w:r>
      <w:r w:rsidRPr="00E343EA">
        <w:t xml:space="preserve"> </w:t>
      </w:r>
      <w:r w:rsidRPr="00E343EA">
        <w:rPr>
          <w:smallCaps/>
        </w:rPr>
        <w:t>Minutes and Proceedings</w:t>
      </w:r>
      <w:r w:rsidRPr="00E343EA">
        <w:t xml:space="preserve">, </w:t>
      </w:r>
      <w:r w:rsidRPr="00E343EA">
        <w:rPr>
          <w:i/>
        </w:rPr>
        <w:t xml:space="preserve">supra </w:t>
      </w:r>
      <w:r w:rsidRPr="00E343EA">
        <w:t xml:space="preserve">note </w:t>
      </w:r>
      <w:r>
        <w:fldChar w:fldCharType="begin"/>
      </w:r>
      <w:r>
        <w:instrText xml:space="preserve"> NOTEREF _Ref461986201 \h </w:instrText>
      </w:r>
      <w:r>
        <w:fldChar w:fldCharType="separate"/>
      </w:r>
      <w:r w:rsidR="008A4890">
        <w:t>160</w:t>
      </w:r>
      <w:r>
        <w:fldChar w:fldCharType="end"/>
      </w:r>
      <w:r w:rsidRPr="00E343EA">
        <w:t>, at 343.</w:t>
      </w:r>
    </w:p>
  </w:footnote>
  <w:footnote w:id="165">
    <w:p w14:paraId="0C8D9F48" w14:textId="2D752F1B" w:rsidR="00501D78" w:rsidRPr="00E343EA" w:rsidRDefault="00501D78" w:rsidP="00B06E49">
      <w:pPr>
        <w:pStyle w:val="FootnoteText"/>
      </w:pPr>
      <w:r w:rsidRPr="00E343EA">
        <w:rPr>
          <w:rStyle w:val="FootnoteReference"/>
        </w:rPr>
        <w:footnoteRef/>
      </w:r>
      <w:r w:rsidRPr="00E343EA">
        <w:t xml:space="preserve"> </w:t>
      </w:r>
      <w:r w:rsidRPr="008F0E0A">
        <w:rPr>
          <w:i/>
        </w:rPr>
        <w:t>Id</w:t>
      </w:r>
      <w:r>
        <w:t xml:space="preserve">. </w:t>
      </w:r>
      <w:r w:rsidRPr="00E343EA">
        <w:t xml:space="preserve">at 343-44. </w:t>
      </w:r>
      <w:r w:rsidRPr="008F0E0A">
        <w:rPr>
          <w:i/>
        </w:rPr>
        <w:t>See also</w:t>
      </w:r>
      <w:r w:rsidRPr="00E343EA">
        <w:t xml:space="preserve"> </w:t>
      </w:r>
      <w:r w:rsidRPr="00E343EA">
        <w:rPr>
          <w:i/>
        </w:rPr>
        <w:t>Mayor Magee Gives Advice to Councils</w:t>
      </w:r>
      <w:r w:rsidRPr="00E343EA">
        <w:t xml:space="preserve">, </w:t>
      </w:r>
      <w:r w:rsidRPr="00E343EA">
        <w:rPr>
          <w:smallCaps/>
        </w:rPr>
        <w:t xml:space="preserve">Gazette Times, </w:t>
      </w:r>
      <w:r w:rsidRPr="00E343EA">
        <w:t>Jan. 10, 1911, at 2.</w:t>
      </w:r>
    </w:p>
  </w:footnote>
  <w:footnote w:id="166">
    <w:p w14:paraId="0E51667F"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Yellow Peril Bill in Bay State</w:t>
      </w:r>
      <w:r w:rsidRPr="00E343EA">
        <w:t xml:space="preserve">, </w:t>
      </w:r>
      <w:r w:rsidRPr="00E343EA">
        <w:rPr>
          <w:smallCaps/>
        </w:rPr>
        <w:t>The Telegraph</w:t>
      </w:r>
      <w:r w:rsidRPr="00E343EA">
        <w:t>, Mar. 22, 1910, at 3.</w:t>
      </w:r>
    </w:p>
  </w:footnote>
  <w:footnote w:id="167">
    <w:p w14:paraId="63D5C5B7" w14:textId="6B07A972" w:rsidR="00501D78" w:rsidRPr="00E343EA" w:rsidRDefault="00501D78" w:rsidP="00B06E49">
      <w:pPr>
        <w:pStyle w:val="FootnoteText"/>
        <w:rPr>
          <w:i/>
        </w:rPr>
      </w:pPr>
      <w:r w:rsidRPr="00E343EA">
        <w:rPr>
          <w:rStyle w:val="FootnoteReference"/>
        </w:rPr>
        <w:footnoteRef/>
      </w:r>
      <w:r w:rsidRPr="00E343EA">
        <w:t xml:space="preserve"> </w:t>
      </w:r>
      <w:r w:rsidRPr="00E343EA">
        <w:rPr>
          <w:i/>
        </w:rPr>
        <w:t xml:space="preserve">See </w:t>
      </w:r>
      <w:r w:rsidRPr="00E343EA">
        <w:rPr>
          <w:smallCaps/>
        </w:rPr>
        <w:t>Journal of the House of Representatives of Massachusetts</w:t>
      </w:r>
      <w:r w:rsidRPr="00E343EA">
        <w:t xml:space="preserve"> 224 (1910) (showing a bill introduced by Mr. Donovan on January 27, 1910); </w:t>
      </w:r>
      <w:r w:rsidRPr="00E343EA">
        <w:rPr>
          <w:i/>
        </w:rPr>
        <w:t>City Solicitor Appeared At Hearing In Boston Today</w:t>
      </w:r>
      <w:r w:rsidRPr="00E343EA">
        <w:t xml:space="preserve">, </w:t>
      </w:r>
      <w:r w:rsidRPr="00E343EA">
        <w:rPr>
          <w:smallCaps/>
        </w:rPr>
        <w:t xml:space="preserve">Lowell Sun, </w:t>
      </w:r>
      <w:r w:rsidRPr="00E343EA">
        <w:t xml:space="preserve">Feb. 25, 1910, at 13. </w:t>
      </w:r>
    </w:p>
  </w:footnote>
  <w:footnote w:id="168">
    <w:p w14:paraId="1B0EE46F" w14:textId="05388AF2" w:rsidR="00501D78" w:rsidRPr="00E343EA" w:rsidRDefault="00501D78" w:rsidP="00B06E49">
      <w:pPr>
        <w:pStyle w:val="FootnoteText"/>
      </w:pPr>
      <w:r w:rsidRPr="00E343EA">
        <w:rPr>
          <w:rStyle w:val="FootnoteReference"/>
        </w:rPr>
        <w:footnoteRef/>
      </w:r>
      <w:r w:rsidRPr="00E343EA">
        <w:t xml:space="preserve"> </w:t>
      </w:r>
      <w:r w:rsidRPr="00E343EA">
        <w:rPr>
          <w:i/>
        </w:rPr>
        <w:t>Dr. Eliot Opposes Actors</w:t>
      </w:r>
      <w:r w:rsidRPr="00E343EA">
        <w:t xml:space="preserve">, </w:t>
      </w:r>
      <w:r w:rsidRPr="00E343EA">
        <w:rPr>
          <w:smallCaps/>
        </w:rPr>
        <w:t xml:space="preserve">N.Y. Times, </w:t>
      </w:r>
      <w:r w:rsidRPr="00E343EA">
        <w:t>Feb. 26, 1910, at 8.</w:t>
      </w:r>
    </w:p>
  </w:footnote>
  <w:footnote w:id="169">
    <w:p w14:paraId="255E3FD5" w14:textId="040B3566" w:rsidR="00501D78" w:rsidRPr="00E343EA" w:rsidRDefault="00501D78" w:rsidP="00B06E49">
      <w:pPr>
        <w:pStyle w:val="FootnoteText"/>
      </w:pPr>
      <w:r w:rsidRPr="00E343EA">
        <w:rPr>
          <w:rStyle w:val="FootnoteReference"/>
        </w:rPr>
        <w:footnoteRef/>
      </w:r>
      <w:r w:rsidRPr="00E343EA">
        <w:t xml:space="preserve"> </w:t>
      </w:r>
      <w:r w:rsidRPr="00E343EA">
        <w:rPr>
          <w:i/>
        </w:rPr>
        <w:t>No Exception Made</w:t>
      </w:r>
      <w:r w:rsidRPr="00E343EA">
        <w:t xml:space="preserve">, </w:t>
      </w:r>
      <w:r>
        <w:rPr>
          <w:smallCaps/>
        </w:rPr>
        <w:t>Bos.</w:t>
      </w:r>
      <w:r w:rsidRPr="00E343EA">
        <w:rPr>
          <w:smallCaps/>
        </w:rPr>
        <w:t xml:space="preserve"> Daily Globe, </w:t>
      </w:r>
      <w:r w:rsidRPr="00E343EA">
        <w:t>Feb. 28, 1910, at 8.</w:t>
      </w:r>
    </w:p>
  </w:footnote>
  <w:footnote w:id="170">
    <w:p w14:paraId="0CF2D4F8" w14:textId="1953BF93" w:rsidR="00501D78" w:rsidRPr="00E343EA" w:rsidRDefault="00501D78" w:rsidP="00B06E49">
      <w:pPr>
        <w:pStyle w:val="FootnoteText"/>
      </w:pPr>
      <w:r w:rsidRPr="00E343EA">
        <w:rPr>
          <w:rStyle w:val="FootnoteReference"/>
        </w:rPr>
        <w:footnoteRef/>
      </w:r>
      <w:r w:rsidRPr="00E343EA">
        <w:t xml:space="preserve"> </w:t>
      </w:r>
      <w:r w:rsidRPr="00E343EA">
        <w:rPr>
          <w:smallCaps/>
        </w:rPr>
        <w:t>Journal of the House of Representatives of Massachusetts</w:t>
      </w:r>
      <w:r w:rsidRPr="00E343EA">
        <w:t xml:space="preserve"> 687-88 (1910); </w:t>
      </w:r>
      <w:r w:rsidRPr="00E343EA">
        <w:rPr>
          <w:i/>
        </w:rPr>
        <w:t>House Adopts Donovan Bill</w:t>
      </w:r>
      <w:r w:rsidRPr="00E343EA">
        <w:t xml:space="preserve">, </w:t>
      </w:r>
      <w:r>
        <w:rPr>
          <w:smallCaps/>
        </w:rPr>
        <w:t>Bos.</w:t>
      </w:r>
      <w:r w:rsidRPr="00E343EA">
        <w:rPr>
          <w:smallCaps/>
        </w:rPr>
        <w:t xml:space="preserve"> Daily Globe, </w:t>
      </w:r>
      <w:r w:rsidRPr="00E343EA">
        <w:t>Mar. 22, 1910, at 7.</w:t>
      </w:r>
    </w:p>
  </w:footnote>
  <w:footnote w:id="171">
    <w:p w14:paraId="2EC859A6" w14:textId="3C4C61BB" w:rsidR="00501D78" w:rsidRPr="00E343EA" w:rsidRDefault="00501D78" w:rsidP="00B06E49">
      <w:pPr>
        <w:pStyle w:val="FootnoteText"/>
      </w:pPr>
      <w:r w:rsidRPr="00E343EA">
        <w:rPr>
          <w:rStyle w:val="FootnoteReference"/>
        </w:rPr>
        <w:footnoteRef/>
      </w:r>
      <w:r w:rsidRPr="00E343EA">
        <w:t xml:space="preserve"> </w:t>
      </w:r>
      <w:r w:rsidRPr="00E343EA">
        <w:rPr>
          <w:smallCaps/>
        </w:rPr>
        <w:t>Journal of the House of Representatives of Massachusetts</w:t>
      </w:r>
      <w:r w:rsidRPr="00E343EA">
        <w:t xml:space="preserve"> 838-39 (1910).</w:t>
      </w:r>
    </w:p>
  </w:footnote>
  <w:footnote w:id="172">
    <w:p w14:paraId="778CC7EE" w14:textId="7F31FFC3" w:rsidR="00501D78" w:rsidRPr="00E343EA" w:rsidRDefault="00501D78" w:rsidP="00B06E49">
      <w:pPr>
        <w:pStyle w:val="FootnoteText"/>
      </w:pPr>
      <w:r w:rsidRPr="00E343EA">
        <w:rPr>
          <w:rStyle w:val="FootnoteReference"/>
        </w:rPr>
        <w:footnoteRef/>
      </w:r>
      <w:r w:rsidRPr="00E343EA">
        <w:t xml:space="preserve"> </w:t>
      </w:r>
      <w:r w:rsidRPr="00E343EA">
        <w:rPr>
          <w:i/>
        </w:rPr>
        <w:t>Opinion of April 11, 1910</w:t>
      </w:r>
      <w:r w:rsidRPr="00E343EA">
        <w:t xml:space="preserve">, in </w:t>
      </w:r>
      <w:r w:rsidRPr="00E343EA">
        <w:rPr>
          <w:smallCaps/>
        </w:rPr>
        <w:t>The Commonwealth of Massachusetts,</w:t>
      </w:r>
      <w:r w:rsidRPr="00E343EA">
        <w:rPr>
          <w:i/>
        </w:rPr>
        <w:t xml:space="preserve"> </w:t>
      </w:r>
      <w:r w:rsidRPr="00E343EA">
        <w:rPr>
          <w:smallCaps/>
        </w:rPr>
        <w:t xml:space="preserve">Report of the Attorney General for the Year Ending January </w:t>
      </w:r>
      <w:r w:rsidRPr="00E343EA">
        <w:t>18, 1911</w:t>
      </w:r>
      <w:r>
        <w:t>,</w:t>
      </w:r>
      <w:r w:rsidRPr="00E343EA">
        <w:t xml:space="preserve"> at 18.</w:t>
      </w:r>
    </w:p>
  </w:footnote>
  <w:footnote w:id="173">
    <w:p w14:paraId="7B475037" w14:textId="558839C8" w:rsidR="00501D78" w:rsidRPr="00E343EA" w:rsidRDefault="00501D78" w:rsidP="00B06E49">
      <w:pPr>
        <w:pStyle w:val="FootnoteText"/>
      </w:pPr>
      <w:r w:rsidRPr="00E343EA">
        <w:rPr>
          <w:rStyle w:val="FootnoteReference"/>
        </w:rPr>
        <w:footnoteRef/>
      </w:r>
      <w:r w:rsidRPr="00E343EA">
        <w:t xml:space="preserve"> </w:t>
      </w:r>
      <w:r w:rsidRPr="00E343EA">
        <w:rPr>
          <w:smallCaps/>
        </w:rPr>
        <w:t>Journal of the House of Representatives of Massachusetts</w:t>
      </w:r>
      <w:r w:rsidRPr="00E343EA">
        <w:t xml:space="preserve"> 1015 (1910); </w:t>
      </w:r>
      <w:r w:rsidRPr="00E343EA">
        <w:rPr>
          <w:i/>
        </w:rPr>
        <w:t>Donovan Bill Killed</w:t>
      </w:r>
      <w:r w:rsidRPr="00E343EA">
        <w:t xml:space="preserve">, </w:t>
      </w:r>
      <w:r>
        <w:rPr>
          <w:smallCaps/>
        </w:rPr>
        <w:t>Bos.</w:t>
      </w:r>
      <w:r w:rsidRPr="00E343EA">
        <w:rPr>
          <w:smallCaps/>
        </w:rPr>
        <w:t xml:space="preserve"> Daily Globe, </w:t>
      </w:r>
      <w:r w:rsidRPr="00E343EA">
        <w:t xml:space="preserve">Apr. 23, 1910, at 8. </w:t>
      </w:r>
    </w:p>
  </w:footnote>
  <w:footnote w:id="174">
    <w:p w14:paraId="290E2B52" w14:textId="1687BD71" w:rsidR="00501D78" w:rsidRPr="00E343EA" w:rsidRDefault="00501D78" w:rsidP="00B06E49">
      <w:pPr>
        <w:pStyle w:val="FootnoteText"/>
      </w:pPr>
      <w:r w:rsidRPr="00E343EA">
        <w:rPr>
          <w:rStyle w:val="FootnoteReference"/>
        </w:rPr>
        <w:footnoteRef/>
      </w:r>
      <w:r w:rsidRPr="00E343EA">
        <w:t xml:space="preserve"> </w:t>
      </w:r>
      <w:r>
        <w:rPr>
          <w:smallCaps/>
        </w:rPr>
        <w:t>Bos.</w:t>
      </w:r>
      <w:r w:rsidRPr="00E343EA">
        <w:rPr>
          <w:smallCaps/>
        </w:rPr>
        <w:t xml:space="preserve"> Daily Globe, </w:t>
      </w:r>
      <w:r w:rsidRPr="00E343EA">
        <w:t>Jan. 15, 1911, at 51.</w:t>
      </w:r>
    </w:p>
  </w:footnote>
  <w:footnote w:id="175">
    <w:p w14:paraId="4C3E6445" w14:textId="34380E4D" w:rsidR="00501D78" w:rsidRPr="00E343EA" w:rsidRDefault="00501D78" w:rsidP="00B06E49">
      <w:pPr>
        <w:pStyle w:val="FootnoteText"/>
      </w:pPr>
      <w:r w:rsidRPr="00E343EA">
        <w:rPr>
          <w:rStyle w:val="FootnoteReference"/>
        </w:rPr>
        <w:footnoteRef/>
      </w:r>
      <w:r w:rsidRPr="00E343EA">
        <w:t xml:space="preserve"> </w:t>
      </w:r>
      <w:r w:rsidRPr="00E343EA">
        <w:rPr>
          <w:smallCaps/>
        </w:rPr>
        <w:t>Journal of the House of Representatives of Massachusetts</w:t>
      </w:r>
      <w:r w:rsidRPr="00E343EA">
        <w:t xml:space="preserve"> 595, 611-14 (1911); </w:t>
      </w:r>
      <w:r w:rsidRPr="00E343EA">
        <w:rPr>
          <w:i/>
        </w:rPr>
        <w:t>Debate in the Senate</w:t>
      </w:r>
      <w:r w:rsidRPr="00E343EA">
        <w:t xml:space="preserve">, </w:t>
      </w:r>
      <w:r>
        <w:rPr>
          <w:smallCaps/>
        </w:rPr>
        <w:t>Bos.</w:t>
      </w:r>
      <w:r w:rsidRPr="00E343EA">
        <w:rPr>
          <w:smallCaps/>
        </w:rPr>
        <w:t xml:space="preserve"> Daily Globe, </w:t>
      </w:r>
      <w:r w:rsidRPr="00E343EA">
        <w:t xml:space="preserve">Mar. 10, 1911, at 13; </w:t>
      </w:r>
      <w:r w:rsidRPr="00E343EA">
        <w:rPr>
          <w:i/>
        </w:rPr>
        <w:t>see also</w:t>
      </w:r>
      <w:r w:rsidRPr="00351736">
        <w:rPr>
          <w:smallCaps/>
        </w:rPr>
        <w:t xml:space="preserve"> </w:t>
      </w:r>
      <w:r w:rsidRPr="00E343EA">
        <w:rPr>
          <w:smallCaps/>
        </w:rPr>
        <w:t xml:space="preserve">Lowell Sun, </w:t>
      </w:r>
      <w:r w:rsidRPr="00E343EA">
        <w:t>Apr. 26, 1910, at 29</w:t>
      </w:r>
      <w:r>
        <w:t>;</w:t>
      </w:r>
      <w:r w:rsidRPr="00E343EA">
        <w:rPr>
          <w:i/>
        </w:rPr>
        <w:t xml:space="preserve"> Chinese Restaurant Bill</w:t>
      </w:r>
      <w:r w:rsidRPr="00E343EA">
        <w:t xml:space="preserve">, </w:t>
      </w:r>
      <w:r>
        <w:rPr>
          <w:smallCaps/>
        </w:rPr>
        <w:t>Bos.</w:t>
      </w:r>
      <w:r w:rsidRPr="00E343EA">
        <w:rPr>
          <w:smallCaps/>
        </w:rPr>
        <w:t xml:space="preserve"> Daily Globe, </w:t>
      </w:r>
      <w:r w:rsidRPr="00E343EA">
        <w:t>Mar. 11, 1911, at 5.</w:t>
      </w:r>
    </w:p>
  </w:footnote>
  <w:footnote w:id="176">
    <w:p w14:paraId="6C41CD50" w14:textId="2678D305" w:rsidR="00501D78" w:rsidRPr="00E343EA" w:rsidRDefault="00501D78" w:rsidP="00B06E49">
      <w:pPr>
        <w:pStyle w:val="FootnoteText"/>
      </w:pPr>
      <w:r w:rsidRPr="00E343EA">
        <w:rPr>
          <w:rStyle w:val="FootnoteReference"/>
        </w:rPr>
        <w:footnoteRef/>
      </w:r>
      <w:r w:rsidRPr="00E343EA">
        <w:t xml:space="preserve"> </w:t>
      </w:r>
      <w:r w:rsidRPr="00E343EA">
        <w:rPr>
          <w:smallCaps/>
        </w:rPr>
        <w:t>Journal of the House of Representatives of Massachusetts</w:t>
      </w:r>
      <w:r w:rsidRPr="00E343EA">
        <w:t xml:space="preserve"> 748-51 (1911); </w:t>
      </w:r>
      <w:r w:rsidRPr="00E343EA">
        <w:rPr>
          <w:i/>
        </w:rPr>
        <w:t>Prohibited by Constitution</w:t>
      </w:r>
      <w:r w:rsidRPr="00E343EA">
        <w:t xml:space="preserve">, </w:t>
      </w:r>
      <w:r>
        <w:rPr>
          <w:smallCaps/>
        </w:rPr>
        <w:t>Bos.</w:t>
      </w:r>
      <w:r w:rsidRPr="00E343EA">
        <w:rPr>
          <w:smallCaps/>
        </w:rPr>
        <w:t xml:space="preserve"> Daily Globe, </w:t>
      </w:r>
      <w:r w:rsidRPr="00E343EA">
        <w:t xml:space="preserve">Mar. 23, 1911, at 15; </w:t>
      </w:r>
      <w:r w:rsidRPr="00E343EA">
        <w:rPr>
          <w:i/>
        </w:rPr>
        <w:t>Chinese Restaurants</w:t>
      </w:r>
      <w:r w:rsidRPr="00E343EA">
        <w:t xml:space="preserve">, </w:t>
      </w:r>
      <w:r w:rsidRPr="00E343EA">
        <w:rPr>
          <w:smallCaps/>
        </w:rPr>
        <w:t>The Sun</w:t>
      </w:r>
      <w:r>
        <w:rPr>
          <w:smallCaps/>
        </w:rPr>
        <w:t xml:space="preserve"> (N.Y.)</w:t>
      </w:r>
      <w:r w:rsidRPr="00E343EA">
        <w:t>, Apr. 27, 1911, at 8.</w:t>
      </w:r>
    </w:p>
  </w:footnote>
  <w:footnote w:id="177">
    <w:p w14:paraId="336E6DE0" w14:textId="171C3265" w:rsidR="00501D78" w:rsidRPr="00E343EA" w:rsidRDefault="00501D78" w:rsidP="00B06E49">
      <w:pPr>
        <w:pStyle w:val="FootnoteText"/>
      </w:pPr>
      <w:r w:rsidRPr="00E343EA">
        <w:rPr>
          <w:rStyle w:val="FootnoteReference"/>
        </w:rPr>
        <w:footnoteRef/>
      </w:r>
      <w:r w:rsidRPr="00E343EA">
        <w:t xml:space="preserve"> </w:t>
      </w:r>
      <w:r w:rsidRPr="00E343EA">
        <w:rPr>
          <w:i/>
        </w:rPr>
        <w:t>In re Opinion of the Justices</w:t>
      </w:r>
      <w:r w:rsidRPr="00E343EA">
        <w:t>, 94 N.E. 558, 560 (Mass. 1911).</w:t>
      </w:r>
    </w:p>
  </w:footnote>
  <w:footnote w:id="178">
    <w:p w14:paraId="2E79EEF0" w14:textId="7323A973" w:rsidR="00501D78" w:rsidRPr="00E343EA" w:rsidRDefault="00501D78" w:rsidP="00B06E49">
      <w:pPr>
        <w:pStyle w:val="FootnoteText"/>
      </w:pPr>
      <w:r w:rsidRPr="00E343EA">
        <w:rPr>
          <w:rStyle w:val="FootnoteReference"/>
        </w:rPr>
        <w:footnoteRef/>
      </w:r>
      <w:r w:rsidRPr="00E343EA">
        <w:t xml:space="preserve"> </w:t>
      </w:r>
      <w:r w:rsidRPr="00E343EA">
        <w:rPr>
          <w:smallCaps/>
        </w:rPr>
        <w:t>Journal of the House of Representatives of Massachusetts</w:t>
      </w:r>
      <w:r w:rsidRPr="00E343EA">
        <w:t xml:space="preserve"> 779 (1911).</w:t>
      </w:r>
      <w:r>
        <w:t xml:space="preserve"> </w:t>
      </w:r>
    </w:p>
  </w:footnote>
  <w:footnote w:id="179">
    <w:p w14:paraId="19B1CADB" w14:textId="1008AFB2" w:rsidR="00501D78" w:rsidRDefault="00501D78">
      <w:pPr>
        <w:pStyle w:val="FootnoteText"/>
      </w:pPr>
      <w:r>
        <w:rPr>
          <w:rStyle w:val="FootnoteReference"/>
        </w:rPr>
        <w:footnoteRef/>
      </w:r>
      <w:r>
        <w:t xml:space="preserve"> </w:t>
      </w:r>
      <w:r w:rsidRPr="00E343EA">
        <w:rPr>
          <w:i/>
        </w:rPr>
        <w:t>Asks Mayor to Limit Chinese</w:t>
      </w:r>
      <w:r w:rsidRPr="00E343EA">
        <w:t xml:space="preserve">, </w:t>
      </w:r>
      <w:r>
        <w:rPr>
          <w:smallCaps/>
        </w:rPr>
        <w:t>Bos.</w:t>
      </w:r>
      <w:r w:rsidRPr="00E343EA">
        <w:rPr>
          <w:smallCaps/>
        </w:rPr>
        <w:t xml:space="preserve"> Daily Globe, </w:t>
      </w:r>
      <w:r w:rsidRPr="00E343EA">
        <w:t>Apr. 6, 1913, at 8.</w:t>
      </w:r>
    </w:p>
  </w:footnote>
  <w:footnote w:id="180">
    <w:p w14:paraId="11A8C5AF" w14:textId="77777777" w:rsidR="00501D78" w:rsidRDefault="00501D78" w:rsidP="00A278B9">
      <w:pPr>
        <w:pStyle w:val="FootnoteText"/>
      </w:pPr>
      <w:r>
        <w:rPr>
          <w:rStyle w:val="FootnoteReference"/>
        </w:rPr>
        <w:footnoteRef/>
      </w:r>
      <w:r>
        <w:t xml:space="preserve"> </w:t>
      </w:r>
      <w:r w:rsidRPr="00CD66B3">
        <w:rPr>
          <w:i/>
        </w:rPr>
        <w:t>Segregation Orders: Police May Prevent White Women from Working for Chinese or Japanese Restauranteurs</w:t>
      </w:r>
      <w:r>
        <w:t xml:space="preserve">, </w:t>
      </w:r>
      <w:r w:rsidRPr="00CD66B3">
        <w:rPr>
          <w:smallCaps/>
        </w:rPr>
        <w:t>L.A. Times</w:t>
      </w:r>
      <w:r>
        <w:t xml:space="preserve">, Sept. 4, 1912, at II7.   </w:t>
      </w:r>
    </w:p>
  </w:footnote>
  <w:footnote w:id="181">
    <w:p w14:paraId="12B48F83" w14:textId="77777777" w:rsidR="00501D78" w:rsidRDefault="00501D78" w:rsidP="00A278B9">
      <w:pPr>
        <w:pStyle w:val="FootnoteText"/>
      </w:pPr>
      <w:r>
        <w:rPr>
          <w:rStyle w:val="FootnoteReference"/>
        </w:rPr>
        <w:footnoteRef/>
      </w:r>
      <w:r>
        <w:t xml:space="preserve"> </w:t>
      </w:r>
      <w:r w:rsidRPr="00D02465">
        <w:rPr>
          <w:i/>
        </w:rPr>
        <w:t>Bar White Girls as Jap Waitresses</w:t>
      </w:r>
      <w:r w:rsidRPr="00D02465">
        <w:t xml:space="preserve">, </w:t>
      </w:r>
      <w:r w:rsidRPr="00D02465">
        <w:rPr>
          <w:smallCaps/>
        </w:rPr>
        <w:t>L.A. Herald</w:t>
      </w:r>
      <w:r w:rsidRPr="00D02465">
        <w:t>, Mar. 10, 1914, at 3</w:t>
      </w:r>
      <w:r>
        <w:t xml:space="preserve">.  </w:t>
      </w:r>
      <w:r w:rsidRPr="00B462E2">
        <w:rPr>
          <w:i/>
        </w:rPr>
        <w:t>But se</w:t>
      </w:r>
      <w:r w:rsidRPr="0002034F">
        <w:rPr>
          <w:i/>
        </w:rPr>
        <w:t>e</w:t>
      </w:r>
      <w:r>
        <w:t xml:space="preserve"> </w:t>
      </w:r>
      <w:r w:rsidRPr="00126E4E">
        <w:rPr>
          <w:i/>
        </w:rPr>
        <w:t>To Draw Race Line: Councilman Complains of Conditions in Oriental Cafes and Would Put White Men in Charge</w:t>
      </w:r>
      <w:r>
        <w:t xml:space="preserve">, L.A. </w:t>
      </w:r>
      <w:r w:rsidRPr="002C5F4C">
        <w:rPr>
          <w:smallCaps/>
        </w:rPr>
        <w:t>Times</w:t>
      </w:r>
      <w:r>
        <w:t>, Sept. 29, 1917, at I9 (“when the Japanese or Chinese proprietors play to the trade of Americans and employ white girls to assist them there should be a stop to the practice.”)</w:t>
      </w:r>
    </w:p>
  </w:footnote>
  <w:footnote w:id="182">
    <w:p w14:paraId="5F278E0D" w14:textId="4B9C25E7" w:rsidR="00501D78" w:rsidRPr="00E343EA" w:rsidRDefault="00501D78" w:rsidP="00B06E49">
      <w:pPr>
        <w:pStyle w:val="FootnoteText"/>
      </w:pPr>
      <w:r w:rsidRPr="00E343EA">
        <w:rPr>
          <w:rStyle w:val="FootnoteReference"/>
        </w:rPr>
        <w:footnoteRef/>
      </w:r>
      <w:r w:rsidRPr="00E343EA">
        <w:t xml:space="preserve"> </w:t>
      </w:r>
      <w:r w:rsidRPr="00E343EA">
        <w:rPr>
          <w:i/>
        </w:rPr>
        <w:t>May Prohibit White Chop Suey Waitresses</w:t>
      </w:r>
      <w:r w:rsidRPr="00E343EA">
        <w:t xml:space="preserve">, </w:t>
      </w:r>
      <w:r w:rsidRPr="00E343EA">
        <w:rPr>
          <w:smallCaps/>
        </w:rPr>
        <w:t xml:space="preserve">S.F. Call, </w:t>
      </w:r>
      <w:r w:rsidRPr="00E343EA">
        <w:t xml:space="preserve">Oct. 4, 1913, at 3; </w:t>
      </w:r>
      <w:r w:rsidRPr="00E343EA">
        <w:rPr>
          <w:i/>
        </w:rPr>
        <w:t xml:space="preserve">see also Advises Against Passage of Proposed Ordinance, </w:t>
      </w:r>
      <w:r w:rsidRPr="00E343EA">
        <w:t>Municipal Record, City and County of San Francisco, Vol. 6, No. 41 Oct. 9, 1913, at 323.</w:t>
      </w:r>
    </w:p>
  </w:footnote>
  <w:footnote w:id="183">
    <w:p w14:paraId="003B82A2"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Employment of Females in Greek and Chop Suey Restaurants</w:t>
      </w:r>
      <w:r w:rsidRPr="00E343EA">
        <w:t xml:space="preserve">, Sept. 29, 1913,  at 428 </w:t>
      </w:r>
      <w:r w:rsidRPr="00E343EA">
        <w:rPr>
          <w:i/>
        </w:rPr>
        <w:t>in</w:t>
      </w:r>
      <w:r w:rsidRPr="00E343EA">
        <w:t xml:space="preserve"> </w:t>
      </w:r>
      <w:r w:rsidRPr="00E343EA">
        <w:rPr>
          <w:smallCaps/>
        </w:rPr>
        <w:t>Official Opinions of Percy V. Long, City Attorney of the City and County of San Francisco, State of California</w:t>
      </w:r>
      <w:r w:rsidRPr="00E343EA">
        <w:t xml:space="preserve"> (1917).</w:t>
      </w:r>
    </w:p>
  </w:footnote>
  <w:footnote w:id="184">
    <w:p w14:paraId="060F251F"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Id.</w:t>
      </w:r>
    </w:p>
  </w:footnote>
  <w:footnote w:id="185">
    <w:p w14:paraId="0E3CBD66" w14:textId="12338251" w:rsidR="00501D78" w:rsidRPr="00E343EA" w:rsidRDefault="00501D78" w:rsidP="00B06E49">
      <w:pPr>
        <w:pStyle w:val="FootnoteText"/>
      </w:pPr>
      <w:r w:rsidRPr="00E343EA">
        <w:rPr>
          <w:rStyle w:val="FootnoteReference"/>
        </w:rPr>
        <w:footnoteRef/>
      </w:r>
      <w:r w:rsidRPr="00E343EA">
        <w:t xml:space="preserve"> 24 </w:t>
      </w:r>
      <w:r w:rsidRPr="00E343EA">
        <w:rPr>
          <w:smallCaps/>
        </w:rPr>
        <w:t>Mixer &amp; Server</w:t>
      </w:r>
      <w:r w:rsidRPr="00E343EA">
        <w:t xml:space="preserve"> No. 3, </w:t>
      </w:r>
      <w:r>
        <w:t>Mar.</w:t>
      </w:r>
      <w:r w:rsidRPr="00E343EA">
        <w:t xml:space="preserve"> 15, 1915</w:t>
      </w:r>
      <w:r>
        <w:t>,</w:t>
      </w:r>
      <w:r w:rsidRPr="00E343EA">
        <w:t xml:space="preserve"> at 32.</w:t>
      </w:r>
    </w:p>
  </w:footnote>
  <w:footnote w:id="186">
    <w:p w14:paraId="4B3AA545" w14:textId="67B36B3D" w:rsidR="00501D78" w:rsidRPr="00E343EA" w:rsidRDefault="00501D78" w:rsidP="00B06E49">
      <w:pPr>
        <w:pStyle w:val="FootnoteText"/>
      </w:pPr>
      <w:r w:rsidRPr="00E343EA">
        <w:rPr>
          <w:rStyle w:val="FootnoteReference"/>
        </w:rPr>
        <w:footnoteRef/>
      </w:r>
      <w:r w:rsidRPr="00E343EA">
        <w:t xml:space="preserve"> </w:t>
      </w:r>
      <w:r w:rsidRPr="00702328">
        <w:rPr>
          <w:i/>
        </w:rPr>
        <w:t>Id</w:t>
      </w:r>
      <w:r>
        <w:t>.</w:t>
      </w:r>
    </w:p>
  </w:footnote>
  <w:footnote w:id="187">
    <w:p w14:paraId="23E31488" w14:textId="71011BA4" w:rsidR="00501D78" w:rsidRPr="00E343EA" w:rsidRDefault="00501D78" w:rsidP="00B06E49">
      <w:pPr>
        <w:pStyle w:val="FootnoteText"/>
      </w:pPr>
      <w:r w:rsidRPr="00E343EA">
        <w:rPr>
          <w:rStyle w:val="FootnoteReference"/>
        </w:rPr>
        <w:footnoteRef/>
      </w:r>
      <w:r w:rsidRPr="00E343EA">
        <w:t xml:space="preserve"> 25 </w:t>
      </w:r>
      <w:r w:rsidRPr="00E343EA">
        <w:rPr>
          <w:smallCaps/>
        </w:rPr>
        <w:t>Mixer &amp; Server</w:t>
      </w:r>
      <w:r w:rsidRPr="00E343EA">
        <w:t xml:space="preserve"> No. 7, July 15, 1916</w:t>
      </w:r>
      <w:r>
        <w:t>,</w:t>
      </w:r>
      <w:r w:rsidRPr="00E343EA">
        <w:t xml:space="preserve"> at 4.</w:t>
      </w:r>
    </w:p>
  </w:footnote>
  <w:footnote w:id="188">
    <w:p w14:paraId="59977A13" w14:textId="712214F9" w:rsidR="00501D78" w:rsidRPr="00E343EA" w:rsidRDefault="00501D78" w:rsidP="00B06E49">
      <w:pPr>
        <w:pStyle w:val="FootnoteText"/>
      </w:pPr>
      <w:r w:rsidRPr="00E343EA">
        <w:rPr>
          <w:rStyle w:val="FootnoteReference"/>
        </w:rPr>
        <w:footnoteRef/>
      </w:r>
      <w:r w:rsidRPr="00E343EA">
        <w:t xml:space="preserve"> </w:t>
      </w:r>
      <w:r w:rsidR="00430858">
        <w:rPr>
          <w:smallCaps/>
        </w:rPr>
        <w:t>Senate</w:t>
      </w:r>
      <w:r w:rsidRPr="00E343EA">
        <w:rPr>
          <w:smallCaps/>
        </w:rPr>
        <w:t xml:space="preserve"> Journal of the Fourteenth Legislative Assembly of the State of Montana</w:t>
      </w:r>
      <w:r w:rsidRPr="00E343EA">
        <w:t xml:space="preserve"> </w:t>
      </w:r>
      <w:r w:rsidR="00430858">
        <w:t xml:space="preserve">527 </w:t>
      </w:r>
      <w:r w:rsidRPr="00E343EA">
        <w:t>(1915).</w:t>
      </w:r>
    </w:p>
  </w:footnote>
  <w:footnote w:id="189">
    <w:p w14:paraId="3CF78E5B" w14:textId="77777777" w:rsidR="00430858" w:rsidRPr="00E343EA" w:rsidRDefault="00430858" w:rsidP="00430858">
      <w:pPr>
        <w:pStyle w:val="FootnoteText"/>
      </w:pPr>
      <w:r w:rsidRPr="00E343EA">
        <w:rPr>
          <w:rStyle w:val="FootnoteReference"/>
        </w:rPr>
        <w:footnoteRef/>
      </w:r>
      <w:r w:rsidRPr="00E343EA">
        <w:t xml:space="preserve"> </w:t>
      </w:r>
      <w:r w:rsidRPr="00E343EA">
        <w:rPr>
          <w:smallCaps/>
        </w:rPr>
        <w:t>House Journal of the Fourteenth Legislative Assembly of the State of Montana</w:t>
      </w:r>
      <w:r w:rsidRPr="00E343EA">
        <w:t xml:space="preserve"> 584 (1915).</w:t>
      </w:r>
    </w:p>
  </w:footnote>
  <w:footnote w:id="190">
    <w:p w14:paraId="796F272C" w14:textId="05116EC0" w:rsidR="002357E2" w:rsidRDefault="002357E2">
      <w:pPr>
        <w:pStyle w:val="FootnoteText"/>
      </w:pPr>
      <w:r>
        <w:rPr>
          <w:rStyle w:val="FootnoteReference"/>
        </w:rPr>
        <w:footnoteRef/>
      </w:r>
      <w:r>
        <w:t xml:space="preserve"> </w:t>
      </w:r>
      <w:r w:rsidRPr="00313668">
        <w:rPr>
          <w:smallCaps/>
        </w:rPr>
        <w:t>Senate Journal</w:t>
      </w:r>
      <w:r>
        <w:t xml:space="preserve">, </w:t>
      </w:r>
      <w:r w:rsidRPr="00313668">
        <w:rPr>
          <w:i/>
        </w:rPr>
        <w:t>supra</w:t>
      </w:r>
      <w:r>
        <w:t xml:space="preserve"> note </w:t>
      </w:r>
      <w:r w:rsidR="00313668">
        <w:fldChar w:fldCharType="begin"/>
      </w:r>
      <w:r w:rsidR="00313668">
        <w:instrText xml:space="preserve"> NOTEREF _Ref487043281 \h </w:instrText>
      </w:r>
      <w:r w:rsidR="00313668">
        <w:fldChar w:fldCharType="separate"/>
      </w:r>
      <w:r w:rsidR="008A4890">
        <w:t>185</w:t>
      </w:r>
      <w:r w:rsidR="00313668">
        <w:fldChar w:fldCharType="end"/>
      </w:r>
      <w:r>
        <w:t>, at 607.</w:t>
      </w:r>
    </w:p>
  </w:footnote>
  <w:footnote w:id="191">
    <w:p w14:paraId="23330E7C" w14:textId="6F313CED" w:rsidR="00501D78" w:rsidRPr="00E343EA" w:rsidRDefault="00501D78" w:rsidP="00B06E49">
      <w:pPr>
        <w:pStyle w:val="FootnoteText"/>
      </w:pPr>
      <w:r w:rsidRPr="00E343EA">
        <w:rPr>
          <w:rStyle w:val="FootnoteReference"/>
        </w:rPr>
        <w:footnoteRef/>
      </w:r>
      <w:r w:rsidRPr="00E343EA">
        <w:t xml:space="preserve"> 24 </w:t>
      </w:r>
      <w:r w:rsidRPr="00E343EA">
        <w:rPr>
          <w:smallCaps/>
        </w:rPr>
        <w:t>Mixer &amp; Server</w:t>
      </w:r>
      <w:r w:rsidRPr="00E343EA">
        <w:t xml:space="preserve"> No. 4, </w:t>
      </w:r>
      <w:r>
        <w:t>Apr.</w:t>
      </w:r>
      <w:r w:rsidRPr="00E343EA">
        <w:t xml:space="preserve"> 15, 1915</w:t>
      </w:r>
      <w:r>
        <w:t>,</w:t>
      </w:r>
      <w:r w:rsidRPr="00E343EA">
        <w:t xml:space="preserve"> at 30.</w:t>
      </w:r>
    </w:p>
  </w:footnote>
  <w:footnote w:id="192">
    <w:p w14:paraId="78BF6DE1" w14:textId="7E5C4A9E" w:rsidR="00501D78" w:rsidRPr="00E343EA" w:rsidRDefault="00501D78" w:rsidP="00B06E49">
      <w:pPr>
        <w:pStyle w:val="FootnoteText"/>
      </w:pPr>
      <w:r w:rsidRPr="00E343EA">
        <w:rPr>
          <w:rStyle w:val="FootnoteReference"/>
        </w:rPr>
        <w:footnoteRef/>
      </w:r>
      <w:r>
        <w:t xml:space="preserve"> </w:t>
      </w:r>
      <w:r w:rsidRPr="008F0E0A">
        <w:rPr>
          <w:i/>
        </w:rPr>
        <w:t>Id</w:t>
      </w:r>
      <w:r>
        <w:t>.</w:t>
      </w:r>
    </w:p>
  </w:footnote>
  <w:footnote w:id="193">
    <w:p w14:paraId="62E751D7"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White Help With Chinese</w:t>
      </w:r>
      <w:r w:rsidRPr="00E343EA">
        <w:t xml:space="preserve">, 16 </w:t>
      </w:r>
      <w:r w:rsidRPr="00E343EA">
        <w:rPr>
          <w:smallCaps/>
        </w:rPr>
        <w:t>Or. Voter</w:t>
      </w:r>
      <w:r w:rsidRPr="00E343EA">
        <w:t xml:space="preserve"> 399 (1919).</w:t>
      </w:r>
    </w:p>
  </w:footnote>
  <w:footnote w:id="194">
    <w:p w14:paraId="146B44A2" w14:textId="7C2E2AE1" w:rsidR="00501D78" w:rsidRPr="00E343EA" w:rsidRDefault="00501D78" w:rsidP="00B06E49">
      <w:pPr>
        <w:pStyle w:val="FootnoteText"/>
      </w:pPr>
      <w:r w:rsidRPr="00E343EA">
        <w:rPr>
          <w:rStyle w:val="FootnoteReference"/>
        </w:rPr>
        <w:footnoteRef/>
      </w:r>
      <w:r w:rsidRPr="00E343EA">
        <w:t xml:space="preserve"> </w:t>
      </w:r>
      <w:r>
        <w:rPr>
          <w:i/>
        </w:rPr>
        <w:t>Id</w:t>
      </w:r>
      <w:r w:rsidRPr="00E343EA">
        <w:t xml:space="preserve">.  </w:t>
      </w:r>
      <w:r>
        <w:t>Oddly,</w:t>
      </w:r>
      <w:r w:rsidRPr="00E343EA">
        <w:t xml:space="preserve"> according to the Journal of the Oregon Senate, on February 20, 1919 the </w:t>
      </w:r>
      <w:r>
        <w:t>“</w:t>
      </w:r>
      <w:r w:rsidRPr="00E343EA">
        <w:t>bill failed to pass</w:t>
      </w:r>
      <w:r>
        <w:t>”</w:t>
      </w:r>
      <w:r w:rsidRPr="00E343EA">
        <w:t xml:space="preserve"> with 14 yeas, 13 neas, 2 absences, and 1 excused. O</w:t>
      </w:r>
      <w:r w:rsidRPr="00716499">
        <w:rPr>
          <w:smallCaps/>
        </w:rPr>
        <w:t>regon Legislative Assembly, Proceedings of the Senate, Journals of the Senate and House</w:t>
      </w:r>
      <w:r w:rsidRPr="00E343EA">
        <w:t xml:space="preserve"> 256 (1919).</w:t>
      </w:r>
    </w:p>
  </w:footnote>
  <w:footnote w:id="195">
    <w:p w14:paraId="307328D0" w14:textId="77777777" w:rsidR="00501D78" w:rsidRPr="00E343EA" w:rsidRDefault="00501D78" w:rsidP="006E25CA">
      <w:pPr>
        <w:pStyle w:val="FootnoteText"/>
      </w:pPr>
      <w:r w:rsidRPr="00E343EA">
        <w:rPr>
          <w:rStyle w:val="FootnoteReference"/>
        </w:rPr>
        <w:footnoteRef/>
      </w:r>
      <w:r w:rsidRPr="00E343EA">
        <w:t xml:space="preserve"> </w:t>
      </w:r>
      <w:r w:rsidRPr="00E343EA">
        <w:rPr>
          <w:i/>
        </w:rPr>
        <w:t>Special Session of the Arizona Legislature Appears a Certainty</w:t>
      </w:r>
      <w:r w:rsidRPr="00E343EA">
        <w:t xml:space="preserve">, </w:t>
      </w:r>
      <w:r w:rsidRPr="00E343EA">
        <w:rPr>
          <w:smallCaps/>
        </w:rPr>
        <w:t xml:space="preserve">El Paso Herald, </w:t>
      </w:r>
      <w:r w:rsidRPr="00E343EA">
        <w:t xml:space="preserve">May 7, 1912, at 5. A 1916 report from Arizona in the </w:t>
      </w:r>
      <w:r w:rsidRPr="00E343EA">
        <w:rPr>
          <w:i/>
        </w:rPr>
        <w:t>Mixer &amp; Server</w:t>
      </w:r>
      <w:r w:rsidRPr="00E343EA">
        <w:t xml:space="preserve"> claimed, </w:t>
      </w:r>
      <w:r>
        <w:t>“</w:t>
      </w:r>
      <w:r w:rsidRPr="00E343EA">
        <w:t>Arizona should have such a law on its statute books</w:t>
      </w:r>
      <w:r>
        <w:t>”</w:t>
      </w:r>
      <w:r w:rsidRPr="00E343EA">
        <w:t xml:space="preserve"> and that it </w:t>
      </w:r>
      <w:r>
        <w:t>“</w:t>
      </w:r>
      <w:r w:rsidRPr="00E343EA">
        <w:t>must come sooner or later.</w:t>
      </w:r>
      <w:r>
        <w:t>”</w:t>
      </w:r>
      <w:r w:rsidRPr="00E343EA">
        <w:t xml:space="preserve">25 </w:t>
      </w:r>
      <w:r w:rsidRPr="00E343EA">
        <w:rPr>
          <w:smallCaps/>
        </w:rPr>
        <w:t>Mixer &amp; Server</w:t>
      </w:r>
      <w:r w:rsidRPr="00E343EA">
        <w:t xml:space="preserve"> No. 7, July 15, 1916, at 4.</w:t>
      </w:r>
    </w:p>
  </w:footnote>
  <w:footnote w:id="196">
    <w:p w14:paraId="4CF184A2" w14:textId="77777777" w:rsidR="00501D78" w:rsidRPr="00E343EA" w:rsidRDefault="00501D78" w:rsidP="006E25CA">
      <w:pPr>
        <w:pStyle w:val="FootnoteText"/>
      </w:pPr>
      <w:r w:rsidRPr="00E343EA">
        <w:rPr>
          <w:rStyle w:val="FootnoteReference"/>
        </w:rPr>
        <w:footnoteRef/>
      </w:r>
      <w:r w:rsidRPr="00E343EA">
        <w:t xml:space="preserve"> </w:t>
      </w:r>
      <w:r w:rsidRPr="00E343EA">
        <w:rPr>
          <w:i/>
        </w:rPr>
        <w:t>Thousands Greet Governor Lister</w:t>
      </w:r>
      <w:r w:rsidRPr="00E343EA">
        <w:t xml:space="preserve">, </w:t>
      </w:r>
      <w:r w:rsidRPr="00E343EA">
        <w:rPr>
          <w:smallCaps/>
        </w:rPr>
        <w:t xml:space="preserve">Morning Oregonian, </w:t>
      </w:r>
      <w:r w:rsidRPr="00E343EA">
        <w:t>Jan. 16, 1913, at 7.</w:t>
      </w:r>
    </w:p>
  </w:footnote>
  <w:footnote w:id="197">
    <w:p w14:paraId="687A2938" w14:textId="77777777" w:rsidR="00501D78" w:rsidRDefault="00501D78" w:rsidP="006E25CA">
      <w:pPr>
        <w:pStyle w:val="FootnoteText"/>
      </w:pPr>
      <w:r>
        <w:rPr>
          <w:rStyle w:val="FootnoteReference"/>
        </w:rPr>
        <w:footnoteRef/>
      </w:r>
      <w:r>
        <w:t xml:space="preserve"> </w:t>
      </w:r>
      <w:r w:rsidRPr="00716499">
        <w:rPr>
          <w:i/>
        </w:rPr>
        <w:t>An Act prohibiting the employment of females of the white or Caucasian race by Chinese, Japanese or other Mongolians, and providing for the punishment thereof</w:t>
      </w:r>
      <w:r>
        <w:t xml:space="preserve">, </w:t>
      </w:r>
      <w:r w:rsidRPr="00391554">
        <w:t xml:space="preserve">S. 146, 13th Leg., Reg. Sess. (Wash. </w:t>
      </w:r>
      <w:r>
        <w:t xml:space="preserve">Jan. 27, </w:t>
      </w:r>
      <w:r w:rsidRPr="00391554">
        <w:t>1913).</w:t>
      </w:r>
    </w:p>
  </w:footnote>
  <w:footnote w:id="198">
    <w:p w14:paraId="32BB3310" w14:textId="77777777" w:rsidR="00501D78" w:rsidRPr="00E343EA" w:rsidRDefault="00501D78" w:rsidP="00B06E49">
      <w:pPr>
        <w:pStyle w:val="ListBullet"/>
        <w:numPr>
          <w:ilvl w:val="0"/>
          <w:numId w:val="0"/>
        </w:numPr>
        <w:ind w:firstLine="720"/>
        <w:rPr>
          <w:sz w:val="20"/>
          <w:szCs w:val="20"/>
        </w:rPr>
      </w:pPr>
      <w:r w:rsidRPr="00E343EA">
        <w:rPr>
          <w:rStyle w:val="FootnoteReference"/>
          <w:sz w:val="20"/>
          <w:szCs w:val="20"/>
        </w:rPr>
        <w:footnoteRef/>
      </w:r>
      <w:r w:rsidRPr="00E343EA">
        <w:rPr>
          <w:sz w:val="20"/>
          <w:szCs w:val="20"/>
        </w:rPr>
        <w:t xml:space="preserve"> </w:t>
      </w:r>
      <w:r w:rsidRPr="00E343EA">
        <w:rPr>
          <w:i/>
          <w:sz w:val="20"/>
          <w:szCs w:val="20"/>
        </w:rPr>
        <w:t>Women May Eat Chop Suey</w:t>
      </w:r>
      <w:r w:rsidRPr="00E343EA">
        <w:rPr>
          <w:sz w:val="20"/>
          <w:szCs w:val="20"/>
        </w:rPr>
        <w:t xml:space="preserve">, </w:t>
      </w:r>
      <w:r w:rsidRPr="00E343EA">
        <w:rPr>
          <w:smallCaps/>
          <w:sz w:val="20"/>
          <w:szCs w:val="20"/>
        </w:rPr>
        <w:t>The Bee: Omaha</w:t>
      </w:r>
      <w:r w:rsidRPr="00E343EA">
        <w:rPr>
          <w:sz w:val="20"/>
          <w:szCs w:val="20"/>
        </w:rPr>
        <w:t xml:space="preserve">, Oct. 11, 1911, at 2. </w:t>
      </w:r>
    </w:p>
  </w:footnote>
  <w:footnote w:id="199">
    <w:p w14:paraId="52A2AD06"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Id.</w:t>
      </w:r>
    </w:p>
  </w:footnote>
  <w:footnote w:id="200">
    <w:p w14:paraId="29423BEF" w14:textId="5CFBC1AE" w:rsidR="00501D78" w:rsidRDefault="00501D78" w:rsidP="00B06E49">
      <w:pPr>
        <w:spacing w:after="3"/>
        <w:rPr>
          <w:sz w:val="20"/>
          <w:szCs w:val="20"/>
        </w:rPr>
      </w:pPr>
      <w:r w:rsidRPr="00E343EA">
        <w:rPr>
          <w:rStyle w:val="FootnoteReference"/>
          <w:sz w:val="20"/>
          <w:szCs w:val="20"/>
        </w:rPr>
        <w:footnoteRef/>
      </w:r>
      <w:r w:rsidRPr="00E343EA">
        <w:rPr>
          <w:sz w:val="20"/>
          <w:szCs w:val="20"/>
        </w:rPr>
        <w:t xml:space="preserve"> </w:t>
      </w:r>
      <w:r w:rsidRPr="00E343EA">
        <w:rPr>
          <w:smallCaps/>
          <w:sz w:val="20"/>
          <w:szCs w:val="20"/>
        </w:rPr>
        <w:t>William Bennett Munro, The Government of American Cities</w:t>
      </w:r>
      <w:r w:rsidRPr="00E343EA">
        <w:rPr>
          <w:sz w:val="20"/>
          <w:szCs w:val="20"/>
        </w:rPr>
        <w:t xml:space="preserve"> 118 (4th ed. 1926).</w:t>
      </w:r>
    </w:p>
    <w:p w14:paraId="4959E8BE" w14:textId="77777777" w:rsidR="00501D78" w:rsidRPr="00E343EA" w:rsidRDefault="00501D78" w:rsidP="00B06E49">
      <w:pPr>
        <w:spacing w:after="3"/>
        <w:rPr>
          <w:sz w:val="20"/>
          <w:szCs w:val="20"/>
        </w:rPr>
      </w:pPr>
    </w:p>
  </w:footnote>
  <w:footnote w:id="201">
    <w:p w14:paraId="1293333D" w14:textId="77777777" w:rsidR="00501D78" w:rsidRPr="00E343EA" w:rsidRDefault="00501D78" w:rsidP="008A1F15">
      <w:pPr>
        <w:rPr>
          <w:sz w:val="20"/>
          <w:szCs w:val="20"/>
        </w:rPr>
      </w:pPr>
      <w:r w:rsidRPr="00E343EA">
        <w:rPr>
          <w:rStyle w:val="FootnoteReference"/>
          <w:sz w:val="20"/>
          <w:szCs w:val="20"/>
        </w:rPr>
        <w:footnoteRef/>
      </w:r>
      <w:r w:rsidRPr="00E343EA">
        <w:rPr>
          <w:sz w:val="20"/>
          <w:szCs w:val="20"/>
        </w:rPr>
        <w:t xml:space="preserve"> 28 </w:t>
      </w:r>
      <w:r w:rsidRPr="00E343EA">
        <w:rPr>
          <w:smallCaps/>
          <w:sz w:val="20"/>
          <w:szCs w:val="20"/>
        </w:rPr>
        <w:t>Mixer &amp; Server</w:t>
      </w:r>
      <w:r w:rsidRPr="00E343EA">
        <w:rPr>
          <w:sz w:val="20"/>
          <w:szCs w:val="20"/>
        </w:rPr>
        <w:t xml:space="preserve"> No. 1, Jan. 15, 1919</w:t>
      </w:r>
      <w:r>
        <w:rPr>
          <w:sz w:val="20"/>
          <w:szCs w:val="20"/>
        </w:rPr>
        <w:t>,</w:t>
      </w:r>
      <w:r w:rsidRPr="00E343EA">
        <w:rPr>
          <w:sz w:val="20"/>
          <w:szCs w:val="20"/>
        </w:rPr>
        <w:t xml:space="preserve"> at 22-23.</w:t>
      </w:r>
    </w:p>
  </w:footnote>
  <w:footnote w:id="202">
    <w:p w14:paraId="34216F32" w14:textId="2D5DE69D" w:rsidR="00501D78" w:rsidRPr="00E343EA" w:rsidRDefault="00501D78" w:rsidP="008A1F15">
      <w:pPr>
        <w:pStyle w:val="FootnoteText"/>
      </w:pPr>
      <w:r w:rsidRPr="00E343EA">
        <w:rPr>
          <w:rStyle w:val="FootnoteReference"/>
        </w:rPr>
        <w:footnoteRef/>
      </w:r>
      <w:r w:rsidRPr="00E343EA">
        <w:t xml:space="preserve"> </w:t>
      </w:r>
      <w:r w:rsidRPr="00807C0E">
        <w:rPr>
          <w:i/>
        </w:rPr>
        <w:t>An Act Concerning the Hours of Employment of Minors and Women</w:t>
      </w:r>
      <w:r w:rsidRPr="00E343EA">
        <w:t>, Ct. Pub. Acts Ch. 300, at 2433 (1917).</w:t>
      </w:r>
    </w:p>
  </w:footnote>
  <w:footnote w:id="203">
    <w:p w14:paraId="1C296E14" w14:textId="77777777" w:rsidR="00501D78" w:rsidRPr="00E343EA" w:rsidRDefault="00501D78" w:rsidP="00C6705E">
      <w:pPr>
        <w:pStyle w:val="FootnoteText"/>
        <w:rPr>
          <w:i/>
        </w:rPr>
      </w:pPr>
      <w:r w:rsidRPr="00E343EA">
        <w:rPr>
          <w:rStyle w:val="FootnoteReference"/>
        </w:rPr>
        <w:footnoteRef/>
      </w:r>
      <w:r w:rsidRPr="00E343EA">
        <w:t xml:space="preserve"> </w:t>
      </w:r>
      <w:r w:rsidRPr="00E343EA">
        <w:rPr>
          <w:smallCaps/>
        </w:rPr>
        <w:t>State of Connecticut, Report of the Dep</w:t>
      </w:r>
      <w:r>
        <w:rPr>
          <w:smallCaps/>
        </w:rPr>
        <w:t>’</w:t>
      </w:r>
      <w:r w:rsidRPr="00E343EA">
        <w:rPr>
          <w:smallCaps/>
        </w:rPr>
        <w:t xml:space="preserve">t of Factory Inspection for the Two Years ending Sept.30, 1918 </w:t>
      </w:r>
      <w:r w:rsidRPr="00E343EA">
        <w:t>12 (1918)</w:t>
      </w:r>
      <w:r>
        <w:t>.</w:t>
      </w:r>
    </w:p>
  </w:footnote>
  <w:footnote w:id="204">
    <w:p w14:paraId="2EA82AD0" w14:textId="67785906" w:rsidR="00501D78" w:rsidRPr="00E343EA" w:rsidRDefault="00501D78" w:rsidP="00B06E49">
      <w:pPr>
        <w:pStyle w:val="FootnoteText"/>
      </w:pPr>
      <w:r w:rsidRPr="00E343EA">
        <w:rPr>
          <w:rStyle w:val="FootnoteReference"/>
        </w:rPr>
        <w:footnoteRef/>
      </w:r>
      <w:r w:rsidRPr="00E343EA">
        <w:t xml:space="preserve"> </w:t>
      </w:r>
      <w:r w:rsidRPr="00E343EA">
        <w:rPr>
          <w:i/>
        </w:rPr>
        <w:t>Officers Keep Eye on Restaurants</w:t>
      </w:r>
      <w:r w:rsidRPr="00E343EA">
        <w:t xml:space="preserve">, </w:t>
      </w:r>
      <w:r w:rsidRPr="00E343EA">
        <w:rPr>
          <w:smallCaps/>
        </w:rPr>
        <w:t xml:space="preserve">Wash. Times, </w:t>
      </w:r>
      <w:r w:rsidRPr="00E343EA">
        <w:t>Aug. 6, 1909, at 13;</w:t>
      </w:r>
      <w:r>
        <w:t xml:space="preserve"> </w:t>
      </w:r>
      <w:r w:rsidRPr="00D33D02">
        <w:rPr>
          <w:i/>
        </w:rPr>
        <w:t xml:space="preserve">Practice Broken Up: Girls No Longer Visit Chinese </w:t>
      </w:r>
      <w:r>
        <w:rPr>
          <w:i/>
        </w:rPr>
        <w:t>R</w:t>
      </w:r>
      <w:r w:rsidRPr="00D33D02">
        <w:rPr>
          <w:i/>
        </w:rPr>
        <w:t>estaurants Alone</w:t>
      </w:r>
      <w:r>
        <w:t xml:space="preserve">, </w:t>
      </w:r>
      <w:r w:rsidRPr="00D33D02">
        <w:rPr>
          <w:smallCaps/>
        </w:rPr>
        <w:t>Wash</w:t>
      </w:r>
      <w:r>
        <w:rPr>
          <w:smallCaps/>
        </w:rPr>
        <w:t>.</w:t>
      </w:r>
      <w:r w:rsidRPr="00D33D02">
        <w:rPr>
          <w:smallCaps/>
        </w:rPr>
        <w:t xml:space="preserve"> Evening Star</w:t>
      </w:r>
      <w:r>
        <w:t xml:space="preserve">, Aug. 6, 1909, at 2; </w:t>
      </w:r>
      <w:r w:rsidRPr="00E343EA">
        <w:rPr>
          <w:i/>
        </w:rPr>
        <w:t xml:space="preserve">Opposes </w:t>
      </w:r>
      <w:r>
        <w:rPr>
          <w:i/>
        </w:rPr>
        <w:t>“</w:t>
      </w:r>
      <w:r w:rsidRPr="00E343EA">
        <w:rPr>
          <w:i/>
        </w:rPr>
        <w:t>Slumming</w:t>
      </w:r>
      <w:r>
        <w:rPr>
          <w:i/>
        </w:rPr>
        <w:t>”</w:t>
      </w:r>
      <w:r w:rsidRPr="00E343EA">
        <w:t>,</w:t>
      </w:r>
      <w:r w:rsidRPr="00E343EA">
        <w:rPr>
          <w:smallCaps/>
        </w:rPr>
        <w:t xml:space="preserve"> </w:t>
      </w:r>
      <w:r w:rsidRPr="00807C0E">
        <w:rPr>
          <w:i/>
        </w:rPr>
        <w:t>supra</w:t>
      </w:r>
      <w:r w:rsidRPr="00807C0E">
        <w:t xml:space="preserve"> note</w:t>
      </w:r>
      <w:r>
        <w:rPr>
          <w:smallCaps/>
        </w:rPr>
        <w:t xml:space="preserve"> </w:t>
      </w:r>
      <w:r>
        <w:rPr>
          <w:smallCaps/>
        </w:rPr>
        <w:fldChar w:fldCharType="begin"/>
      </w:r>
      <w:r>
        <w:rPr>
          <w:smallCaps/>
        </w:rPr>
        <w:instrText xml:space="preserve"> NOTEREF _Ref461985950 \h </w:instrText>
      </w:r>
      <w:r>
        <w:rPr>
          <w:smallCaps/>
        </w:rPr>
      </w:r>
      <w:r>
        <w:rPr>
          <w:smallCaps/>
        </w:rPr>
        <w:fldChar w:fldCharType="separate"/>
      </w:r>
      <w:r w:rsidR="008A4890">
        <w:rPr>
          <w:smallCaps/>
        </w:rPr>
        <w:t>97</w:t>
      </w:r>
      <w:r>
        <w:rPr>
          <w:smallCaps/>
        </w:rPr>
        <w:fldChar w:fldCharType="end"/>
      </w:r>
      <w:r w:rsidRPr="00E343EA">
        <w:t>, at 16</w:t>
      </w:r>
      <w:r>
        <w:t xml:space="preserve">.  </w:t>
      </w:r>
    </w:p>
  </w:footnote>
  <w:footnote w:id="205">
    <w:p w14:paraId="76341DE4" w14:textId="163C2A68" w:rsidR="00501D78" w:rsidRDefault="00501D78" w:rsidP="00EE5B81">
      <w:pPr>
        <w:pStyle w:val="FootnoteText"/>
      </w:pPr>
      <w:r>
        <w:rPr>
          <w:rStyle w:val="FootnoteReference"/>
        </w:rPr>
        <w:footnoteRef/>
      </w:r>
      <w:r>
        <w:t xml:space="preserve"> </w:t>
      </w:r>
      <w:r w:rsidRPr="00E343EA">
        <w:rPr>
          <w:smallCaps/>
        </w:rPr>
        <w:t>Harlowton News</w:t>
      </w:r>
      <w:r>
        <w:rPr>
          <w:smallCaps/>
        </w:rPr>
        <w:t xml:space="preserve"> </w:t>
      </w:r>
      <w:r w:rsidRPr="000337CA">
        <w:t>(Mont.)</w:t>
      </w:r>
      <w:r>
        <w:rPr>
          <w:smallCaps/>
        </w:rPr>
        <w:t>,</w:t>
      </w:r>
      <w:r w:rsidRPr="00E343EA">
        <w:rPr>
          <w:smallCaps/>
        </w:rPr>
        <w:t xml:space="preserve"> </w:t>
      </w:r>
      <w:r w:rsidRPr="00E343EA">
        <w:t xml:space="preserve">Aug. 13, 1909, at 1 (stating the move </w:t>
      </w:r>
      <w:r>
        <w:t>“</w:t>
      </w:r>
      <w:r w:rsidRPr="00E343EA">
        <w:t>will be heartily endorsed by</w:t>
      </w:r>
      <w:r>
        <w:t xml:space="preserve"> everyone who knows of the degra</w:t>
      </w:r>
      <w:r w:rsidRPr="00E343EA">
        <w:t>ding influences surrounded by any establishment operated by an oriental</w:t>
      </w:r>
      <w:r>
        <w:t>”</w:t>
      </w:r>
      <w:r w:rsidRPr="00E343EA">
        <w:t>)</w:t>
      </w:r>
      <w:r>
        <w:t>.</w:t>
      </w:r>
    </w:p>
  </w:footnote>
  <w:footnote w:id="206">
    <w:p w14:paraId="4FD40DCA"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See First-Vice Attack Made on Chinatown</w:t>
      </w:r>
      <w:r w:rsidRPr="00E343EA">
        <w:t xml:space="preserve">, </w:t>
      </w:r>
      <w:r w:rsidRPr="00E343EA">
        <w:rPr>
          <w:smallCaps/>
        </w:rPr>
        <w:t xml:space="preserve">N.Y. Times, </w:t>
      </w:r>
      <w:r w:rsidRPr="00E343EA">
        <w:t>Oct. 24, 1910, at 1.</w:t>
      </w:r>
    </w:p>
  </w:footnote>
  <w:footnote w:id="207">
    <w:p w14:paraId="0388484E"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Raids By Driscoll Fill Night Court</w:t>
      </w:r>
      <w:r w:rsidRPr="00E343EA">
        <w:t xml:space="preserve">, </w:t>
      </w:r>
      <w:r w:rsidRPr="00E343EA">
        <w:rPr>
          <w:smallCaps/>
        </w:rPr>
        <w:t xml:space="preserve">N.Y. Times, </w:t>
      </w:r>
      <w:r w:rsidRPr="00E343EA">
        <w:t>Oct. 26, 1910, at 18.</w:t>
      </w:r>
    </w:p>
  </w:footnote>
  <w:footnote w:id="208">
    <w:p w14:paraId="3845A841"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Id.</w:t>
      </w:r>
    </w:p>
  </w:footnote>
  <w:footnote w:id="209">
    <w:p w14:paraId="63548AFF"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 xml:space="preserve">Id. </w:t>
      </w:r>
    </w:p>
  </w:footnote>
  <w:footnote w:id="210">
    <w:p w14:paraId="3D653A1E"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Id.</w:t>
      </w:r>
    </w:p>
  </w:footnote>
  <w:footnote w:id="211">
    <w:p w14:paraId="6F7376CC"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New York Closes Chinatown to Night Tourist</w:t>
      </w:r>
      <w:r w:rsidRPr="00E343EA">
        <w:t xml:space="preserve">, </w:t>
      </w:r>
      <w:r w:rsidRPr="00E343EA">
        <w:rPr>
          <w:smallCaps/>
        </w:rPr>
        <w:t xml:space="preserve">Toledo News Bee, </w:t>
      </w:r>
      <w:r w:rsidRPr="00E343EA">
        <w:t>Oct. 24, 1910, at 5.</w:t>
      </w:r>
    </w:p>
  </w:footnote>
  <w:footnote w:id="212">
    <w:p w14:paraId="3BA17183" w14:textId="4FBDC6A5" w:rsidR="00501D78" w:rsidRPr="00E343EA" w:rsidRDefault="00501D78" w:rsidP="00B06E49">
      <w:pPr>
        <w:pStyle w:val="FootnoteText"/>
      </w:pPr>
      <w:r w:rsidRPr="00E343EA">
        <w:rPr>
          <w:rStyle w:val="FootnoteReference"/>
        </w:rPr>
        <w:footnoteRef/>
      </w:r>
      <w:r w:rsidRPr="00E343EA">
        <w:t xml:space="preserve"> </w:t>
      </w:r>
      <w:r w:rsidRPr="00E343EA">
        <w:rPr>
          <w:i/>
        </w:rPr>
        <w:t>Barred from Chinatown</w:t>
      </w:r>
      <w:r w:rsidRPr="00E343EA">
        <w:t xml:space="preserve">, </w:t>
      </w:r>
      <w:r w:rsidRPr="000337CA">
        <w:rPr>
          <w:i/>
        </w:rPr>
        <w:t>supra</w:t>
      </w:r>
      <w:r>
        <w:t xml:space="preserve"> note </w:t>
      </w:r>
      <w:r>
        <w:fldChar w:fldCharType="begin"/>
      </w:r>
      <w:r>
        <w:instrText xml:space="preserve"> NOTEREF _Ref461985950 \h </w:instrText>
      </w:r>
      <w:r>
        <w:fldChar w:fldCharType="separate"/>
      </w:r>
      <w:r w:rsidR="008A4890">
        <w:t>97</w:t>
      </w:r>
      <w:r>
        <w:fldChar w:fldCharType="end"/>
      </w:r>
      <w:r>
        <w:t xml:space="preserve">, </w:t>
      </w:r>
      <w:r w:rsidRPr="00E343EA">
        <w:t xml:space="preserve">at 7. </w:t>
      </w:r>
    </w:p>
  </w:footnote>
  <w:footnote w:id="213">
    <w:p w14:paraId="3B8C7CBE"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Id</w:t>
      </w:r>
      <w:r w:rsidRPr="00E343EA">
        <w:t>.</w:t>
      </w:r>
    </w:p>
  </w:footnote>
  <w:footnote w:id="214">
    <w:p w14:paraId="53B0B4F0" w14:textId="4FBAA3DF" w:rsidR="00501D78" w:rsidRPr="00E343EA" w:rsidRDefault="00501D78" w:rsidP="00B06E49">
      <w:pPr>
        <w:pStyle w:val="FootnoteText"/>
      </w:pPr>
      <w:r w:rsidRPr="00E343EA">
        <w:rPr>
          <w:rStyle w:val="FootnoteReference"/>
        </w:rPr>
        <w:footnoteRef/>
      </w:r>
      <w:r w:rsidRPr="00E343EA">
        <w:t xml:space="preserve"> </w:t>
      </w:r>
      <w:r w:rsidRPr="00E343EA">
        <w:rPr>
          <w:i/>
        </w:rPr>
        <w:t>Police Capture 178</w:t>
      </w:r>
      <w:r w:rsidRPr="00E343EA">
        <w:t xml:space="preserve">, </w:t>
      </w:r>
      <w:r w:rsidRPr="000337CA">
        <w:rPr>
          <w:i/>
        </w:rPr>
        <w:t>supra</w:t>
      </w:r>
      <w:r>
        <w:t xml:space="preserve"> note </w:t>
      </w:r>
      <w:r>
        <w:fldChar w:fldCharType="begin"/>
      </w:r>
      <w:r>
        <w:instrText xml:space="preserve"> NOTEREF _Ref476155952 \h </w:instrText>
      </w:r>
      <w:r>
        <w:fldChar w:fldCharType="separate"/>
      </w:r>
      <w:r w:rsidR="008A4890">
        <w:t>113</w:t>
      </w:r>
      <w:r>
        <w:fldChar w:fldCharType="end"/>
      </w:r>
      <w:r>
        <w:t xml:space="preserve">, </w:t>
      </w:r>
      <w:r w:rsidRPr="00E343EA">
        <w:t>at 8.</w:t>
      </w:r>
    </w:p>
  </w:footnote>
  <w:footnote w:id="215">
    <w:p w14:paraId="3D1A4570" w14:textId="40CBF88E" w:rsidR="00501D78" w:rsidRPr="00E343EA" w:rsidRDefault="00501D78" w:rsidP="00B06E49">
      <w:pPr>
        <w:pStyle w:val="FootnoteText"/>
      </w:pPr>
      <w:r w:rsidRPr="00E343EA">
        <w:rPr>
          <w:rStyle w:val="FootnoteReference"/>
        </w:rPr>
        <w:footnoteRef/>
      </w:r>
      <w:r w:rsidRPr="00E343EA">
        <w:t xml:space="preserve"> </w:t>
      </w:r>
      <w:r w:rsidRPr="00E343EA">
        <w:rPr>
          <w:i/>
        </w:rPr>
        <w:t>300 Arrested</w:t>
      </w:r>
      <w:r w:rsidRPr="00E343EA">
        <w:t xml:space="preserve">, </w:t>
      </w:r>
      <w:r w:rsidRPr="00FA1ABF">
        <w:rPr>
          <w:i/>
        </w:rPr>
        <w:t>supra</w:t>
      </w:r>
      <w:r>
        <w:t xml:space="preserve"> note </w:t>
      </w:r>
      <w:r>
        <w:fldChar w:fldCharType="begin"/>
      </w:r>
      <w:r>
        <w:instrText xml:space="preserve"> NOTEREF _Ref476155952 \h </w:instrText>
      </w:r>
      <w:r>
        <w:fldChar w:fldCharType="separate"/>
      </w:r>
      <w:r w:rsidR="008A4890">
        <w:t>113</w:t>
      </w:r>
      <w:r>
        <w:fldChar w:fldCharType="end"/>
      </w:r>
      <w:r>
        <w:t xml:space="preserve">, </w:t>
      </w:r>
      <w:r w:rsidRPr="00E343EA">
        <w:t>at 8.</w:t>
      </w:r>
    </w:p>
  </w:footnote>
  <w:footnote w:id="216">
    <w:p w14:paraId="33E6A2E5" w14:textId="6CFB2F48" w:rsidR="00501D78" w:rsidRPr="00E343EA" w:rsidRDefault="00501D78" w:rsidP="00B06E49">
      <w:pPr>
        <w:pStyle w:val="FootnoteText"/>
      </w:pPr>
      <w:r w:rsidRPr="00E343EA">
        <w:rPr>
          <w:rStyle w:val="FootnoteReference"/>
        </w:rPr>
        <w:footnoteRef/>
      </w:r>
      <w:r w:rsidRPr="00E343EA">
        <w:t xml:space="preserve"> </w:t>
      </w:r>
      <w:r w:rsidRPr="00E343EA">
        <w:rPr>
          <w:i/>
        </w:rPr>
        <w:t>Chop Suey Uplift</w:t>
      </w:r>
      <w:r w:rsidRPr="00E343EA">
        <w:t xml:space="preserve">, </w:t>
      </w:r>
      <w:r w:rsidRPr="00E343EA">
        <w:rPr>
          <w:smallCaps/>
        </w:rPr>
        <w:t xml:space="preserve">N.Y. </w:t>
      </w:r>
      <w:r>
        <w:rPr>
          <w:smallCaps/>
        </w:rPr>
        <w:t>Trib.</w:t>
      </w:r>
      <w:r w:rsidRPr="00E343EA">
        <w:rPr>
          <w:smallCaps/>
        </w:rPr>
        <w:t xml:space="preserve">, </w:t>
      </w:r>
      <w:r w:rsidRPr="00E343EA">
        <w:t xml:space="preserve">Apr. 17, 1918, at </w:t>
      </w:r>
      <w:r>
        <w:t>12</w:t>
      </w:r>
      <w:r w:rsidRPr="00E343EA">
        <w:t>.</w:t>
      </w:r>
    </w:p>
  </w:footnote>
  <w:footnote w:id="217">
    <w:p w14:paraId="3203F06D" w14:textId="01A4F7B2" w:rsidR="00501D78" w:rsidRPr="00E343EA" w:rsidRDefault="00501D78" w:rsidP="00B06E49">
      <w:pPr>
        <w:pStyle w:val="FootnoteText"/>
      </w:pPr>
      <w:r w:rsidRPr="00E343EA">
        <w:rPr>
          <w:rStyle w:val="FootnoteReference"/>
        </w:rPr>
        <w:footnoteRef/>
      </w:r>
      <w:r w:rsidRPr="00E343EA">
        <w:t xml:space="preserve"> </w:t>
      </w:r>
      <w:r w:rsidRPr="00E343EA">
        <w:rPr>
          <w:i/>
        </w:rPr>
        <w:t>Police Capture 178</w:t>
      </w:r>
      <w:r w:rsidRPr="00E343EA">
        <w:t xml:space="preserve">, </w:t>
      </w:r>
      <w:r w:rsidRPr="000337CA">
        <w:rPr>
          <w:i/>
        </w:rPr>
        <w:t>supra</w:t>
      </w:r>
      <w:r>
        <w:t xml:space="preserve"> note </w:t>
      </w:r>
      <w:r>
        <w:fldChar w:fldCharType="begin"/>
      </w:r>
      <w:r>
        <w:instrText xml:space="preserve"> NOTEREF _Ref476155952 \h </w:instrText>
      </w:r>
      <w:r>
        <w:fldChar w:fldCharType="separate"/>
      </w:r>
      <w:r w:rsidR="008A4890">
        <w:t>113</w:t>
      </w:r>
      <w:r>
        <w:fldChar w:fldCharType="end"/>
      </w:r>
      <w:r>
        <w:t xml:space="preserve">, </w:t>
      </w:r>
      <w:r w:rsidRPr="00E343EA">
        <w:t>at 8;</w:t>
      </w:r>
      <w:r w:rsidRPr="00E343EA">
        <w:rPr>
          <w:i/>
        </w:rPr>
        <w:t xml:space="preserve"> 300 Are Captured in Chop Suey Raids</w:t>
      </w:r>
      <w:r w:rsidRPr="00E343EA">
        <w:t xml:space="preserve">, </w:t>
      </w:r>
      <w:r w:rsidRPr="00E343EA">
        <w:rPr>
          <w:smallCaps/>
        </w:rPr>
        <w:t>The Sun</w:t>
      </w:r>
      <w:r>
        <w:rPr>
          <w:smallCaps/>
        </w:rPr>
        <w:t xml:space="preserve"> (N.Y.)</w:t>
      </w:r>
      <w:r w:rsidRPr="00E343EA">
        <w:rPr>
          <w:smallCaps/>
        </w:rPr>
        <w:t xml:space="preserve">, </w:t>
      </w:r>
      <w:r w:rsidRPr="00E343EA">
        <w:t xml:space="preserve">Apr. 15, 1918, at 14; </w:t>
      </w:r>
      <w:r w:rsidRPr="00E343EA">
        <w:rPr>
          <w:i/>
        </w:rPr>
        <w:t>300 Arrested</w:t>
      </w:r>
      <w:r w:rsidRPr="00E343EA">
        <w:t xml:space="preserve">, </w:t>
      </w:r>
      <w:r w:rsidRPr="00FA1ABF">
        <w:rPr>
          <w:i/>
        </w:rPr>
        <w:t>supra</w:t>
      </w:r>
      <w:r>
        <w:t xml:space="preserve"> note </w:t>
      </w:r>
      <w:r>
        <w:fldChar w:fldCharType="begin"/>
      </w:r>
      <w:r>
        <w:instrText xml:space="preserve"> NOTEREF _Ref476155952 \h </w:instrText>
      </w:r>
      <w:r>
        <w:fldChar w:fldCharType="separate"/>
      </w:r>
      <w:r w:rsidR="008A4890">
        <w:t>113</w:t>
      </w:r>
      <w:r>
        <w:fldChar w:fldCharType="end"/>
      </w:r>
      <w:r>
        <w:t xml:space="preserve">, </w:t>
      </w:r>
      <w:r w:rsidRPr="00E343EA">
        <w:t>at 8.</w:t>
      </w:r>
    </w:p>
  </w:footnote>
  <w:footnote w:id="218">
    <w:p w14:paraId="0607A83A" w14:textId="016C5421" w:rsidR="00501D78" w:rsidRPr="00E343EA" w:rsidRDefault="00501D78" w:rsidP="00B06E49">
      <w:pPr>
        <w:pStyle w:val="FootnoteText"/>
      </w:pPr>
      <w:r w:rsidRPr="00E343EA">
        <w:rPr>
          <w:rStyle w:val="FootnoteReference"/>
        </w:rPr>
        <w:footnoteRef/>
      </w:r>
      <w:r w:rsidRPr="00E343EA">
        <w:t xml:space="preserve"> </w:t>
      </w:r>
      <w:r w:rsidRPr="00E343EA">
        <w:rPr>
          <w:i/>
        </w:rPr>
        <w:t>Police Capture 178</w:t>
      </w:r>
      <w:r w:rsidRPr="00E343EA">
        <w:t xml:space="preserve">, </w:t>
      </w:r>
      <w:r w:rsidRPr="000337CA">
        <w:rPr>
          <w:i/>
        </w:rPr>
        <w:t>supra</w:t>
      </w:r>
      <w:r>
        <w:t xml:space="preserve"> note </w:t>
      </w:r>
      <w:r>
        <w:fldChar w:fldCharType="begin"/>
      </w:r>
      <w:r>
        <w:instrText xml:space="preserve"> NOTEREF _Ref476155952 \h </w:instrText>
      </w:r>
      <w:r>
        <w:fldChar w:fldCharType="separate"/>
      </w:r>
      <w:r w:rsidR="008A4890">
        <w:t>113</w:t>
      </w:r>
      <w:r>
        <w:fldChar w:fldCharType="end"/>
      </w:r>
      <w:r>
        <w:t xml:space="preserve">, </w:t>
      </w:r>
      <w:r w:rsidRPr="00E343EA">
        <w:t>at 8.</w:t>
      </w:r>
    </w:p>
  </w:footnote>
  <w:footnote w:id="219">
    <w:p w14:paraId="2FBA70EA" w14:textId="77777777" w:rsidR="00501D78" w:rsidRPr="00E343EA" w:rsidRDefault="00501D78" w:rsidP="00B17586">
      <w:pPr>
        <w:pStyle w:val="FootnoteText"/>
      </w:pPr>
      <w:r w:rsidRPr="00E343EA">
        <w:rPr>
          <w:rStyle w:val="FootnoteReference"/>
        </w:rPr>
        <w:footnoteRef/>
      </w:r>
      <w:r w:rsidRPr="00E343EA">
        <w:t xml:space="preserve"> </w:t>
      </w:r>
      <w:r w:rsidRPr="00E343EA">
        <w:rPr>
          <w:i/>
        </w:rPr>
        <w:t>300 Arrested</w:t>
      </w:r>
      <w:r w:rsidRPr="00E343EA">
        <w:t xml:space="preserve">, </w:t>
      </w:r>
      <w:r w:rsidRPr="00FA1ABF">
        <w:rPr>
          <w:i/>
        </w:rPr>
        <w:t>supra</w:t>
      </w:r>
      <w:r>
        <w:t xml:space="preserve"> note </w:t>
      </w:r>
      <w:r>
        <w:fldChar w:fldCharType="begin"/>
      </w:r>
      <w:r>
        <w:instrText xml:space="preserve"> NOTEREF _Ref476155952 \h </w:instrText>
      </w:r>
      <w:r>
        <w:fldChar w:fldCharType="separate"/>
      </w:r>
      <w:r w:rsidR="008A4890">
        <w:t>113</w:t>
      </w:r>
      <w:r>
        <w:fldChar w:fldCharType="end"/>
      </w:r>
      <w:r>
        <w:t xml:space="preserve">, </w:t>
      </w:r>
      <w:r w:rsidRPr="00E343EA">
        <w:t>at 8.</w:t>
      </w:r>
    </w:p>
  </w:footnote>
  <w:footnote w:id="220">
    <w:p w14:paraId="59DB47C1" w14:textId="3133EA99" w:rsidR="00501D78" w:rsidRPr="00E343EA" w:rsidRDefault="00501D78" w:rsidP="00B06E49">
      <w:pPr>
        <w:pStyle w:val="FootnoteText"/>
      </w:pPr>
      <w:r w:rsidRPr="00E343EA">
        <w:rPr>
          <w:rStyle w:val="FootnoteReference"/>
        </w:rPr>
        <w:footnoteRef/>
      </w:r>
      <w:r w:rsidRPr="00E343EA">
        <w:t xml:space="preserve"> </w:t>
      </w:r>
      <w:r w:rsidRPr="00E343EA">
        <w:rPr>
          <w:i/>
        </w:rPr>
        <w:t>Police Capture 178</w:t>
      </w:r>
      <w:r w:rsidRPr="00E343EA">
        <w:t xml:space="preserve">, </w:t>
      </w:r>
      <w:r w:rsidRPr="000337CA">
        <w:rPr>
          <w:i/>
        </w:rPr>
        <w:t>supra</w:t>
      </w:r>
      <w:r>
        <w:t xml:space="preserve"> note </w:t>
      </w:r>
      <w:r>
        <w:fldChar w:fldCharType="begin"/>
      </w:r>
      <w:r>
        <w:instrText xml:space="preserve"> NOTEREF _Ref476155952 \h </w:instrText>
      </w:r>
      <w:r>
        <w:fldChar w:fldCharType="separate"/>
      </w:r>
      <w:r w:rsidR="008A4890">
        <w:t>113</w:t>
      </w:r>
      <w:r>
        <w:fldChar w:fldCharType="end"/>
      </w:r>
      <w:r>
        <w:t xml:space="preserve">, </w:t>
      </w:r>
      <w:r w:rsidRPr="00E343EA">
        <w:t>at 8.</w:t>
      </w:r>
    </w:p>
  </w:footnote>
  <w:footnote w:id="221">
    <w:p w14:paraId="4C5C9E24"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Id</w:t>
      </w:r>
      <w:r w:rsidRPr="00E343EA">
        <w:t>.</w:t>
      </w:r>
    </w:p>
  </w:footnote>
  <w:footnote w:id="222">
    <w:p w14:paraId="182B9B8E"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Id</w:t>
      </w:r>
      <w:r w:rsidRPr="00E343EA">
        <w:t>.</w:t>
      </w:r>
    </w:p>
  </w:footnote>
  <w:footnote w:id="223">
    <w:p w14:paraId="52CDD40D"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Id</w:t>
      </w:r>
      <w:r w:rsidRPr="00E343EA">
        <w:t>.</w:t>
      </w:r>
    </w:p>
  </w:footnote>
  <w:footnote w:id="224">
    <w:p w14:paraId="3D4CE2D8" w14:textId="5D830253" w:rsidR="00501D78" w:rsidRPr="00E343EA" w:rsidRDefault="00501D78" w:rsidP="00B06E49">
      <w:pPr>
        <w:pStyle w:val="FootnoteText"/>
      </w:pPr>
      <w:r w:rsidRPr="00E343EA">
        <w:rPr>
          <w:rStyle w:val="FootnoteReference"/>
        </w:rPr>
        <w:footnoteRef/>
      </w:r>
      <w:r w:rsidRPr="00E343EA">
        <w:t xml:space="preserve"> </w:t>
      </w:r>
      <w:r w:rsidRPr="00E343EA">
        <w:rPr>
          <w:i/>
        </w:rPr>
        <w:t>Raided Chop Suey Men Hire Counsel</w:t>
      </w:r>
      <w:r w:rsidRPr="00E343EA">
        <w:t xml:space="preserve">, </w:t>
      </w:r>
      <w:r w:rsidRPr="00E343EA">
        <w:rPr>
          <w:smallCaps/>
        </w:rPr>
        <w:t>The Sun</w:t>
      </w:r>
      <w:r>
        <w:rPr>
          <w:smallCaps/>
        </w:rPr>
        <w:t xml:space="preserve"> (N.Y.)</w:t>
      </w:r>
      <w:r w:rsidRPr="00E343EA">
        <w:t>, Apr. 16, 1918, at 6.</w:t>
      </w:r>
    </w:p>
  </w:footnote>
  <w:footnote w:id="225">
    <w:p w14:paraId="49A7566E" w14:textId="7980D286" w:rsidR="00501D78" w:rsidRPr="00E343EA" w:rsidRDefault="00501D78" w:rsidP="00B06E49">
      <w:pPr>
        <w:pStyle w:val="FootnoteText"/>
      </w:pPr>
      <w:r w:rsidRPr="00E343EA">
        <w:rPr>
          <w:rStyle w:val="FootnoteReference"/>
        </w:rPr>
        <w:footnoteRef/>
      </w:r>
      <w:r w:rsidRPr="00E343EA">
        <w:t xml:space="preserve"> </w:t>
      </w:r>
      <w:r>
        <w:rPr>
          <w:i/>
        </w:rPr>
        <w:t>Id</w:t>
      </w:r>
      <w:r w:rsidRPr="00E343EA">
        <w:t>.</w:t>
      </w:r>
    </w:p>
  </w:footnote>
  <w:footnote w:id="226">
    <w:p w14:paraId="33AB8B42" w14:textId="53E2C177" w:rsidR="00501D78" w:rsidRPr="00E343EA" w:rsidRDefault="00501D78" w:rsidP="00B06E49">
      <w:pPr>
        <w:pStyle w:val="FootnoteText"/>
      </w:pPr>
      <w:r w:rsidRPr="00E343EA">
        <w:rPr>
          <w:rStyle w:val="FootnoteReference"/>
        </w:rPr>
        <w:footnoteRef/>
      </w:r>
      <w:r w:rsidRPr="00E343EA">
        <w:t xml:space="preserve"> </w:t>
      </w:r>
      <w:r>
        <w:rPr>
          <w:i/>
        </w:rPr>
        <w:t>Id.</w:t>
      </w:r>
    </w:p>
  </w:footnote>
  <w:footnote w:id="227">
    <w:p w14:paraId="570A3FE3" w14:textId="039D44F2" w:rsidR="00501D78" w:rsidRPr="00E343EA" w:rsidRDefault="00501D78" w:rsidP="00B06E49">
      <w:pPr>
        <w:pStyle w:val="FootnoteText"/>
      </w:pPr>
      <w:r w:rsidRPr="00E343EA">
        <w:rPr>
          <w:rStyle w:val="FootnoteReference"/>
        </w:rPr>
        <w:footnoteRef/>
      </w:r>
      <w:r w:rsidRPr="00E343EA">
        <w:t xml:space="preserve"> </w:t>
      </w:r>
      <w:r w:rsidRPr="00E343EA">
        <w:rPr>
          <w:i/>
        </w:rPr>
        <w:t>Chop Suey Uplift</w:t>
      </w:r>
      <w:r w:rsidRPr="00E343EA">
        <w:t xml:space="preserve">, </w:t>
      </w:r>
      <w:r w:rsidRPr="008E76E7">
        <w:rPr>
          <w:i/>
        </w:rPr>
        <w:t>supra</w:t>
      </w:r>
      <w:r>
        <w:t xml:space="preserve"> note </w:t>
      </w:r>
      <w:r>
        <w:fldChar w:fldCharType="begin"/>
      </w:r>
      <w:r>
        <w:instrText xml:space="preserve"> NOTEREF _Ref476492674 \h </w:instrText>
      </w:r>
      <w:r>
        <w:fldChar w:fldCharType="separate"/>
      </w:r>
      <w:r w:rsidR="008A4890">
        <w:t>213</w:t>
      </w:r>
      <w:r>
        <w:fldChar w:fldCharType="end"/>
      </w:r>
      <w:r>
        <w:t xml:space="preserve">, </w:t>
      </w:r>
      <w:r w:rsidRPr="00E343EA">
        <w:t>at</w:t>
      </w:r>
      <w:r>
        <w:t xml:space="preserve"> 12</w:t>
      </w:r>
      <w:r w:rsidRPr="00E343EA">
        <w:t xml:space="preserve">; </w:t>
      </w:r>
      <w:r w:rsidRPr="00E343EA">
        <w:rPr>
          <w:i/>
        </w:rPr>
        <w:t>Raided Chop Suey Men</w:t>
      </w:r>
      <w:r w:rsidRPr="00E343EA">
        <w:t xml:space="preserve">, </w:t>
      </w:r>
      <w:r w:rsidRPr="008E76E7">
        <w:rPr>
          <w:i/>
        </w:rPr>
        <w:t>supra</w:t>
      </w:r>
      <w:r>
        <w:t xml:space="preserve"> note </w:t>
      </w:r>
      <w:r>
        <w:fldChar w:fldCharType="begin"/>
      </w:r>
      <w:r>
        <w:instrText xml:space="preserve"> NOTEREF _Ref476492751 \h </w:instrText>
      </w:r>
      <w:r>
        <w:fldChar w:fldCharType="separate"/>
      </w:r>
      <w:r w:rsidR="008A4890">
        <w:t>221</w:t>
      </w:r>
      <w:r>
        <w:fldChar w:fldCharType="end"/>
      </w:r>
      <w:r>
        <w:t xml:space="preserve">, </w:t>
      </w:r>
      <w:r w:rsidRPr="00E343EA">
        <w:t>at 6</w:t>
      </w:r>
      <w:r w:rsidRPr="00E343EA">
        <w:rPr>
          <w:i/>
        </w:rPr>
        <w:t>; Swann to Proceed Against Owners of Chop Suey Places</w:t>
      </w:r>
      <w:r w:rsidRPr="00E343EA">
        <w:t xml:space="preserve">, </w:t>
      </w:r>
      <w:r w:rsidRPr="00E343EA">
        <w:rPr>
          <w:smallCaps/>
        </w:rPr>
        <w:t xml:space="preserve">N.Y. </w:t>
      </w:r>
      <w:r>
        <w:rPr>
          <w:smallCaps/>
        </w:rPr>
        <w:t>Trib.</w:t>
      </w:r>
      <w:r w:rsidRPr="00E343EA">
        <w:rPr>
          <w:smallCaps/>
        </w:rPr>
        <w:t xml:space="preserve">, </w:t>
      </w:r>
      <w:r w:rsidRPr="00E343EA">
        <w:t xml:space="preserve">Apr. 17, 1918, at 9.  </w:t>
      </w:r>
    </w:p>
  </w:footnote>
  <w:footnote w:id="228">
    <w:p w14:paraId="3F41CA4C" w14:textId="40839634" w:rsidR="00501D78" w:rsidRPr="00E343EA" w:rsidRDefault="00501D78" w:rsidP="00B06E49">
      <w:pPr>
        <w:pStyle w:val="FootnoteText"/>
      </w:pPr>
      <w:r w:rsidRPr="00E343EA">
        <w:rPr>
          <w:rStyle w:val="FootnoteReference"/>
        </w:rPr>
        <w:footnoteRef/>
      </w:r>
      <w:r w:rsidRPr="00E343EA">
        <w:t xml:space="preserve"> </w:t>
      </w:r>
      <w:r w:rsidRPr="00E343EA">
        <w:rPr>
          <w:i/>
        </w:rPr>
        <w:t>Chop Suey Uplift</w:t>
      </w:r>
      <w:r w:rsidRPr="00E343EA">
        <w:t xml:space="preserve">, </w:t>
      </w:r>
      <w:r w:rsidRPr="008E76E7">
        <w:rPr>
          <w:i/>
        </w:rPr>
        <w:t>supra</w:t>
      </w:r>
      <w:r>
        <w:t xml:space="preserve"> note </w:t>
      </w:r>
      <w:r>
        <w:fldChar w:fldCharType="begin"/>
      </w:r>
      <w:r>
        <w:instrText xml:space="preserve"> NOTEREF _Ref476492674 \h </w:instrText>
      </w:r>
      <w:r>
        <w:fldChar w:fldCharType="separate"/>
      </w:r>
      <w:r w:rsidR="008A4890">
        <w:t>213</w:t>
      </w:r>
      <w:r>
        <w:fldChar w:fldCharType="end"/>
      </w:r>
      <w:r>
        <w:t>, at</w:t>
      </w:r>
      <w:r w:rsidRPr="00E343EA">
        <w:t xml:space="preserve"> </w:t>
      </w:r>
      <w:r>
        <w:t>12.</w:t>
      </w:r>
    </w:p>
  </w:footnote>
  <w:footnote w:id="229">
    <w:p w14:paraId="59FA8F7D" w14:textId="50C86899" w:rsidR="00501D78" w:rsidRPr="00E343EA" w:rsidRDefault="00501D78" w:rsidP="00B06E49">
      <w:pPr>
        <w:pStyle w:val="FootnoteText"/>
      </w:pPr>
      <w:r w:rsidRPr="00E343EA">
        <w:rPr>
          <w:rStyle w:val="FootnoteReference"/>
        </w:rPr>
        <w:footnoteRef/>
      </w:r>
      <w:r w:rsidRPr="00E343EA">
        <w:t xml:space="preserve"> McIntyre, </w:t>
      </w:r>
      <w:r w:rsidRPr="008E76E7">
        <w:rPr>
          <w:i/>
        </w:rPr>
        <w:t>supra</w:t>
      </w:r>
      <w:r>
        <w:t xml:space="preserve"> note </w:t>
      </w:r>
      <w:r>
        <w:fldChar w:fldCharType="begin"/>
      </w:r>
      <w:r>
        <w:instrText xml:space="preserve"> NOTEREF _Ref476152986 \h </w:instrText>
      </w:r>
      <w:r>
        <w:fldChar w:fldCharType="separate"/>
      </w:r>
      <w:r w:rsidR="008A4890">
        <w:t>1</w:t>
      </w:r>
      <w:r>
        <w:fldChar w:fldCharType="end"/>
      </w:r>
      <w:r>
        <w:t xml:space="preserve">, </w:t>
      </w:r>
      <w:r w:rsidRPr="00E343EA">
        <w:t>at 6.</w:t>
      </w:r>
    </w:p>
  </w:footnote>
  <w:footnote w:id="230">
    <w:p w14:paraId="2B6C137C" w14:textId="77777777" w:rsidR="00501D78" w:rsidRPr="004D0F77" w:rsidRDefault="00501D78" w:rsidP="00835896">
      <w:pPr>
        <w:spacing w:after="100" w:afterAutospacing="1"/>
        <w:contextualSpacing/>
        <w:rPr>
          <w:sz w:val="20"/>
          <w:szCs w:val="20"/>
        </w:rPr>
      </w:pPr>
      <w:r w:rsidRPr="004D0F77">
        <w:rPr>
          <w:rStyle w:val="FootnoteReference"/>
          <w:sz w:val="20"/>
          <w:szCs w:val="20"/>
        </w:rPr>
        <w:footnoteRef/>
      </w:r>
      <w:r w:rsidRPr="004D0F77">
        <w:rPr>
          <w:sz w:val="20"/>
          <w:szCs w:val="20"/>
        </w:rPr>
        <w:t xml:space="preserve"> </w:t>
      </w:r>
      <w:r w:rsidRPr="004D0F77">
        <w:rPr>
          <w:rFonts w:eastAsia="Times New Roman"/>
          <w:sz w:val="20"/>
          <w:szCs w:val="20"/>
        </w:rPr>
        <w:t xml:space="preserve">Stephen E. Henderson, </w:t>
      </w:r>
      <w:r>
        <w:rPr>
          <w:rFonts w:eastAsia="Times New Roman"/>
          <w:i/>
          <w:sz w:val="20"/>
          <w:szCs w:val="20"/>
        </w:rPr>
        <w:t>“</w:t>
      </w:r>
      <w:r w:rsidRPr="004D0F77">
        <w:rPr>
          <w:rFonts w:eastAsia="Times New Roman"/>
          <w:i/>
          <w:sz w:val="20"/>
          <w:szCs w:val="20"/>
        </w:rPr>
        <w:t>Move on</w:t>
      </w:r>
      <w:r>
        <w:rPr>
          <w:rFonts w:eastAsia="Times New Roman"/>
          <w:i/>
          <w:sz w:val="20"/>
          <w:szCs w:val="20"/>
        </w:rPr>
        <w:t>”</w:t>
      </w:r>
      <w:r w:rsidRPr="004D0F77">
        <w:rPr>
          <w:rFonts w:eastAsia="Times New Roman"/>
          <w:i/>
          <w:sz w:val="20"/>
          <w:szCs w:val="20"/>
        </w:rPr>
        <w:t xml:space="preserve"> Orders As Fourth Amendment Seizures</w:t>
      </w:r>
      <w:r w:rsidRPr="004D0F77">
        <w:rPr>
          <w:rFonts w:eastAsia="Times New Roman"/>
          <w:sz w:val="20"/>
          <w:szCs w:val="20"/>
        </w:rPr>
        <w:t xml:space="preserve">, 2008 </w:t>
      </w:r>
      <w:r w:rsidRPr="004D0F77">
        <w:rPr>
          <w:rFonts w:eastAsia="Times New Roman"/>
          <w:smallCaps/>
          <w:sz w:val="20"/>
          <w:szCs w:val="20"/>
        </w:rPr>
        <w:t>B.Y.U. L. Rev.</w:t>
      </w:r>
      <w:r>
        <w:rPr>
          <w:rFonts w:eastAsia="Times New Roman"/>
          <w:sz w:val="20"/>
          <w:szCs w:val="20"/>
        </w:rPr>
        <w:t xml:space="preserve"> 1</w:t>
      </w:r>
      <w:r w:rsidRPr="004D0F77">
        <w:rPr>
          <w:rFonts w:eastAsia="Times New Roman"/>
          <w:sz w:val="20"/>
          <w:szCs w:val="20"/>
        </w:rPr>
        <w:t xml:space="preserve"> (2008)</w:t>
      </w:r>
      <w:r>
        <w:rPr>
          <w:rFonts w:eastAsia="Times New Roman"/>
          <w:sz w:val="20"/>
          <w:szCs w:val="20"/>
        </w:rPr>
        <w:t>.</w:t>
      </w:r>
    </w:p>
  </w:footnote>
  <w:footnote w:id="231">
    <w:p w14:paraId="6C3451D6" w14:textId="77777777" w:rsidR="00501D78" w:rsidRDefault="00501D78" w:rsidP="00835896">
      <w:pPr>
        <w:pStyle w:val="FootnoteText"/>
      </w:pPr>
      <w:r>
        <w:rPr>
          <w:rStyle w:val="FootnoteReference"/>
        </w:rPr>
        <w:footnoteRef/>
      </w:r>
      <w:r>
        <w:t xml:space="preserve"> Brigham City, Utah v. Stuart, 547 U.S. 398, 403 (2006).</w:t>
      </w:r>
    </w:p>
  </w:footnote>
  <w:footnote w:id="232">
    <w:p w14:paraId="2E347E1F" w14:textId="77777777" w:rsidR="00501D78" w:rsidRDefault="00501D78" w:rsidP="00835896">
      <w:pPr>
        <w:pStyle w:val="FootnoteText"/>
      </w:pPr>
      <w:r>
        <w:rPr>
          <w:rStyle w:val="FootnoteReference"/>
        </w:rPr>
        <w:footnoteRef/>
      </w:r>
      <w:r>
        <w:t xml:space="preserve"> Johnson v. California, 543 U.S. 499, 512 (2005).</w:t>
      </w:r>
    </w:p>
  </w:footnote>
  <w:footnote w:id="233">
    <w:p w14:paraId="2ED73D03" w14:textId="77777777" w:rsidR="00501D78" w:rsidRDefault="00501D78" w:rsidP="00835896">
      <w:pPr>
        <w:pStyle w:val="FootnoteText"/>
      </w:pPr>
      <w:r>
        <w:rPr>
          <w:rStyle w:val="FootnoteReference"/>
        </w:rPr>
        <w:footnoteRef/>
      </w:r>
      <w:r>
        <w:t xml:space="preserve"> William O. Douglas, </w:t>
      </w:r>
      <w:r w:rsidRPr="005D1A94">
        <w:rPr>
          <w:i/>
        </w:rPr>
        <w:t>Vagrancy and Arrest on Suspicion</w:t>
      </w:r>
      <w:r>
        <w:t xml:space="preserve">, 70 </w:t>
      </w:r>
      <w:r w:rsidRPr="005D1A94">
        <w:rPr>
          <w:smallCaps/>
        </w:rPr>
        <w:t>Yale L.J.</w:t>
      </w:r>
      <w:r>
        <w:t xml:space="preserve"> 1, 13 (1960).  </w:t>
      </w:r>
      <w:r w:rsidRPr="00B4184C">
        <w:rPr>
          <w:i/>
        </w:rPr>
        <w:t>See, e.g.,</w:t>
      </w:r>
      <w:r>
        <w:t xml:space="preserve"> Chambers v. Florida, 309 U.S. 227, 238 (1940)</w:t>
      </w:r>
      <w:r w:rsidRPr="00823E86">
        <w:t xml:space="preserve"> </w:t>
      </w:r>
      <w:r>
        <w:t>(describing “the drag net methods of arrest on suspicion without warrant” where dozens of young African American men were taken into custody and interrogated based on a crime committed by one unknown person).</w:t>
      </w:r>
    </w:p>
  </w:footnote>
  <w:footnote w:id="234">
    <w:p w14:paraId="124C5616" w14:textId="7830AD92" w:rsidR="00501D78" w:rsidRDefault="00501D78" w:rsidP="00835896">
      <w:pPr>
        <w:pStyle w:val="FootnoteText"/>
      </w:pPr>
      <w:r>
        <w:rPr>
          <w:rStyle w:val="FootnoteReference"/>
        </w:rPr>
        <w:footnoteRef/>
      </w:r>
      <w:r>
        <w:t xml:space="preserve"> </w:t>
      </w:r>
      <w:r w:rsidRPr="00A770A9">
        <w:rPr>
          <w:i/>
        </w:rPr>
        <w:t>See, e.g.,</w:t>
      </w:r>
      <w:r>
        <w:t xml:space="preserve"> </w:t>
      </w:r>
      <w:r w:rsidRPr="00A770A9">
        <w:rPr>
          <w:i/>
        </w:rPr>
        <w:t>Chinese Woman Allowed to Go</w:t>
      </w:r>
      <w:r>
        <w:t xml:space="preserve">, </w:t>
      </w:r>
      <w:r w:rsidRPr="00A770A9">
        <w:rPr>
          <w:smallCaps/>
        </w:rPr>
        <w:t>Ogden Standard</w:t>
      </w:r>
      <w:r>
        <w:t xml:space="preserve"> (Utah), July 17, 1917, at 7 (reporting that Chinese woman was acquitted of vagrancy after an arrest for visiting the Alhambra Café at 2:00 a.m. and then going to the room of a male “childhood friend” along with another Chinese man).</w:t>
      </w:r>
    </w:p>
  </w:footnote>
  <w:footnote w:id="235">
    <w:p w14:paraId="158F5419" w14:textId="77777777" w:rsidR="00501D78" w:rsidRDefault="00501D78" w:rsidP="00835896">
      <w:pPr>
        <w:pStyle w:val="FootnoteText"/>
      </w:pPr>
      <w:r>
        <w:rPr>
          <w:rStyle w:val="FootnoteReference"/>
        </w:rPr>
        <w:footnoteRef/>
      </w:r>
      <w:r>
        <w:t xml:space="preserve"> </w:t>
      </w:r>
      <w:r w:rsidRPr="00937866">
        <w:rPr>
          <w:smallCaps/>
        </w:rPr>
        <w:t>Yale Book of Quotations</w:t>
      </w:r>
      <w:r>
        <w:t xml:space="preserve"> 810 (Fred Shapiro ed. 2006).</w:t>
      </w:r>
    </w:p>
  </w:footnote>
  <w:footnote w:id="236">
    <w:p w14:paraId="0426F099" w14:textId="77777777" w:rsidR="00501D78" w:rsidRDefault="00501D78" w:rsidP="00EB5D3D">
      <w:pPr>
        <w:pStyle w:val="FootnoteText"/>
      </w:pPr>
      <w:r>
        <w:rPr>
          <w:rStyle w:val="FootnoteReference"/>
        </w:rPr>
        <w:footnoteRef/>
      </w:r>
      <w:r>
        <w:t xml:space="preserve"> </w:t>
      </w:r>
      <w:r w:rsidRPr="00266FC5">
        <w:rPr>
          <w:i/>
        </w:rPr>
        <w:t xml:space="preserve">Cf. </w:t>
      </w:r>
      <w:r>
        <w:rPr>
          <w:smallCaps/>
        </w:rPr>
        <w:t>Risa Goluboff, Vagrant N</w:t>
      </w:r>
      <w:r w:rsidRPr="00266FC5">
        <w:rPr>
          <w:smallCaps/>
        </w:rPr>
        <w:t>ation: Police Power, Constitutional Change, and the Making of the 1960s</w:t>
      </w:r>
      <w:r>
        <w:t xml:space="preserve"> (2016) (discussing police authority, and its curtailment, in the mid-20</w:t>
      </w:r>
      <w:r w:rsidRPr="00266FC5">
        <w:rPr>
          <w:vertAlign w:val="superscript"/>
        </w:rPr>
        <w:t>th</w:t>
      </w:r>
      <w:r>
        <w:t xml:space="preserve"> century).</w:t>
      </w:r>
    </w:p>
  </w:footnote>
  <w:footnote w:id="237">
    <w:p w14:paraId="41B72A0D" w14:textId="7075092E" w:rsidR="00501D78" w:rsidRPr="00E343EA" w:rsidRDefault="00501D78" w:rsidP="000C7719">
      <w:pPr>
        <w:pStyle w:val="FootnoteText"/>
      </w:pPr>
      <w:r w:rsidRPr="00E343EA">
        <w:rPr>
          <w:rStyle w:val="FootnoteReference"/>
        </w:rPr>
        <w:footnoteRef/>
      </w:r>
      <w:r w:rsidRPr="00E343EA">
        <w:t xml:space="preserve"> For older </w:t>
      </w:r>
      <w:r>
        <w:t xml:space="preserve">non-citizen </w:t>
      </w:r>
      <w:r w:rsidRPr="00E343EA">
        <w:t xml:space="preserve">licensing cases, see G. V. I., </w:t>
      </w:r>
      <w:r w:rsidRPr="00E343EA">
        <w:rPr>
          <w:i/>
        </w:rPr>
        <w:t>Constitutionality Of Discrimination Against Aliens In Legislation Relating To Licenses</w:t>
      </w:r>
      <w:r w:rsidRPr="00E343EA">
        <w:t>, 39 A.L.R. 346 (1925).</w:t>
      </w:r>
    </w:p>
  </w:footnote>
  <w:footnote w:id="238">
    <w:p w14:paraId="2AD51023" w14:textId="77777777" w:rsidR="00501D78" w:rsidRPr="00E343EA" w:rsidRDefault="00501D78" w:rsidP="000C7719">
      <w:pPr>
        <w:pStyle w:val="FootnoteText"/>
      </w:pPr>
      <w:r w:rsidRPr="00E343EA">
        <w:rPr>
          <w:rStyle w:val="FootnoteReference"/>
        </w:rPr>
        <w:footnoteRef/>
      </w:r>
      <w:r w:rsidRPr="00E343EA">
        <w:t xml:space="preserve"> </w:t>
      </w:r>
      <w:r w:rsidRPr="00E343EA">
        <w:rPr>
          <w:i/>
        </w:rPr>
        <w:t>Licenses of Chinese Taken</w:t>
      </w:r>
      <w:r w:rsidRPr="00E343EA">
        <w:t xml:space="preserve">, </w:t>
      </w:r>
      <w:r w:rsidRPr="00E343EA">
        <w:rPr>
          <w:smallCaps/>
        </w:rPr>
        <w:t xml:space="preserve">Morning Oregonian, </w:t>
      </w:r>
      <w:r w:rsidRPr="00E343EA">
        <w:t>Dec. 22, 1911, at 18.</w:t>
      </w:r>
    </w:p>
  </w:footnote>
  <w:footnote w:id="239">
    <w:p w14:paraId="4AD8D945" w14:textId="77777777" w:rsidR="00501D78" w:rsidRPr="00E343EA" w:rsidRDefault="00501D78" w:rsidP="000C7719">
      <w:pPr>
        <w:pStyle w:val="FootnoteText"/>
      </w:pPr>
      <w:r w:rsidRPr="00E343EA">
        <w:rPr>
          <w:rStyle w:val="FootnoteReference"/>
        </w:rPr>
        <w:footnoteRef/>
      </w:r>
      <w:r w:rsidRPr="00E343EA">
        <w:t xml:space="preserve"> </w:t>
      </w:r>
      <w:r w:rsidRPr="00E343EA">
        <w:rPr>
          <w:i/>
        </w:rPr>
        <w:t>See Chinese Places Fought</w:t>
      </w:r>
      <w:r w:rsidRPr="00E343EA">
        <w:t>,</w:t>
      </w:r>
      <w:r w:rsidRPr="00E343EA">
        <w:rPr>
          <w:smallCaps/>
        </w:rPr>
        <w:t xml:space="preserve"> Morning Oregonian, </w:t>
      </w:r>
      <w:r w:rsidRPr="00E343EA">
        <w:t>Jan. 20, 1912, at 7;</w:t>
      </w:r>
      <w:r w:rsidRPr="00E343EA">
        <w:rPr>
          <w:rStyle w:val="FootnoteReference"/>
        </w:rPr>
        <w:t xml:space="preserve"> </w:t>
      </w:r>
      <w:r w:rsidRPr="00E343EA">
        <w:rPr>
          <w:i/>
        </w:rPr>
        <w:t>Licenses to Be Given</w:t>
      </w:r>
      <w:r w:rsidRPr="00E343EA">
        <w:t xml:space="preserve">, </w:t>
      </w:r>
      <w:r w:rsidRPr="00E343EA">
        <w:rPr>
          <w:smallCaps/>
        </w:rPr>
        <w:t xml:space="preserve">Morning Oregonian, </w:t>
      </w:r>
      <w:r w:rsidRPr="00E343EA">
        <w:t>Jan. 11, 1910, at 16 (stating that the Pekin</w:t>
      </w:r>
      <w:r>
        <w:t>’</w:t>
      </w:r>
      <w:r w:rsidRPr="00E343EA">
        <w:t xml:space="preserve">s lawyer said it was owned by whites). </w:t>
      </w:r>
    </w:p>
  </w:footnote>
  <w:footnote w:id="240">
    <w:p w14:paraId="7C13FBA3" w14:textId="092A9347" w:rsidR="00501D78" w:rsidRPr="00E343EA" w:rsidRDefault="00501D78" w:rsidP="000C7719">
      <w:pPr>
        <w:pStyle w:val="FootnoteText"/>
      </w:pPr>
      <w:r w:rsidRPr="00E343EA">
        <w:rPr>
          <w:rStyle w:val="FootnoteReference"/>
        </w:rPr>
        <w:footnoteRef/>
      </w:r>
      <w:r w:rsidRPr="00E343EA">
        <w:t xml:space="preserve"> </w:t>
      </w:r>
      <w:r w:rsidRPr="00E343EA">
        <w:rPr>
          <w:i/>
        </w:rPr>
        <w:t>Law Will Check Chinese</w:t>
      </w:r>
      <w:r w:rsidRPr="00E343EA">
        <w:t xml:space="preserve">, </w:t>
      </w:r>
      <w:r>
        <w:rPr>
          <w:smallCaps/>
        </w:rPr>
        <w:t>Chi.</w:t>
      </w:r>
      <w:r w:rsidRPr="00E343EA">
        <w:rPr>
          <w:smallCaps/>
        </w:rPr>
        <w:t xml:space="preserve"> Daily Trib.,</w:t>
      </w:r>
      <w:r w:rsidRPr="00E343EA">
        <w:t xml:space="preserve"> Apr. 28, 1906, at 5.</w:t>
      </w:r>
    </w:p>
  </w:footnote>
  <w:footnote w:id="241">
    <w:p w14:paraId="25A998AC" w14:textId="77777777" w:rsidR="00501D78" w:rsidRPr="00E343EA" w:rsidRDefault="00501D78" w:rsidP="000C7719">
      <w:pPr>
        <w:pStyle w:val="FootnoteText"/>
      </w:pPr>
      <w:r w:rsidRPr="00E343EA">
        <w:rPr>
          <w:rStyle w:val="FootnoteReference"/>
        </w:rPr>
        <w:footnoteRef/>
      </w:r>
      <w:r w:rsidRPr="00E343EA">
        <w:t xml:space="preserve"> </w:t>
      </w:r>
      <w:r>
        <w:rPr>
          <w:smallCaps/>
        </w:rPr>
        <w:t>Proceedings of t</w:t>
      </w:r>
      <w:r w:rsidRPr="00BB6445">
        <w:rPr>
          <w:smallCaps/>
        </w:rPr>
        <w:t>he City Council</w:t>
      </w:r>
      <w:r w:rsidRPr="00F52F61">
        <w:rPr>
          <w:smallCaps/>
        </w:rPr>
        <w:t>, Chicago. Illinois Regular Meeting, Mar. 5, 1906</w:t>
      </w:r>
      <w:r>
        <w:t>,</w:t>
      </w:r>
      <w:r w:rsidRPr="00E343EA">
        <w:t xml:space="preserve"> at 2836-37. </w:t>
      </w:r>
      <w:r w:rsidRPr="00BB6445">
        <w:rPr>
          <w:i/>
        </w:rPr>
        <w:t>See also</w:t>
      </w:r>
      <w:r>
        <w:t xml:space="preserve"> </w:t>
      </w:r>
      <w:r>
        <w:rPr>
          <w:smallCaps/>
        </w:rPr>
        <w:t>Proceedings of t</w:t>
      </w:r>
      <w:r w:rsidRPr="00BB6445">
        <w:rPr>
          <w:smallCaps/>
        </w:rPr>
        <w:t>he City Council</w:t>
      </w:r>
      <w:r w:rsidRPr="00F52F61">
        <w:rPr>
          <w:smallCaps/>
        </w:rPr>
        <w:t>, Chicago. Illinois Regular Meeting, Monday, Feb.</w:t>
      </w:r>
      <w:r w:rsidRPr="00E343EA">
        <w:t xml:space="preserve"> 5, 1906</w:t>
      </w:r>
      <w:r>
        <w:t>,</w:t>
      </w:r>
      <w:r w:rsidRPr="00E343EA">
        <w:t xml:space="preserve"> at 2504.</w:t>
      </w:r>
    </w:p>
  </w:footnote>
  <w:footnote w:id="242">
    <w:p w14:paraId="7652CD15" w14:textId="66546D4E" w:rsidR="00501D78" w:rsidRPr="00E343EA" w:rsidRDefault="00501D78" w:rsidP="000C7719">
      <w:pPr>
        <w:pStyle w:val="FootnoteText"/>
        <w:rPr>
          <w:i/>
        </w:rPr>
      </w:pPr>
      <w:r w:rsidRPr="00E343EA">
        <w:rPr>
          <w:rStyle w:val="FootnoteReference"/>
        </w:rPr>
        <w:footnoteRef/>
      </w:r>
      <w:r w:rsidRPr="00E343EA">
        <w:t xml:space="preserve"> </w:t>
      </w:r>
      <w:r w:rsidRPr="00E343EA">
        <w:rPr>
          <w:i/>
        </w:rPr>
        <w:t>Id.</w:t>
      </w:r>
      <w:r w:rsidRPr="00527E4F">
        <w:rPr>
          <w:i/>
        </w:rPr>
        <w:t xml:space="preserve"> Chop Suey for Citizens: Chicago Ordinances May Drive Chinese and Greeks Out of Business, </w:t>
      </w:r>
      <w:r w:rsidRPr="00885A59">
        <w:rPr>
          <w:smallCaps/>
        </w:rPr>
        <w:t>Evening Statesman (</w:t>
      </w:r>
      <w:r w:rsidRPr="000F4134">
        <w:t>Wash</w:t>
      </w:r>
      <w:r w:rsidRPr="00885A59">
        <w:rPr>
          <w:smallCaps/>
        </w:rPr>
        <w:t>.)</w:t>
      </w:r>
      <w:r w:rsidRPr="00885A59">
        <w:t>, May 8, 1906, at 8</w:t>
      </w:r>
      <w:r>
        <w:t xml:space="preserve">. </w:t>
      </w:r>
    </w:p>
  </w:footnote>
  <w:footnote w:id="243">
    <w:p w14:paraId="61928D39" w14:textId="2A377635" w:rsidR="00501D78" w:rsidRDefault="00501D78" w:rsidP="000C7719">
      <w:pPr>
        <w:pStyle w:val="FootnoteText"/>
      </w:pPr>
      <w:r>
        <w:rPr>
          <w:rStyle w:val="FootnoteReference"/>
        </w:rPr>
        <w:footnoteRef/>
      </w:r>
      <w:r>
        <w:t xml:space="preserve"> </w:t>
      </w:r>
      <w:r w:rsidRPr="00F41E09">
        <w:rPr>
          <w:i/>
        </w:rPr>
        <w:t>Chicago Law to Bar Chinese Restaurants</w:t>
      </w:r>
      <w:r w:rsidRPr="00F41E09">
        <w:t xml:space="preserve">, </w:t>
      </w:r>
      <w:r w:rsidRPr="00F41E09">
        <w:rPr>
          <w:smallCaps/>
        </w:rPr>
        <w:t>Bemidji Daily Pioneer (</w:t>
      </w:r>
      <w:r w:rsidRPr="000F4134">
        <w:t>Minn</w:t>
      </w:r>
      <w:r w:rsidRPr="00F41E09">
        <w:rPr>
          <w:smallCaps/>
        </w:rPr>
        <w:t>.)</w:t>
      </w:r>
      <w:r w:rsidRPr="00F41E09">
        <w:t>, Apr. 12, 1918, at 1.</w:t>
      </w:r>
    </w:p>
  </w:footnote>
  <w:footnote w:id="244">
    <w:p w14:paraId="4E40A171" w14:textId="77777777" w:rsidR="00501D78" w:rsidRDefault="00501D78" w:rsidP="000C7719">
      <w:pPr>
        <w:pStyle w:val="FootnoteText"/>
      </w:pPr>
      <w:r>
        <w:rPr>
          <w:rStyle w:val="FootnoteReference"/>
        </w:rPr>
        <w:footnoteRef/>
      </w:r>
      <w:r>
        <w:t xml:space="preserve"> </w:t>
      </w:r>
      <w:r w:rsidRPr="00901164">
        <w:rPr>
          <w:rStyle w:val="stnd1"/>
          <w:rFonts w:ascii="Times New Roman" w:hAnsi="Times New Roman" w:cs="Times New Roman"/>
          <w:bCs/>
          <w:i/>
          <w:iCs/>
        </w:rPr>
        <w:t>The Chicago Municipal Code of 1922</w:t>
      </w:r>
      <w:r w:rsidRPr="00901164">
        <w:rPr>
          <w:rStyle w:val="stnd1"/>
          <w:rFonts w:ascii="Times New Roman" w:hAnsi="Times New Roman" w:cs="Times New Roman"/>
        </w:rPr>
        <w:t xml:space="preserve"> </w:t>
      </w:r>
      <w:r>
        <w:rPr>
          <w:rStyle w:val="stnd1"/>
          <w:rFonts w:ascii="Times New Roman" w:hAnsi="Times New Roman" w:cs="Times New Roman"/>
        </w:rPr>
        <w:t xml:space="preserve">§ 3452 </w:t>
      </w:r>
      <w:r w:rsidRPr="00901164">
        <w:rPr>
          <w:rStyle w:val="stnd1"/>
          <w:rFonts w:ascii="Times New Roman" w:hAnsi="Times New Roman" w:cs="Times New Roman"/>
        </w:rPr>
        <w:t>(Samuel Adams Ettelson, ed.).</w:t>
      </w:r>
    </w:p>
  </w:footnote>
  <w:footnote w:id="245">
    <w:p w14:paraId="207E4ECF" w14:textId="77777777" w:rsidR="00501D78" w:rsidRPr="00E343EA" w:rsidRDefault="00501D78" w:rsidP="000C7719">
      <w:pPr>
        <w:pStyle w:val="FootnoteText"/>
      </w:pPr>
      <w:r w:rsidRPr="00E343EA">
        <w:rPr>
          <w:rStyle w:val="FootnoteReference"/>
        </w:rPr>
        <w:footnoteRef/>
      </w:r>
      <w:r w:rsidRPr="00E343EA">
        <w:t xml:space="preserve"> 26 </w:t>
      </w:r>
      <w:r w:rsidRPr="00E343EA">
        <w:rPr>
          <w:smallCaps/>
        </w:rPr>
        <w:t>Mixer &amp; Server</w:t>
      </w:r>
      <w:r w:rsidRPr="00E343EA">
        <w:t xml:space="preserve"> No. 11, Nov. 15, 1917</w:t>
      </w:r>
      <w:r>
        <w:t>,</w:t>
      </w:r>
      <w:r w:rsidRPr="00E343EA">
        <w:t xml:space="preserve"> at 19.</w:t>
      </w:r>
    </w:p>
  </w:footnote>
  <w:footnote w:id="246">
    <w:p w14:paraId="28A21E1D" w14:textId="2CBEA87F" w:rsidR="00501D78" w:rsidRPr="00E343EA" w:rsidRDefault="00501D78" w:rsidP="000C7719">
      <w:pPr>
        <w:pStyle w:val="FootnoteText"/>
      </w:pPr>
      <w:r w:rsidRPr="00E343EA">
        <w:rPr>
          <w:rStyle w:val="FootnoteReference"/>
        </w:rPr>
        <w:footnoteRef/>
      </w:r>
      <w:r w:rsidRPr="00E343EA">
        <w:t xml:space="preserve"> 139 J</w:t>
      </w:r>
      <w:r w:rsidRPr="00BB6445">
        <w:rPr>
          <w:smallCaps/>
        </w:rPr>
        <w:t>ournal of the House of Representatives of the Commonwealth of Mass</w:t>
      </w:r>
      <w:r>
        <w:rPr>
          <w:smallCaps/>
        </w:rPr>
        <w:t>.</w:t>
      </w:r>
      <w:r w:rsidRPr="00BB6445">
        <w:rPr>
          <w:smallCaps/>
        </w:rPr>
        <w:t xml:space="preserve"> </w:t>
      </w:r>
      <w:r>
        <w:t xml:space="preserve">76 </w:t>
      </w:r>
      <w:r w:rsidRPr="00E343EA">
        <w:t>(1918).</w:t>
      </w:r>
    </w:p>
  </w:footnote>
  <w:footnote w:id="247">
    <w:p w14:paraId="6E69F9E0" w14:textId="77777777" w:rsidR="00501D78" w:rsidRPr="00E343EA" w:rsidRDefault="00501D78" w:rsidP="000C7719">
      <w:pPr>
        <w:pStyle w:val="FootnoteText"/>
      </w:pPr>
      <w:r w:rsidRPr="00E343EA">
        <w:rPr>
          <w:rStyle w:val="FootnoteReference"/>
        </w:rPr>
        <w:footnoteRef/>
      </w:r>
      <w:r w:rsidRPr="00E343EA">
        <w:t xml:space="preserve"> </w:t>
      </w:r>
      <w:r w:rsidRPr="006629A3">
        <w:rPr>
          <w:i/>
        </w:rPr>
        <w:t>Id.</w:t>
      </w:r>
      <w:r>
        <w:t xml:space="preserve"> at 462</w:t>
      </w:r>
      <w:r w:rsidRPr="00E343EA">
        <w:t>.</w:t>
      </w:r>
    </w:p>
  </w:footnote>
  <w:footnote w:id="248">
    <w:p w14:paraId="72A4012E" w14:textId="77777777" w:rsidR="00501D78" w:rsidRPr="00E343EA" w:rsidRDefault="00501D78" w:rsidP="000C7719">
      <w:pPr>
        <w:rPr>
          <w:sz w:val="20"/>
          <w:szCs w:val="20"/>
        </w:rPr>
      </w:pPr>
      <w:r w:rsidRPr="00E343EA">
        <w:rPr>
          <w:rStyle w:val="FootnoteReference"/>
          <w:sz w:val="20"/>
          <w:szCs w:val="20"/>
        </w:rPr>
        <w:footnoteRef/>
      </w:r>
      <w:r w:rsidRPr="00E343EA">
        <w:rPr>
          <w:sz w:val="20"/>
          <w:szCs w:val="20"/>
        </w:rPr>
        <w:t xml:space="preserve"> 27 </w:t>
      </w:r>
      <w:r w:rsidRPr="00E343EA">
        <w:rPr>
          <w:smallCaps/>
          <w:sz w:val="20"/>
          <w:szCs w:val="20"/>
        </w:rPr>
        <w:t>Mixer &amp; Server</w:t>
      </w:r>
      <w:r w:rsidRPr="00E343EA">
        <w:rPr>
          <w:sz w:val="20"/>
          <w:szCs w:val="20"/>
        </w:rPr>
        <w:t xml:space="preserve"> No. 4, Apr. 15, 1918 at 59.</w:t>
      </w:r>
    </w:p>
  </w:footnote>
  <w:footnote w:id="249">
    <w:p w14:paraId="18CE36D4" w14:textId="77777777" w:rsidR="00501D78" w:rsidRDefault="00501D78" w:rsidP="000C7719">
      <w:pPr>
        <w:pStyle w:val="FootnoteText"/>
      </w:pPr>
      <w:r>
        <w:rPr>
          <w:rStyle w:val="FootnoteReference"/>
        </w:rPr>
        <w:footnoteRef/>
      </w:r>
      <w:r>
        <w:t xml:space="preserve"> People v. Quong On Long, 6 P. Coast L.J. 116, 117 (Cal. Super. Ct. 1880).</w:t>
      </w:r>
    </w:p>
  </w:footnote>
  <w:footnote w:id="250">
    <w:p w14:paraId="04E493D4" w14:textId="2435B351" w:rsidR="00501D78" w:rsidRDefault="00501D78">
      <w:pPr>
        <w:pStyle w:val="FootnoteText"/>
      </w:pPr>
      <w:r>
        <w:rPr>
          <w:rStyle w:val="FootnoteReference"/>
        </w:rPr>
        <w:footnoteRef/>
      </w:r>
      <w:r>
        <w:t xml:space="preserve"> </w:t>
      </w:r>
      <w:r w:rsidRPr="00E343EA">
        <w:t>Asakura v. City of Seattle, 265 U.S. 332, 340 (1924).</w:t>
      </w:r>
      <w:r w:rsidRPr="00F7491A">
        <w:t xml:space="preserve"> </w:t>
      </w:r>
      <w:r w:rsidRPr="00F7491A">
        <w:rPr>
          <w:i/>
        </w:rPr>
        <w:t>See also</w:t>
      </w:r>
      <w:r>
        <w:t xml:space="preserve"> Poon v. Miller, 234 S.W. 573, 576 (Tex. Civ. App. 1921) (Chinese person entitled to license to sell fish; citizenship requirement void).</w:t>
      </w:r>
    </w:p>
  </w:footnote>
  <w:footnote w:id="251">
    <w:p w14:paraId="3A1A12E5" w14:textId="6C283C8F" w:rsidR="00501D78" w:rsidRPr="00E343EA" w:rsidRDefault="00501D78" w:rsidP="000C7719">
      <w:pPr>
        <w:pStyle w:val="FootnoteText"/>
      </w:pPr>
      <w:r w:rsidRPr="00E343EA">
        <w:rPr>
          <w:rStyle w:val="FootnoteReference"/>
        </w:rPr>
        <w:footnoteRef/>
      </w:r>
      <w:r w:rsidRPr="00E343EA">
        <w:t xml:space="preserve"> Raich v. Truax, 219 F. 273, 275 (D. Ariz.), </w:t>
      </w:r>
      <w:r w:rsidRPr="00E343EA">
        <w:rPr>
          <w:i/>
        </w:rPr>
        <w:t>aff</w:t>
      </w:r>
      <w:r>
        <w:rPr>
          <w:i/>
        </w:rPr>
        <w:t>’</w:t>
      </w:r>
      <w:r w:rsidRPr="00E343EA">
        <w:rPr>
          <w:i/>
        </w:rPr>
        <w:t>d</w:t>
      </w:r>
      <w:r w:rsidRPr="00E343EA">
        <w:t>, 239 U.S. 33 (1915).</w:t>
      </w:r>
    </w:p>
  </w:footnote>
  <w:footnote w:id="252">
    <w:p w14:paraId="1553B7A8" w14:textId="77777777" w:rsidR="00501D78" w:rsidRPr="00E343EA" w:rsidRDefault="00501D78" w:rsidP="000C7719">
      <w:pPr>
        <w:pStyle w:val="FootnoteText"/>
      </w:pPr>
      <w:r w:rsidRPr="00E343EA">
        <w:rPr>
          <w:rStyle w:val="FootnoteReference"/>
        </w:rPr>
        <w:footnoteRef/>
      </w:r>
      <w:r w:rsidRPr="00E343EA">
        <w:t xml:space="preserve"> </w:t>
      </w:r>
      <w:r w:rsidRPr="00E343EA">
        <w:rPr>
          <w:i/>
        </w:rPr>
        <w:t>See New Tong Murders; 500 Chinese Seized</w:t>
      </w:r>
      <w:r w:rsidRPr="00E343EA">
        <w:t xml:space="preserve">, </w:t>
      </w:r>
      <w:r w:rsidRPr="00E343EA">
        <w:rPr>
          <w:smallCaps/>
        </w:rPr>
        <w:t xml:space="preserve">N.Y. Times, </w:t>
      </w:r>
      <w:r w:rsidRPr="00E343EA">
        <w:t xml:space="preserve">Sep. 19, 1925, at 1 (stating that deportations </w:t>
      </w:r>
      <w:r>
        <w:t>“</w:t>
      </w:r>
      <w:r w:rsidRPr="00E343EA">
        <w:t>would cripple their businesses, as a shortage of Chinese cheap labor could not be filled with white help.</w:t>
      </w:r>
      <w:r>
        <w:t>”</w:t>
      </w:r>
      <w:r w:rsidRPr="00E343EA">
        <w:t>).</w:t>
      </w:r>
    </w:p>
  </w:footnote>
  <w:footnote w:id="253">
    <w:p w14:paraId="2F44FBDB" w14:textId="77777777" w:rsidR="00501D78" w:rsidRPr="00E343EA" w:rsidRDefault="00501D78" w:rsidP="000C7719">
      <w:pPr>
        <w:rPr>
          <w:sz w:val="20"/>
          <w:szCs w:val="20"/>
        </w:rPr>
      </w:pPr>
      <w:r w:rsidRPr="00E343EA">
        <w:rPr>
          <w:rStyle w:val="FootnoteReference"/>
          <w:sz w:val="20"/>
          <w:szCs w:val="20"/>
        </w:rPr>
        <w:footnoteRef/>
      </w:r>
      <w:r w:rsidRPr="00E343EA">
        <w:rPr>
          <w:sz w:val="20"/>
          <w:szCs w:val="20"/>
        </w:rPr>
        <w:t xml:space="preserve"> 23 </w:t>
      </w:r>
      <w:r w:rsidRPr="00E343EA">
        <w:rPr>
          <w:smallCaps/>
          <w:sz w:val="20"/>
          <w:szCs w:val="20"/>
        </w:rPr>
        <w:t>Mixer &amp; Server</w:t>
      </w:r>
      <w:r w:rsidRPr="00E343EA">
        <w:rPr>
          <w:sz w:val="20"/>
          <w:szCs w:val="20"/>
        </w:rPr>
        <w:t xml:space="preserve"> No. 3, Mar. 15, 1914 at 35.</w:t>
      </w:r>
    </w:p>
  </w:footnote>
  <w:footnote w:id="254">
    <w:p w14:paraId="047EC426" w14:textId="533A3CAA" w:rsidR="00501D78" w:rsidRPr="00E343EA" w:rsidRDefault="00501D78" w:rsidP="000C7719">
      <w:pPr>
        <w:pStyle w:val="FootnoteText"/>
      </w:pPr>
      <w:r w:rsidRPr="00E343EA">
        <w:rPr>
          <w:rStyle w:val="FootnoteReference"/>
        </w:rPr>
        <w:footnoteRef/>
      </w:r>
      <w:r w:rsidRPr="00E343EA">
        <w:t xml:space="preserve"> </w:t>
      </w:r>
      <w:r w:rsidRPr="00696585">
        <w:rPr>
          <w:i/>
        </w:rPr>
        <w:t>Id</w:t>
      </w:r>
      <w:r w:rsidRPr="00E343EA">
        <w:t>.</w:t>
      </w:r>
    </w:p>
  </w:footnote>
  <w:footnote w:id="255">
    <w:p w14:paraId="0E379324" w14:textId="77777777" w:rsidR="00501D78" w:rsidRPr="00E343EA" w:rsidRDefault="00501D78" w:rsidP="000C7719">
      <w:pPr>
        <w:pStyle w:val="FootnoteText"/>
      </w:pPr>
      <w:r w:rsidRPr="00E343EA">
        <w:rPr>
          <w:rStyle w:val="FootnoteReference"/>
        </w:rPr>
        <w:footnoteRef/>
      </w:r>
      <w:r w:rsidRPr="00E343EA">
        <w:t xml:space="preserve"> </w:t>
      </w:r>
      <w:r w:rsidRPr="00E343EA">
        <w:rPr>
          <w:i/>
        </w:rPr>
        <w:t xml:space="preserve">Phoenix Aliens Bring Test Fight Against </w:t>
      </w:r>
      <w:r>
        <w:rPr>
          <w:i/>
        </w:rPr>
        <w:t>“</w:t>
      </w:r>
      <w:r w:rsidRPr="00E343EA">
        <w:rPr>
          <w:i/>
        </w:rPr>
        <w:t>80</w:t>
      </w:r>
      <w:r>
        <w:rPr>
          <w:i/>
        </w:rPr>
        <w:t>”</w:t>
      </w:r>
      <w:r w:rsidRPr="00E343EA">
        <w:rPr>
          <w:i/>
        </w:rPr>
        <w:t xml:space="preserve"> Law: Chinese Restaurant Proprietors Apply for Temporary Injunction Claiming that New Statute violates Treaties</w:t>
      </w:r>
      <w:r w:rsidRPr="00E343EA">
        <w:t xml:space="preserve">, </w:t>
      </w:r>
      <w:r w:rsidRPr="00E343EA">
        <w:rPr>
          <w:smallCaps/>
        </w:rPr>
        <w:t>Bisbee Daily Rev</w:t>
      </w:r>
      <w:r w:rsidRPr="00E343EA">
        <w:t xml:space="preserve">., Jan. 3, 1915, at 3. </w:t>
      </w:r>
    </w:p>
  </w:footnote>
  <w:footnote w:id="256">
    <w:p w14:paraId="05147B70" w14:textId="77777777" w:rsidR="00501D78" w:rsidRPr="00E343EA" w:rsidRDefault="00501D78" w:rsidP="000C7719">
      <w:pPr>
        <w:pStyle w:val="FootnoteText"/>
        <w:rPr>
          <w:i/>
        </w:rPr>
      </w:pPr>
      <w:r w:rsidRPr="00E343EA">
        <w:rPr>
          <w:rStyle w:val="FootnoteReference"/>
        </w:rPr>
        <w:footnoteRef/>
      </w:r>
      <w:r w:rsidRPr="00E343EA">
        <w:t xml:space="preserve"> 23 </w:t>
      </w:r>
      <w:r w:rsidRPr="00E343EA">
        <w:rPr>
          <w:smallCaps/>
        </w:rPr>
        <w:t>Mixer &amp; Server</w:t>
      </w:r>
      <w:r w:rsidRPr="00E343EA">
        <w:t xml:space="preserve"> No. 3, Mar. 15, 1914 at 35.</w:t>
      </w:r>
    </w:p>
  </w:footnote>
  <w:footnote w:id="257">
    <w:p w14:paraId="7DD0235E" w14:textId="15DAB9FF" w:rsidR="00501D78" w:rsidRPr="00E343EA" w:rsidRDefault="00501D78" w:rsidP="000C7719">
      <w:pPr>
        <w:pStyle w:val="FootnoteText"/>
        <w:rPr>
          <w:i/>
        </w:rPr>
      </w:pPr>
      <w:r w:rsidRPr="00E343EA">
        <w:rPr>
          <w:rStyle w:val="FootnoteReference"/>
        </w:rPr>
        <w:footnoteRef/>
      </w:r>
      <w:r w:rsidRPr="00E343EA">
        <w:t xml:space="preserve"> Raich v. Truax, 219 F. 273, 275 (D. Ariz.), </w:t>
      </w:r>
      <w:r w:rsidRPr="00E343EA">
        <w:rPr>
          <w:i/>
        </w:rPr>
        <w:t>aff</w:t>
      </w:r>
      <w:r>
        <w:rPr>
          <w:i/>
        </w:rPr>
        <w:t>’</w:t>
      </w:r>
      <w:r w:rsidRPr="00E343EA">
        <w:rPr>
          <w:i/>
        </w:rPr>
        <w:t>d</w:t>
      </w:r>
      <w:r w:rsidRPr="00E343EA">
        <w:t xml:space="preserve">, 239 U.S. 33 (1915); </w:t>
      </w:r>
      <w:r w:rsidRPr="00E343EA">
        <w:rPr>
          <w:i/>
        </w:rPr>
        <w:t>Arizona</w:t>
      </w:r>
      <w:r>
        <w:rPr>
          <w:i/>
        </w:rPr>
        <w:t>’</w:t>
      </w:r>
      <w:r w:rsidRPr="00E343EA">
        <w:rPr>
          <w:i/>
        </w:rPr>
        <w:t>s New Alien Law Void</w:t>
      </w:r>
      <w:r w:rsidRPr="00E343EA">
        <w:t xml:space="preserve">, </w:t>
      </w:r>
      <w:r w:rsidRPr="00E343EA">
        <w:rPr>
          <w:smallCaps/>
        </w:rPr>
        <w:t xml:space="preserve">El Paso Herald, </w:t>
      </w:r>
      <w:r w:rsidRPr="00E343EA">
        <w:t>Jan. 7, 1915, at 7</w:t>
      </w:r>
    </w:p>
  </w:footnote>
  <w:footnote w:id="258">
    <w:p w14:paraId="34E9C961" w14:textId="77777777" w:rsidR="00501D78" w:rsidRDefault="00501D78" w:rsidP="000C7719">
      <w:pPr>
        <w:pStyle w:val="FootnoteText"/>
      </w:pPr>
      <w:r>
        <w:rPr>
          <w:rStyle w:val="FootnoteReference"/>
        </w:rPr>
        <w:footnoteRef/>
      </w:r>
      <w:r>
        <w:t xml:space="preserve"> </w:t>
      </w:r>
      <w:r w:rsidRPr="00AE5962">
        <w:rPr>
          <w:i/>
        </w:rPr>
        <w:t>Citizens</w:t>
      </w:r>
      <w:r>
        <w:rPr>
          <w:i/>
        </w:rPr>
        <w:t>’</w:t>
      </w:r>
      <w:r w:rsidRPr="00AE5962">
        <w:rPr>
          <w:i/>
        </w:rPr>
        <w:t xml:space="preserve"> Hands Across the Bar: Only American Employees in Saloons, Says Police Commission</w:t>
      </w:r>
      <w:r>
        <w:t xml:space="preserve">, </w:t>
      </w:r>
      <w:r w:rsidRPr="00AE5962">
        <w:rPr>
          <w:smallCaps/>
        </w:rPr>
        <w:t>L.A. Times</w:t>
      </w:r>
      <w:r>
        <w:t>, Aug. 5, 1915, at II-1.</w:t>
      </w:r>
    </w:p>
  </w:footnote>
  <w:footnote w:id="259">
    <w:p w14:paraId="7AE17A82" w14:textId="35289CD2" w:rsidR="00501D78" w:rsidRPr="00E343EA" w:rsidRDefault="00501D78" w:rsidP="005C71F8">
      <w:pPr>
        <w:pStyle w:val="FootnoteText"/>
      </w:pPr>
      <w:r w:rsidRPr="00E343EA">
        <w:rPr>
          <w:rStyle w:val="FootnoteReference"/>
        </w:rPr>
        <w:footnoteRef/>
      </w:r>
      <w:r>
        <w:t xml:space="preserve"> Of course, blanket denial of licenses was not a universal policy. </w:t>
      </w:r>
      <w:r w:rsidRPr="00E343EA">
        <w:t>In Havre, Montana</w:t>
      </w:r>
      <w:r>
        <w:t xml:space="preserve"> in 1905</w:t>
      </w:r>
      <w:r w:rsidRPr="00E343EA">
        <w:t xml:space="preserve">, </w:t>
      </w:r>
      <w:r>
        <w:t xml:space="preserve">unions requested that the city issue no licenses to Chinese; city officials refused </w:t>
      </w:r>
      <w:r w:rsidRPr="00E343EA">
        <w:t xml:space="preserve">for fear of lawsuits. </w:t>
      </w:r>
      <w:r w:rsidRPr="00E343EA">
        <w:rPr>
          <w:i/>
        </w:rPr>
        <w:t>From the Standpoint of the Optimist</w:t>
      </w:r>
      <w:r w:rsidRPr="00E343EA">
        <w:t xml:space="preserve">, </w:t>
      </w:r>
      <w:r>
        <w:rPr>
          <w:smallCaps/>
        </w:rPr>
        <w:t>Havre Herald (</w:t>
      </w:r>
      <w:r w:rsidRPr="00696585">
        <w:t>Mont.</w:t>
      </w:r>
      <w:r w:rsidRPr="00E343EA">
        <w:rPr>
          <w:smallCaps/>
        </w:rPr>
        <w:t>)</w:t>
      </w:r>
      <w:r w:rsidRPr="00E343EA">
        <w:t>, May 12, 1905, at 1.</w:t>
      </w:r>
    </w:p>
  </w:footnote>
  <w:footnote w:id="260">
    <w:p w14:paraId="7F17FA26" w14:textId="7A599707" w:rsidR="00501D78" w:rsidRPr="00E343EA" w:rsidRDefault="00501D78" w:rsidP="00353174">
      <w:pPr>
        <w:pStyle w:val="FootnoteText"/>
      </w:pPr>
      <w:r w:rsidRPr="00E343EA">
        <w:rPr>
          <w:rStyle w:val="FootnoteReference"/>
        </w:rPr>
        <w:footnoteRef/>
      </w:r>
      <w:r w:rsidRPr="00E343EA">
        <w:t xml:space="preserve"> Opinion of Dec. 6, 1911, in 4 </w:t>
      </w:r>
      <w:r w:rsidRPr="00E343EA">
        <w:rPr>
          <w:smallCaps/>
        </w:rPr>
        <w:t>Opinions of the [Chicago] Corporation Counsel and Assistants, from April 1, 1911-December 31, 1912</w:t>
      </w:r>
      <w:r w:rsidRPr="00E343EA">
        <w:t xml:space="preserve"> 486 (1914).</w:t>
      </w:r>
    </w:p>
  </w:footnote>
  <w:footnote w:id="261">
    <w:p w14:paraId="55E483B5" w14:textId="77777777" w:rsidR="00501D78" w:rsidRPr="00E343EA" w:rsidRDefault="00501D78" w:rsidP="00353174">
      <w:pPr>
        <w:pStyle w:val="FootnoteText"/>
      </w:pPr>
      <w:r w:rsidRPr="00E343EA">
        <w:rPr>
          <w:rStyle w:val="FootnoteReference"/>
        </w:rPr>
        <w:footnoteRef/>
      </w:r>
      <w:r w:rsidRPr="00E343EA">
        <w:t xml:space="preserve"> </w:t>
      </w:r>
      <w:r w:rsidRPr="00F52F61">
        <w:rPr>
          <w:smallCaps/>
        </w:rPr>
        <w:t>J. Procs. of the City Council of the City of Chicago for the Council Year</w:t>
      </w:r>
      <w:r w:rsidRPr="00E343EA">
        <w:t xml:space="preserve"> 1911-1912, 2035-36 (Dec. 18, 1911).</w:t>
      </w:r>
    </w:p>
  </w:footnote>
  <w:footnote w:id="262">
    <w:p w14:paraId="356DD373" w14:textId="77777777" w:rsidR="00501D78" w:rsidRPr="00E343EA" w:rsidRDefault="00501D78" w:rsidP="00CB11B7">
      <w:pPr>
        <w:rPr>
          <w:sz w:val="20"/>
          <w:szCs w:val="20"/>
        </w:rPr>
      </w:pPr>
      <w:r w:rsidRPr="00E343EA">
        <w:rPr>
          <w:rStyle w:val="FootnoteReference"/>
          <w:sz w:val="20"/>
          <w:szCs w:val="20"/>
        </w:rPr>
        <w:footnoteRef/>
      </w:r>
      <w:r w:rsidRPr="00E343EA">
        <w:rPr>
          <w:sz w:val="20"/>
          <w:szCs w:val="20"/>
        </w:rPr>
        <w:t xml:space="preserve"> 23 </w:t>
      </w:r>
      <w:r w:rsidRPr="00E343EA">
        <w:rPr>
          <w:smallCaps/>
          <w:sz w:val="20"/>
          <w:szCs w:val="20"/>
        </w:rPr>
        <w:t>Mixer &amp; Server</w:t>
      </w:r>
      <w:r w:rsidRPr="00E343EA">
        <w:rPr>
          <w:sz w:val="20"/>
          <w:szCs w:val="20"/>
        </w:rPr>
        <w:t xml:space="preserve"> No. 7, July 15, 1914</w:t>
      </w:r>
      <w:r>
        <w:rPr>
          <w:sz w:val="20"/>
          <w:szCs w:val="20"/>
        </w:rPr>
        <w:t>,</w:t>
      </w:r>
      <w:r w:rsidRPr="00E343EA">
        <w:rPr>
          <w:sz w:val="20"/>
          <w:szCs w:val="20"/>
        </w:rPr>
        <w:t xml:space="preserve"> at 71-72.</w:t>
      </w:r>
    </w:p>
  </w:footnote>
  <w:footnote w:id="263">
    <w:p w14:paraId="22F35907" w14:textId="234E26EA" w:rsidR="00501D78" w:rsidRPr="00E343EA" w:rsidRDefault="00501D78" w:rsidP="00CB11B7">
      <w:pPr>
        <w:rPr>
          <w:sz w:val="20"/>
          <w:szCs w:val="20"/>
        </w:rPr>
      </w:pPr>
      <w:r w:rsidRPr="00E343EA">
        <w:rPr>
          <w:rStyle w:val="FootnoteReference"/>
          <w:sz w:val="20"/>
          <w:szCs w:val="20"/>
        </w:rPr>
        <w:footnoteRef/>
      </w:r>
      <w:r w:rsidRPr="00E343EA">
        <w:rPr>
          <w:sz w:val="20"/>
          <w:szCs w:val="20"/>
        </w:rPr>
        <w:t xml:space="preserve"> 24 </w:t>
      </w:r>
      <w:r w:rsidRPr="00E343EA">
        <w:rPr>
          <w:smallCaps/>
          <w:sz w:val="20"/>
          <w:szCs w:val="20"/>
        </w:rPr>
        <w:t>Mixer &amp; Server</w:t>
      </w:r>
      <w:r w:rsidRPr="00E343EA">
        <w:rPr>
          <w:sz w:val="20"/>
          <w:szCs w:val="20"/>
        </w:rPr>
        <w:t xml:space="preserve"> No. 7, July 15, 1915</w:t>
      </w:r>
      <w:r>
        <w:rPr>
          <w:sz w:val="20"/>
          <w:szCs w:val="20"/>
        </w:rPr>
        <w:t>,</w:t>
      </w:r>
      <w:r w:rsidRPr="00E343EA">
        <w:rPr>
          <w:sz w:val="20"/>
          <w:szCs w:val="20"/>
        </w:rPr>
        <w:t xml:space="preserve"> at 44</w:t>
      </w:r>
      <w:r>
        <w:rPr>
          <w:sz w:val="20"/>
          <w:szCs w:val="20"/>
        </w:rPr>
        <w:t>;</w:t>
      </w:r>
      <w:r w:rsidRPr="008D17D4">
        <w:rPr>
          <w:sz w:val="20"/>
          <w:szCs w:val="20"/>
        </w:rPr>
        <w:t xml:space="preserve"> </w:t>
      </w:r>
      <w:r w:rsidRPr="00E343EA">
        <w:rPr>
          <w:sz w:val="20"/>
          <w:szCs w:val="20"/>
        </w:rPr>
        <w:t xml:space="preserve">24 </w:t>
      </w:r>
      <w:r w:rsidRPr="00E343EA">
        <w:rPr>
          <w:smallCaps/>
          <w:sz w:val="20"/>
          <w:szCs w:val="20"/>
        </w:rPr>
        <w:t>Mixer &amp; Server</w:t>
      </w:r>
      <w:r w:rsidRPr="00E343EA">
        <w:rPr>
          <w:sz w:val="20"/>
          <w:szCs w:val="20"/>
        </w:rPr>
        <w:t xml:space="preserve"> No. 9, Sept. 15, 1915</w:t>
      </w:r>
      <w:r>
        <w:rPr>
          <w:sz w:val="20"/>
          <w:szCs w:val="20"/>
        </w:rPr>
        <w:t>,</w:t>
      </w:r>
      <w:r w:rsidRPr="00E343EA">
        <w:rPr>
          <w:sz w:val="20"/>
          <w:szCs w:val="20"/>
        </w:rPr>
        <w:t xml:space="preserve"> at 28.</w:t>
      </w:r>
    </w:p>
  </w:footnote>
  <w:footnote w:id="264">
    <w:p w14:paraId="7F5438CE" w14:textId="77777777" w:rsidR="00501D78" w:rsidRPr="00E343EA" w:rsidRDefault="00501D78" w:rsidP="00CB11B7">
      <w:r w:rsidRPr="00E343EA">
        <w:rPr>
          <w:rStyle w:val="FootnoteReference"/>
          <w:sz w:val="20"/>
          <w:szCs w:val="20"/>
        </w:rPr>
        <w:footnoteRef/>
      </w:r>
      <w:r w:rsidRPr="00E343EA">
        <w:rPr>
          <w:sz w:val="20"/>
          <w:szCs w:val="20"/>
        </w:rPr>
        <w:t xml:space="preserve"> 23 </w:t>
      </w:r>
      <w:r w:rsidRPr="00E343EA">
        <w:rPr>
          <w:smallCaps/>
          <w:sz w:val="20"/>
          <w:szCs w:val="20"/>
        </w:rPr>
        <w:t>Am. Federationist</w:t>
      </w:r>
      <w:r w:rsidRPr="00E343EA">
        <w:rPr>
          <w:sz w:val="20"/>
          <w:szCs w:val="20"/>
        </w:rPr>
        <w:t xml:space="preserve"> 617 (1915).</w:t>
      </w:r>
    </w:p>
  </w:footnote>
  <w:footnote w:id="265">
    <w:p w14:paraId="0BAEFB57" w14:textId="6308FC14" w:rsidR="00501D78" w:rsidRPr="00E343EA" w:rsidRDefault="00501D78" w:rsidP="00DB0C61">
      <w:pPr>
        <w:pStyle w:val="FootnoteText"/>
      </w:pPr>
      <w:r w:rsidRPr="00E343EA">
        <w:rPr>
          <w:rStyle w:val="FootnoteReference"/>
        </w:rPr>
        <w:footnoteRef/>
      </w:r>
      <w:r w:rsidRPr="00E343EA">
        <w:t xml:space="preserve"> </w:t>
      </w:r>
      <w:r w:rsidRPr="00E343EA">
        <w:rPr>
          <w:i/>
        </w:rPr>
        <w:t>Licenses to Chinese</w:t>
      </w:r>
      <w:r w:rsidRPr="00E343EA">
        <w:t xml:space="preserve">, </w:t>
      </w:r>
      <w:r>
        <w:rPr>
          <w:smallCaps/>
        </w:rPr>
        <w:t>Bos.</w:t>
      </w:r>
      <w:r w:rsidRPr="00E343EA">
        <w:rPr>
          <w:smallCaps/>
        </w:rPr>
        <w:t xml:space="preserve"> Daily Globe, </w:t>
      </w:r>
      <w:r w:rsidRPr="00E343EA">
        <w:t>Apr. 22, 1913, at 9.</w:t>
      </w:r>
    </w:p>
  </w:footnote>
  <w:footnote w:id="266">
    <w:p w14:paraId="0356D194" w14:textId="32F76AA9" w:rsidR="00501D78" w:rsidRPr="00E343EA" w:rsidRDefault="00501D78" w:rsidP="00B06E49">
      <w:pPr>
        <w:pStyle w:val="FootnoteText"/>
      </w:pPr>
      <w:r w:rsidRPr="00E343EA">
        <w:rPr>
          <w:rStyle w:val="FootnoteReference"/>
        </w:rPr>
        <w:footnoteRef/>
      </w:r>
      <w:r w:rsidRPr="00E343EA">
        <w:t xml:space="preserve"> Chinese Club, 1 Pa. D. 84 (Ct. Com. Pleas, Allegheny Co. 1891).</w:t>
      </w:r>
      <w:r>
        <w:t xml:space="preserve"> </w:t>
      </w:r>
      <w:r w:rsidRPr="00AE334F">
        <w:rPr>
          <w:i/>
        </w:rPr>
        <w:t>See also, e.g.,</w:t>
      </w:r>
      <w:r>
        <w:t xml:space="preserve"> </w:t>
      </w:r>
      <w:r w:rsidRPr="00AE334F">
        <w:rPr>
          <w:i/>
        </w:rPr>
        <w:t>Legal News</w:t>
      </w:r>
      <w:r>
        <w:t xml:space="preserve">, </w:t>
      </w:r>
      <w:r w:rsidRPr="00AE334F">
        <w:rPr>
          <w:smallCaps/>
        </w:rPr>
        <w:t>Butler Citizen (</w:t>
      </w:r>
      <w:r w:rsidRPr="00D27793">
        <w:t>Pa</w:t>
      </w:r>
      <w:r w:rsidRPr="00AE334F">
        <w:rPr>
          <w:smallCaps/>
        </w:rPr>
        <w:t>.)</w:t>
      </w:r>
      <w:r>
        <w:t>, Apr. 17, 1902, at 3 (noting that saloon-owner “was refused [a license], and it is thought that the refusal is occasioned by the fact that [he] rents a portion of the building he occupies for a Chinese restaurant.”).</w:t>
      </w:r>
    </w:p>
  </w:footnote>
  <w:footnote w:id="267">
    <w:p w14:paraId="34B2C4A7" w14:textId="50D713FA" w:rsidR="00501D78" w:rsidRPr="00E343EA" w:rsidRDefault="00501D78" w:rsidP="00B06E49">
      <w:pPr>
        <w:pStyle w:val="FootnoteText"/>
      </w:pPr>
      <w:r w:rsidRPr="00E343EA">
        <w:rPr>
          <w:rStyle w:val="FootnoteReference"/>
        </w:rPr>
        <w:footnoteRef/>
      </w:r>
      <w:r w:rsidRPr="00E343EA">
        <w:t xml:space="preserve"> Hudson Royal Rest</w:t>
      </w:r>
      <w:r>
        <w:t>.</w:t>
      </w:r>
      <w:r w:rsidRPr="00E343EA">
        <w:t xml:space="preserve"> v. Mayor </w:t>
      </w:r>
      <w:r>
        <w:t>&amp;</w:t>
      </w:r>
      <w:r w:rsidRPr="00E343EA">
        <w:t xml:space="preserve"> Aldermen of Jersey City, 160 A. 218 (N.J. 1932) (per curiam).</w:t>
      </w:r>
    </w:p>
  </w:footnote>
  <w:footnote w:id="268">
    <w:p w14:paraId="71F512D9" w14:textId="29653DDF" w:rsidR="00501D78" w:rsidRDefault="00501D78" w:rsidP="005C71F8">
      <w:pPr>
        <w:pStyle w:val="FootnoteText"/>
      </w:pPr>
      <w:r>
        <w:rPr>
          <w:rStyle w:val="FootnoteReference"/>
        </w:rPr>
        <w:footnoteRef/>
      </w:r>
      <w:r>
        <w:t xml:space="preserve"> </w:t>
      </w:r>
      <w:r w:rsidRPr="00A6159B">
        <w:t>Commonwealth v. Wallace Y. Hong, 158 N.E. 759, 759 (Mass. 1927) (</w:t>
      </w:r>
      <w:r>
        <w:t>upholding conviction for allowing underage actress to perform in Chinese restaurant</w:t>
      </w:r>
      <w:r w:rsidRPr="00A6159B">
        <w:t>)</w:t>
      </w:r>
      <w:r>
        <w:t xml:space="preserve">; </w:t>
      </w:r>
      <w:r w:rsidRPr="005C71F8">
        <w:t>Chung Mee Rest</w:t>
      </w:r>
      <w:r>
        <w:t>.</w:t>
      </w:r>
      <w:r w:rsidRPr="005C71F8">
        <w:t xml:space="preserve"> Co. v. Healy</w:t>
      </w:r>
      <w:r w:rsidRPr="00AD652D">
        <w:t>,</w:t>
      </w:r>
      <w:r>
        <w:t xml:space="preserve"> 171 A. 263</w:t>
      </w:r>
      <w:r w:rsidRPr="00E343EA">
        <w:t xml:space="preserve"> (</w:t>
      </w:r>
      <w:r>
        <w:t xml:space="preserve">N.H. </w:t>
      </w:r>
      <w:r w:rsidRPr="00E343EA">
        <w:t>1934)</w:t>
      </w:r>
      <w:r>
        <w:t xml:space="preserve"> (upholding denial of dance license) (criticized in</w:t>
      </w:r>
      <w:r w:rsidRPr="009D06BC">
        <w:t xml:space="preserve"> </w:t>
      </w:r>
      <w:r w:rsidRPr="00C86B0C">
        <w:t>Counties-Dance Halls, 1934 Ops. Wisc. Atty. Gen. 478, 481</w:t>
      </w:r>
      <w:r>
        <w:t xml:space="preserve">); </w:t>
      </w:r>
      <w:r w:rsidRPr="00A6159B">
        <w:t xml:space="preserve">State </w:t>
      </w:r>
      <w:r w:rsidRPr="00A6159B">
        <w:rPr>
          <w:i/>
        </w:rPr>
        <w:t>ex rel.</w:t>
      </w:r>
      <w:r w:rsidRPr="00A6159B">
        <w:t xml:space="preserve"> Lamey v. Young, 234 P. 248 (Mont. 1925) (upholding clos</w:t>
      </w:r>
      <w:r>
        <w:t>ure</w:t>
      </w:r>
      <w:r w:rsidRPr="00A6159B">
        <w:t xml:space="preserve"> of Chinese restaurant and related premises as a nuisance)</w:t>
      </w:r>
      <w:r>
        <w:t>.</w:t>
      </w:r>
    </w:p>
  </w:footnote>
  <w:footnote w:id="269">
    <w:p w14:paraId="492F02C0"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Police Oppose Liquor in Chop Suey Places</w:t>
      </w:r>
      <w:r w:rsidRPr="00E343EA">
        <w:t xml:space="preserve">, </w:t>
      </w:r>
      <w:r w:rsidRPr="00E343EA">
        <w:rPr>
          <w:smallCaps/>
        </w:rPr>
        <w:t xml:space="preserve">L.A. Herald, </w:t>
      </w:r>
      <w:r w:rsidRPr="00E343EA">
        <w:t>Mar. 6, 1907, at 4.</w:t>
      </w:r>
    </w:p>
  </w:footnote>
  <w:footnote w:id="270">
    <w:p w14:paraId="2B894F8D"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Id.</w:t>
      </w:r>
    </w:p>
  </w:footnote>
  <w:footnote w:id="271">
    <w:p w14:paraId="4DBD98DB"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Id.</w:t>
      </w:r>
    </w:p>
  </w:footnote>
  <w:footnote w:id="272">
    <w:p w14:paraId="7D9DF215" w14:textId="547F8614" w:rsidR="00501D78" w:rsidRPr="00E343EA" w:rsidRDefault="00501D78" w:rsidP="00B06E49">
      <w:r w:rsidRPr="00E343EA">
        <w:rPr>
          <w:rStyle w:val="FootnoteReference"/>
        </w:rPr>
        <w:footnoteRef/>
      </w:r>
      <w:r w:rsidRPr="00E343EA">
        <w:t xml:space="preserve"> </w:t>
      </w:r>
      <w:r w:rsidRPr="00E343EA">
        <w:rPr>
          <w:i/>
          <w:sz w:val="20"/>
          <w:szCs w:val="20"/>
        </w:rPr>
        <w:t xml:space="preserve">Do not Relish </w:t>
      </w:r>
      <w:r>
        <w:rPr>
          <w:i/>
          <w:sz w:val="20"/>
          <w:szCs w:val="20"/>
        </w:rPr>
        <w:t>“</w:t>
      </w:r>
      <w:r w:rsidRPr="00E343EA">
        <w:rPr>
          <w:i/>
          <w:sz w:val="20"/>
          <w:szCs w:val="20"/>
        </w:rPr>
        <w:t>Chop Suey</w:t>
      </w:r>
      <w:r>
        <w:rPr>
          <w:i/>
          <w:sz w:val="20"/>
          <w:szCs w:val="20"/>
        </w:rPr>
        <w:t>”</w:t>
      </w:r>
      <w:r w:rsidRPr="00E343EA">
        <w:rPr>
          <w:i/>
          <w:sz w:val="20"/>
          <w:szCs w:val="20"/>
        </w:rPr>
        <w:t>: Citizens of Palo Alto Oppose Opening of Chinese Restaurant in College Town</w:t>
      </w:r>
      <w:r w:rsidRPr="00E343EA">
        <w:rPr>
          <w:sz w:val="20"/>
          <w:szCs w:val="20"/>
        </w:rPr>
        <w:t xml:space="preserve">, </w:t>
      </w:r>
      <w:r w:rsidRPr="00E343EA">
        <w:rPr>
          <w:smallCaps/>
          <w:sz w:val="20"/>
          <w:szCs w:val="20"/>
        </w:rPr>
        <w:t>S.F. Call</w:t>
      </w:r>
      <w:r w:rsidRPr="00E343EA">
        <w:rPr>
          <w:sz w:val="20"/>
          <w:szCs w:val="20"/>
        </w:rPr>
        <w:t xml:space="preserve">, July 29, 1905, at 6 (describing denial of license to Mok Wo &amp; Co.). </w:t>
      </w:r>
      <w:r w:rsidRPr="00D2302B">
        <w:rPr>
          <w:i/>
          <w:sz w:val="20"/>
          <w:szCs w:val="20"/>
        </w:rPr>
        <w:t xml:space="preserve">See also </w:t>
      </w:r>
      <w:r w:rsidRPr="00E343EA">
        <w:rPr>
          <w:i/>
          <w:sz w:val="20"/>
          <w:szCs w:val="20"/>
        </w:rPr>
        <w:t>Ready to Appeal</w:t>
      </w:r>
      <w:r w:rsidRPr="00E343EA">
        <w:rPr>
          <w:sz w:val="20"/>
          <w:szCs w:val="20"/>
        </w:rPr>
        <w:t xml:space="preserve">, S.F. </w:t>
      </w:r>
      <w:r w:rsidRPr="00E343EA">
        <w:rPr>
          <w:smallCaps/>
          <w:sz w:val="20"/>
          <w:szCs w:val="20"/>
        </w:rPr>
        <w:t>Call</w:t>
      </w:r>
      <w:r w:rsidRPr="00E343EA">
        <w:rPr>
          <w:sz w:val="20"/>
          <w:szCs w:val="20"/>
        </w:rPr>
        <w:t xml:space="preserve">, Oct. 7, 1905, at 6 (noting that </w:t>
      </w:r>
      <w:r>
        <w:rPr>
          <w:sz w:val="20"/>
          <w:szCs w:val="20"/>
        </w:rPr>
        <w:t>“</w:t>
      </w:r>
      <w:r w:rsidRPr="00E343EA">
        <w:rPr>
          <w:sz w:val="20"/>
          <w:szCs w:val="20"/>
        </w:rPr>
        <w:t>[t]he sentiment of the people is strongly against the Chinese.</w:t>
      </w:r>
      <w:r>
        <w:rPr>
          <w:sz w:val="20"/>
          <w:szCs w:val="20"/>
        </w:rPr>
        <w:t xml:space="preserve">”); </w:t>
      </w:r>
      <w:r w:rsidRPr="00D2302B">
        <w:rPr>
          <w:i/>
          <w:sz w:val="20"/>
          <w:szCs w:val="20"/>
        </w:rPr>
        <w:t>Palo Alto is Aroused</w:t>
      </w:r>
      <w:r>
        <w:rPr>
          <w:sz w:val="20"/>
          <w:szCs w:val="20"/>
        </w:rPr>
        <w:t xml:space="preserve">, </w:t>
      </w:r>
      <w:r w:rsidRPr="00D2302B">
        <w:rPr>
          <w:smallCaps/>
          <w:sz w:val="20"/>
          <w:szCs w:val="20"/>
        </w:rPr>
        <w:t>S.F. Call</w:t>
      </w:r>
      <w:r>
        <w:rPr>
          <w:sz w:val="20"/>
          <w:szCs w:val="20"/>
        </w:rPr>
        <w:t>, July 6, 1905, at 6 (“The citizens have never permitted a Chinese business place of any sort to become established in Palo Alto.  This has ordinarily been prevented by peaceful means, but on one occasion both the Chinaman and the landlord were given twenty-four hours to leave town—and they went.”).</w:t>
      </w:r>
      <w:r w:rsidRPr="00E343EA">
        <w:rPr>
          <w:sz w:val="20"/>
          <w:szCs w:val="20"/>
        </w:rPr>
        <w:t xml:space="preserve"> </w:t>
      </w:r>
      <w:r>
        <w:rPr>
          <w:sz w:val="20"/>
          <w:szCs w:val="20"/>
        </w:rPr>
        <w:t xml:space="preserve"> T</w:t>
      </w:r>
      <w:r w:rsidRPr="00E343EA">
        <w:rPr>
          <w:sz w:val="20"/>
          <w:szCs w:val="20"/>
        </w:rPr>
        <w:t xml:space="preserve">he </w:t>
      </w:r>
      <w:r w:rsidRPr="00E343EA">
        <w:rPr>
          <w:i/>
          <w:sz w:val="20"/>
          <w:szCs w:val="20"/>
        </w:rPr>
        <w:t>International Chinese Business Directory of the World</w:t>
      </w:r>
      <w:r w:rsidRPr="00E343EA">
        <w:rPr>
          <w:sz w:val="20"/>
          <w:szCs w:val="20"/>
        </w:rPr>
        <w:t xml:space="preserve"> (Wong Kin Ed., 1913), lists no Chinese businesses of any kind in Palo Alto</w:t>
      </w:r>
      <w:r>
        <w:rPr>
          <w:sz w:val="20"/>
          <w:szCs w:val="20"/>
        </w:rPr>
        <w:t xml:space="preserve"> or Stanford</w:t>
      </w:r>
      <w:r w:rsidRPr="00E343EA">
        <w:rPr>
          <w:sz w:val="20"/>
          <w:szCs w:val="20"/>
        </w:rPr>
        <w:t>.</w:t>
      </w:r>
    </w:p>
  </w:footnote>
  <w:footnote w:id="273">
    <w:p w14:paraId="2F5CF861"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Chinese Sues Pastor for Defamation</w:t>
      </w:r>
      <w:r w:rsidRPr="00E343EA">
        <w:t xml:space="preserve">, </w:t>
      </w:r>
      <w:r w:rsidRPr="00E343EA">
        <w:rPr>
          <w:smallCaps/>
        </w:rPr>
        <w:t xml:space="preserve">St. Louis Post, </w:t>
      </w:r>
      <w:r w:rsidRPr="00E343EA">
        <w:t>Dec. 17, 1911, at 14.</w:t>
      </w:r>
    </w:p>
  </w:footnote>
  <w:footnote w:id="274">
    <w:p w14:paraId="05BE3C82" w14:textId="55F63071" w:rsidR="00501D78" w:rsidRPr="00E343EA" w:rsidRDefault="00501D78" w:rsidP="00B06E49">
      <w:pPr>
        <w:pStyle w:val="FootnoteText"/>
      </w:pPr>
      <w:r w:rsidRPr="00E343EA">
        <w:rPr>
          <w:rStyle w:val="FootnoteReference"/>
        </w:rPr>
        <w:footnoteRef/>
      </w:r>
      <w:r w:rsidRPr="00E343EA">
        <w:t xml:space="preserve"> </w:t>
      </w:r>
      <w:r>
        <w:rPr>
          <w:i/>
        </w:rPr>
        <w:t>Id</w:t>
      </w:r>
      <w:r w:rsidRPr="00E343EA">
        <w:t>.</w:t>
      </w:r>
    </w:p>
  </w:footnote>
  <w:footnote w:id="275">
    <w:p w14:paraId="6E23EA37" w14:textId="0EB2833E" w:rsidR="00501D78" w:rsidRPr="00E343EA" w:rsidRDefault="00501D78" w:rsidP="00B06E49">
      <w:pPr>
        <w:pStyle w:val="FootnoteText"/>
      </w:pPr>
      <w:r w:rsidRPr="00E343EA">
        <w:rPr>
          <w:rStyle w:val="FootnoteReference"/>
        </w:rPr>
        <w:footnoteRef/>
      </w:r>
      <w:r w:rsidRPr="00E343EA">
        <w:t xml:space="preserve"> </w:t>
      </w:r>
      <w:r w:rsidRPr="008132D9">
        <w:rPr>
          <w:i/>
        </w:rPr>
        <w:t xml:space="preserve">Chinaman Loses License: </w:t>
      </w:r>
      <w:r w:rsidRPr="00E343EA">
        <w:rPr>
          <w:i/>
        </w:rPr>
        <w:t xml:space="preserve">Sam Jay Was Unable to </w:t>
      </w:r>
      <w:r>
        <w:rPr>
          <w:i/>
        </w:rPr>
        <w:t>K</w:t>
      </w:r>
      <w:r w:rsidRPr="00E343EA">
        <w:rPr>
          <w:i/>
        </w:rPr>
        <w:t>eep his International Café Orderly</w:t>
      </w:r>
      <w:r w:rsidRPr="00E343EA">
        <w:t xml:space="preserve">, </w:t>
      </w:r>
      <w:r w:rsidRPr="00E343EA">
        <w:rPr>
          <w:smallCaps/>
        </w:rPr>
        <w:t>Minneapolis J</w:t>
      </w:r>
      <w:r w:rsidRPr="00E343EA">
        <w:t>., Feb. 13, 1905, at 6.</w:t>
      </w:r>
    </w:p>
  </w:footnote>
  <w:footnote w:id="276">
    <w:p w14:paraId="16E4DC4E" w14:textId="54B12EEB" w:rsidR="00501D78" w:rsidRDefault="00501D78" w:rsidP="005C71F8">
      <w:r>
        <w:rPr>
          <w:rStyle w:val="FootnoteReference"/>
        </w:rPr>
        <w:footnoteRef/>
      </w:r>
      <w:r>
        <w:t xml:space="preserve"> </w:t>
      </w:r>
      <w:r w:rsidRPr="00C12DCE">
        <w:rPr>
          <w:i/>
          <w:sz w:val="20"/>
          <w:szCs w:val="20"/>
        </w:rPr>
        <w:t>Moline’s Mayor Taboos Chop Suey</w:t>
      </w:r>
      <w:r w:rsidRPr="00C12DCE">
        <w:rPr>
          <w:sz w:val="20"/>
          <w:szCs w:val="20"/>
        </w:rPr>
        <w:t xml:space="preserve">, </w:t>
      </w:r>
      <w:r w:rsidRPr="00C12DCE">
        <w:rPr>
          <w:smallCaps/>
          <w:sz w:val="20"/>
          <w:szCs w:val="20"/>
        </w:rPr>
        <w:t>Rock Is</w:t>
      </w:r>
      <w:r>
        <w:rPr>
          <w:smallCaps/>
          <w:sz w:val="20"/>
          <w:szCs w:val="20"/>
        </w:rPr>
        <w:t>.</w:t>
      </w:r>
      <w:r w:rsidRPr="00C12DCE">
        <w:rPr>
          <w:smallCaps/>
          <w:sz w:val="20"/>
          <w:szCs w:val="20"/>
        </w:rPr>
        <w:t xml:space="preserve"> Argus</w:t>
      </w:r>
      <w:r>
        <w:rPr>
          <w:smallCaps/>
          <w:sz w:val="20"/>
          <w:szCs w:val="20"/>
        </w:rPr>
        <w:t xml:space="preserve"> (</w:t>
      </w:r>
      <w:r w:rsidRPr="00D27793">
        <w:rPr>
          <w:sz w:val="20"/>
          <w:szCs w:val="20"/>
        </w:rPr>
        <w:t>Ill</w:t>
      </w:r>
      <w:r>
        <w:rPr>
          <w:sz w:val="20"/>
          <w:szCs w:val="20"/>
        </w:rPr>
        <w:t>.</w:t>
      </w:r>
      <w:r>
        <w:rPr>
          <w:smallCaps/>
          <w:sz w:val="20"/>
          <w:szCs w:val="20"/>
        </w:rPr>
        <w:t>)</w:t>
      </w:r>
      <w:r w:rsidRPr="00C12DCE">
        <w:rPr>
          <w:smallCaps/>
          <w:sz w:val="20"/>
          <w:szCs w:val="20"/>
        </w:rPr>
        <w:t xml:space="preserve">, </w:t>
      </w:r>
      <w:r w:rsidRPr="00C12DCE">
        <w:rPr>
          <w:sz w:val="20"/>
          <w:szCs w:val="20"/>
        </w:rPr>
        <w:t xml:space="preserve">Jan. 22, 1912, at 10. </w:t>
      </w:r>
      <w:r>
        <w:rPr>
          <w:sz w:val="20"/>
          <w:szCs w:val="20"/>
        </w:rPr>
        <w:t>T</w:t>
      </w:r>
      <w:r w:rsidRPr="00C12DCE">
        <w:rPr>
          <w:sz w:val="20"/>
          <w:szCs w:val="20"/>
        </w:rPr>
        <w:t xml:space="preserve">he “chop suey joint” </w:t>
      </w:r>
      <w:r>
        <w:rPr>
          <w:sz w:val="20"/>
          <w:szCs w:val="20"/>
        </w:rPr>
        <w:t xml:space="preserve">was closed </w:t>
      </w:r>
      <w:r w:rsidRPr="00C12DCE">
        <w:rPr>
          <w:sz w:val="20"/>
          <w:szCs w:val="20"/>
        </w:rPr>
        <w:t>as a public nuisance</w:t>
      </w:r>
      <w:r>
        <w:rPr>
          <w:sz w:val="20"/>
          <w:szCs w:val="20"/>
        </w:rPr>
        <w:t>;</w:t>
      </w:r>
      <w:r w:rsidRPr="00C12DCE">
        <w:rPr>
          <w:sz w:val="20"/>
          <w:szCs w:val="20"/>
        </w:rPr>
        <w:t xml:space="preserve"> </w:t>
      </w:r>
      <w:r>
        <w:rPr>
          <w:sz w:val="20"/>
          <w:szCs w:val="20"/>
        </w:rPr>
        <w:t>t</w:t>
      </w:r>
      <w:r w:rsidRPr="00C12DCE">
        <w:rPr>
          <w:sz w:val="20"/>
          <w:szCs w:val="20"/>
        </w:rPr>
        <w:t xml:space="preserve">he </w:t>
      </w:r>
      <w:r>
        <w:rPr>
          <w:sz w:val="20"/>
          <w:szCs w:val="20"/>
        </w:rPr>
        <w:t xml:space="preserve">attached </w:t>
      </w:r>
      <w:r w:rsidRPr="00C12DCE">
        <w:rPr>
          <w:sz w:val="20"/>
          <w:szCs w:val="20"/>
        </w:rPr>
        <w:t>saloon remain</w:t>
      </w:r>
      <w:r>
        <w:rPr>
          <w:sz w:val="20"/>
          <w:szCs w:val="20"/>
        </w:rPr>
        <w:t>ed</w:t>
      </w:r>
      <w:r w:rsidRPr="00C12DCE">
        <w:rPr>
          <w:sz w:val="20"/>
          <w:szCs w:val="20"/>
        </w:rPr>
        <w:t xml:space="preserve"> open. </w:t>
      </w:r>
      <w:r w:rsidRPr="00C12DCE">
        <w:rPr>
          <w:i/>
          <w:sz w:val="20"/>
          <w:szCs w:val="20"/>
        </w:rPr>
        <w:t>Grants Writ to Close Up Joint</w:t>
      </w:r>
      <w:r w:rsidRPr="00C12DCE">
        <w:rPr>
          <w:sz w:val="20"/>
          <w:szCs w:val="20"/>
        </w:rPr>
        <w:t xml:space="preserve">, </w:t>
      </w:r>
      <w:r w:rsidRPr="00C12DCE">
        <w:rPr>
          <w:smallCaps/>
          <w:sz w:val="20"/>
          <w:szCs w:val="20"/>
        </w:rPr>
        <w:t>Rock Is. Argus</w:t>
      </w:r>
      <w:r>
        <w:rPr>
          <w:smallCaps/>
          <w:sz w:val="20"/>
          <w:szCs w:val="20"/>
        </w:rPr>
        <w:t xml:space="preserve"> (I</w:t>
      </w:r>
      <w:r w:rsidRPr="00D27793">
        <w:rPr>
          <w:sz w:val="20"/>
          <w:szCs w:val="20"/>
        </w:rPr>
        <w:t>ll</w:t>
      </w:r>
      <w:r>
        <w:rPr>
          <w:smallCaps/>
          <w:sz w:val="20"/>
          <w:szCs w:val="20"/>
        </w:rPr>
        <w:t>.)</w:t>
      </w:r>
      <w:r w:rsidRPr="00C12DCE">
        <w:rPr>
          <w:sz w:val="20"/>
          <w:szCs w:val="20"/>
        </w:rPr>
        <w:t xml:space="preserve">, Feb. 27, 1912, at 3.  </w:t>
      </w:r>
    </w:p>
  </w:footnote>
  <w:footnote w:id="277">
    <w:p w14:paraId="72DD3983"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Politicians Blamed for White Slavery</w:t>
      </w:r>
      <w:r w:rsidRPr="00E343EA">
        <w:t xml:space="preserve">, </w:t>
      </w:r>
      <w:r w:rsidRPr="00E343EA">
        <w:rPr>
          <w:smallCaps/>
        </w:rPr>
        <w:t xml:space="preserve">Wash. Herald, </w:t>
      </w:r>
      <w:r w:rsidRPr="00E343EA">
        <w:t xml:space="preserve">Mar. 1, 1914, at 1; </w:t>
      </w:r>
      <w:r w:rsidRPr="00E343EA">
        <w:rPr>
          <w:i/>
        </w:rPr>
        <w:t xml:space="preserve">see </w:t>
      </w:r>
      <w:r w:rsidRPr="00E343EA">
        <w:rPr>
          <w:smallCaps/>
        </w:rPr>
        <w:t>The House of Representatives of Massachusetts, Report for the Investigation of the White Slave Traffic</w:t>
      </w:r>
      <w:r w:rsidRPr="00E343EA">
        <w:t xml:space="preserve"> 16 (1914).</w:t>
      </w:r>
    </w:p>
  </w:footnote>
  <w:footnote w:id="278">
    <w:p w14:paraId="558A9453" w14:textId="366F7CF3" w:rsidR="00501D78" w:rsidRPr="00E343EA" w:rsidRDefault="00501D78" w:rsidP="00B06E49">
      <w:pPr>
        <w:pStyle w:val="FootnoteText"/>
      </w:pPr>
      <w:r w:rsidRPr="00E343EA">
        <w:rPr>
          <w:rStyle w:val="FootnoteReference"/>
        </w:rPr>
        <w:footnoteRef/>
      </w:r>
      <w:r w:rsidRPr="00E343EA">
        <w:t xml:space="preserve"> </w:t>
      </w:r>
      <w:r w:rsidRPr="00E343EA">
        <w:rPr>
          <w:i/>
        </w:rPr>
        <w:t>Deny Chinaman License</w:t>
      </w:r>
      <w:r w:rsidRPr="00E343EA">
        <w:t xml:space="preserve">, </w:t>
      </w:r>
      <w:r>
        <w:rPr>
          <w:smallCaps/>
        </w:rPr>
        <w:t>Bos.</w:t>
      </w:r>
      <w:r w:rsidRPr="00E343EA">
        <w:rPr>
          <w:smallCaps/>
        </w:rPr>
        <w:t xml:space="preserve"> Daily Globe, </w:t>
      </w:r>
      <w:r w:rsidRPr="00E343EA">
        <w:t>June 3, 1915, at 9.</w:t>
      </w:r>
    </w:p>
  </w:footnote>
  <w:footnote w:id="279">
    <w:p w14:paraId="2345A0C9" w14:textId="2C6DC79C" w:rsidR="00501D78" w:rsidRPr="00E343EA" w:rsidRDefault="00501D78" w:rsidP="007858A6">
      <w:pPr>
        <w:pStyle w:val="FootnoteText"/>
      </w:pPr>
      <w:r w:rsidRPr="00E343EA">
        <w:rPr>
          <w:rStyle w:val="FootnoteReference"/>
        </w:rPr>
        <w:footnoteRef/>
      </w:r>
      <w:r w:rsidRPr="00E343EA">
        <w:t xml:space="preserve"> </w:t>
      </w:r>
      <w:r w:rsidRPr="00E343EA">
        <w:rPr>
          <w:i/>
        </w:rPr>
        <w:t>Id</w:t>
      </w:r>
      <w:r w:rsidRPr="00E343EA">
        <w:t>. Massachusetts law provided</w:t>
      </w:r>
      <w:r>
        <w:t xml:space="preserve"> that issuance of a license was “not . . . required” but was left to “</w:t>
      </w:r>
      <w:r w:rsidRPr="00E343EA">
        <w:t>the sound judgment of the licensing board</w:t>
      </w:r>
      <w:r>
        <w:t>.”</w:t>
      </w:r>
      <w:r w:rsidRPr="00E343EA">
        <w:t xml:space="preserve"> Liggett Drug Co. v. Bd. of License Comm</w:t>
      </w:r>
      <w:r>
        <w:t>’</w:t>
      </w:r>
      <w:r w:rsidRPr="00E343EA">
        <w:t>rs of City of N. Adams, 4 N.E.2d 628, 634 (Mass. 1936).</w:t>
      </w:r>
    </w:p>
  </w:footnote>
  <w:footnote w:id="280">
    <w:p w14:paraId="41360C45" w14:textId="5B404AC9" w:rsidR="00501D78" w:rsidRPr="00E343EA" w:rsidRDefault="00501D78" w:rsidP="00B06E49">
      <w:pPr>
        <w:pStyle w:val="FootnoteText"/>
      </w:pPr>
      <w:r w:rsidRPr="00E343EA">
        <w:rPr>
          <w:rStyle w:val="FootnoteReference"/>
        </w:rPr>
        <w:footnoteRef/>
      </w:r>
      <w:r w:rsidRPr="00E343EA">
        <w:t xml:space="preserve"> </w:t>
      </w:r>
      <w:r w:rsidRPr="00E343EA">
        <w:rPr>
          <w:i/>
        </w:rPr>
        <w:t>Petition with 2000 Names</w:t>
      </w:r>
      <w:r w:rsidRPr="00E343EA">
        <w:t xml:space="preserve">, </w:t>
      </w:r>
      <w:r>
        <w:rPr>
          <w:smallCaps/>
        </w:rPr>
        <w:t>Bos.</w:t>
      </w:r>
      <w:r w:rsidRPr="00E343EA">
        <w:rPr>
          <w:smallCaps/>
        </w:rPr>
        <w:t xml:space="preserve"> Daily Globe, </w:t>
      </w:r>
      <w:r w:rsidRPr="00E343EA">
        <w:t>June 16, 1915, at 2.</w:t>
      </w:r>
    </w:p>
  </w:footnote>
  <w:footnote w:id="281">
    <w:p w14:paraId="51819752" w14:textId="2F735C0A" w:rsidR="00501D78" w:rsidRPr="00E343EA" w:rsidRDefault="00501D78" w:rsidP="00B06E49">
      <w:pPr>
        <w:pStyle w:val="FootnoteText"/>
      </w:pPr>
      <w:r w:rsidRPr="00E343EA">
        <w:rPr>
          <w:rStyle w:val="FootnoteReference"/>
        </w:rPr>
        <w:footnoteRef/>
      </w:r>
      <w:r w:rsidRPr="00E343EA">
        <w:t xml:space="preserve"> </w:t>
      </w:r>
      <w:r w:rsidRPr="00E343EA">
        <w:rPr>
          <w:i/>
        </w:rPr>
        <w:t>See Old Blue Law Invoked</w:t>
      </w:r>
      <w:r w:rsidRPr="00E343EA">
        <w:t xml:space="preserve">, </w:t>
      </w:r>
      <w:r>
        <w:rPr>
          <w:smallCaps/>
        </w:rPr>
        <w:t>Bos.</w:t>
      </w:r>
      <w:r w:rsidRPr="00E343EA">
        <w:rPr>
          <w:smallCaps/>
        </w:rPr>
        <w:t xml:space="preserve"> Daily Globe, </w:t>
      </w:r>
      <w:r w:rsidRPr="00E343EA">
        <w:t>July 27, 1915, at 3.</w:t>
      </w:r>
    </w:p>
  </w:footnote>
  <w:footnote w:id="282">
    <w:p w14:paraId="7396FFF9"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Id</w:t>
      </w:r>
      <w:r w:rsidRPr="00E343EA">
        <w:t>.</w:t>
      </w:r>
    </w:p>
  </w:footnote>
  <w:footnote w:id="283">
    <w:p w14:paraId="7171C850" w14:textId="1FC2D360" w:rsidR="00501D78" w:rsidRPr="00E343EA" w:rsidRDefault="00501D78" w:rsidP="00B06E49">
      <w:pPr>
        <w:pStyle w:val="FootnoteText"/>
      </w:pPr>
      <w:r w:rsidRPr="00E343EA">
        <w:rPr>
          <w:rStyle w:val="FootnoteReference"/>
        </w:rPr>
        <w:footnoteRef/>
      </w:r>
      <w:r w:rsidRPr="00E343EA">
        <w:t xml:space="preserve"> </w:t>
      </w:r>
      <w:r w:rsidRPr="00E343EA">
        <w:rPr>
          <w:i/>
        </w:rPr>
        <w:t>Summon Mayor Blakely</w:t>
      </w:r>
      <w:r w:rsidRPr="00E343EA">
        <w:t xml:space="preserve">, </w:t>
      </w:r>
      <w:r>
        <w:rPr>
          <w:smallCaps/>
        </w:rPr>
        <w:t>Bos.</w:t>
      </w:r>
      <w:r w:rsidRPr="00E343EA">
        <w:rPr>
          <w:smallCaps/>
        </w:rPr>
        <w:t xml:space="preserve"> Daily Globe, </w:t>
      </w:r>
      <w:r w:rsidRPr="00E343EA">
        <w:t xml:space="preserve">June 11, 1915, at 15. </w:t>
      </w:r>
    </w:p>
  </w:footnote>
  <w:footnote w:id="284">
    <w:p w14:paraId="351EA066" w14:textId="2D4CE7D9" w:rsidR="00501D78" w:rsidRPr="00E343EA" w:rsidRDefault="00501D78" w:rsidP="00B06E49">
      <w:pPr>
        <w:pStyle w:val="FootnoteText"/>
      </w:pPr>
      <w:r w:rsidRPr="00E343EA">
        <w:rPr>
          <w:rStyle w:val="FootnoteReference"/>
        </w:rPr>
        <w:footnoteRef/>
      </w:r>
      <w:r w:rsidRPr="00E343EA">
        <w:t xml:space="preserve"> </w:t>
      </w:r>
      <w:r w:rsidRPr="00E343EA">
        <w:rPr>
          <w:i/>
        </w:rPr>
        <w:t>To Ask Mandamus Writ</w:t>
      </w:r>
      <w:r w:rsidRPr="00E343EA">
        <w:t xml:space="preserve">, </w:t>
      </w:r>
      <w:r>
        <w:rPr>
          <w:smallCaps/>
        </w:rPr>
        <w:t>Bos.</w:t>
      </w:r>
      <w:r w:rsidRPr="00E343EA">
        <w:rPr>
          <w:smallCaps/>
        </w:rPr>
        <w:t xml:space="preserve"> Daily Globe, </w:t>
      </w:r>
      <w:r w:rsidRPr="00E343EA">
        <w:t>July 1, 1915, at 3.</w:t>
      </w:r>
    </w:p>
  </w:footnote>
  <w:footnote w:id="285">
    <w:p w14:paraId="72FC32DB" w14:textId="3A151B28" w:rsidR="00501D78" w:rsidRPr="00E343EA" w:rsidRDefault="00501D78" w:rsidP="00B06E49">
      <w:pPr>
        <w:pStyle w:val="FootnoteText"/>
        <w:rPr>
          <w:i/>
        </w:rPr>
      </w:pPr>
      <w:r w:rsidRPr="00E343EA">
        <w:rPr>
          <w:rStyle w:val="FootnoteReference"/>
        </w:rPr>
        <w:footnoteRef/>
      </w:r>
      <w:r w:rsidRPr="00E343EA">
        <w:t xml:space="preserve"> </w:t>
      </w:r>
      <w:r w:rsidRPr="00E343EA">
        <w:rPr>
          <w:i/>
        </w:rPr>
        <w:t>Oppose Licensing of a Chinese Restaurant</w:t>
      </w:r>
      <w:r w:rsidRPr="00E343EA">
        <w:t xml:space="preserve">, </w:t>
      </w:r>
      <w:r>
        <w:rPr>
          <w:smallCaps/>
        </w:rPr>
        <w:t>Bos.</w:t>
      </w:r>
      <w:r w:rsidRPr="00E343EA">
        <w:rPr>
          <w:smallCaps/>
        </w:rPr>
        <w:t xml:space="preserve"> Daily Globe, </w:t>
      </w:r>
      <w:r w:rsidRPr="00E343EA">
        <w:t>Nov. 24, 1915</w:t>
      </w:r>
      <w:r>
        <w:t>,</w:t>
      </w:r>
      <w:r w:rsidRPr="00E343EA">
        <w:t xml:space="preserve"> at 8.</w:t>
      </w:r>
      <w:r w:rsidRPr="00E343EA">
        <w:rPr>
          <w:i/>
        </w:rPr>
        <w:t xml:space="preserve">  </w:t>
      </w:r>
    </w:p>
  </w:footnote>
  <w:footnote w:id="286">
    <w:p w14:paraId="5037F88A"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See id</w:t>
      </w:r>
      <w:r w:rsidRPr="00E343EA">
        <w:t>.</w:t>
      </w:r>
    </w:p>
  </w:footnote>
  <w:footnote w:id="287">
    <w:p w14:paraId="2BAF881A" w14:textId="15FE26C0" w:rsidR="00501D78" w:rsidRDefault="00501D78" w:rsidP="00B06E49">
      <w:pPr>
        <w:pStyle w:val="FootnoteText"/>
      </w:pPr>
      <w:r>
        <w:rPr>
          <w:rStyle w:val="FootnoteReference"/>
        </w:rPr>
        <w:footnoteRef/>
      </w:r>
      <w:r>
        <w:t xml:space="preserve"> David Harris, </w:t>
      </w:r>
      <w:r w:rsidRPr="00837773">
        <w:rPr>
          <w:i/>
        </w:rPr>
        <w:t xml:space="preserve">The Stories, the Statistics, and the law: Why </w:t>
      </w:r>
      <w:r>
        <w:rPr>
          <w:i/>
        </w:rPr>
        <w:t>“</w:t>
      </w:r>
      <w:r w:rsidRPr="00837773">
        <w:rPr>
          <w:i/>
        </w:rPr>
        <w:t>Driving While Black</w:t>
      </w:r>
      <w:r>
        <w:rPr>
          <w:i/>
        </w:rPr>
        <w:t>”</w:t>
      </w:r>
      <w:r w:rsidRPr="00837773">
        <w:rPr>
          <w:i/>
        </w:rPr>
        <w:t xml:space="preserve"> Matters</w:t>
      </w:r>
      <w:r>
        <w:t xml:space="preserve">, 84 </w:t>
      </w:r>
      <w:r w:rsidRPr="00837773">
        <w:rPr>
          <w:smallCaps/>
        </w:rPr>
        <w:t xml:space="preserve">Minn. L. </w:t>
      </w:r>
      <w:r>
        <w:rPr>
          <w:smallCaps/>
        </w:rPr>
        <w:t>R</w:t>
      </w:r>
      <w:r w:rsidRPr="00837773">
        <w:rPr>
          <w:smallCaps/>
        </w:rPr>
        <w:t>ev.</w:t>
      </w:r>
      <w:r>
        <w:t xml:space="preserve"> 265, 301 (1999).</w:t>
      </w:r>
    </w:p>
  </w:footnote>
  <w:footnote w:id="288">
    <w:p w14:paraId="326D33A0" w14:textId="596BB619" w:rsidR="00501D78" w:rsidRPr="00E343EA" w:rsidRDefault="00501D78" w:rsidP="00B06E49">
      <w:pPr>
        <w:pStyle w:val="FootnoteText"/>
      </w:pPr>
      <w:r w:rsidRPr="00E343EA">
        <w:rPr>
          <w:rStyle w:val="FootnoteReference"/>
        </w:rPr>
        <w:footnoteRef/>
      </w:r>
      <w:r w:rsidRPr="00E343EA">
        <w:t xml:space="preserve"> </w:t>
      </w:r>
      <w:r w:rsidRPr="00E343EA">
        <w:rPr>
          <w:i/>
        </w:rPr>
        <w:t>No Chop Suey After 12</w:t>
      </w:r>
      <w:r w:rsidRPr="00E343EA">
        <w:t xml:space="preserve">, </w:t>
      </w:r>
      <w:r>
        <w:rPr>
          <w:smallCaps/>
        </w:rPr>
        <w:t>Bos.</w:t>
      </w:r>
      <w:r w:rsidRPr="00E343EA">
        <w:rPr>
          <w:smallCaps/>
        </w:rPr>
        <w:t xml:space="preserve"> Daily Globe, </w:t>
      </w:r>
      <w:r w:rsidRPr="00E343EA">
        <w:t>July 3, 1899, at 17.</w:t>
      </w:r>
    </w:p>
  </w:footnote>
  <w:footnote w:id="289">
    <w:p w14:paraId="226258CB" w14:textId="73A26F83" w:rsidR="00501D78" w:rsidRPr="00E343EA" w:rsidRDefault="00501D78" w:rsidP="00B06E49">
      <w:pPr>
        <w:pStyle w:val="FootnoteText"/>
        <w:rPr>
          <w:i/>
        </w:rPr>
      </w:pPr>
      <w:r w:rsidRPr="00E343EA">
        <w:rPr>
          <w:rStyle w:val="FootnoteReference"/>
        </w:rPr>
        <w:footnoteRef/>
      </w:r>
      <w:r w:rsidRPr="00E343EA">
        <w:t xml:space="preserve"> </w:t>
      </w:r>
      <w:r>
        <w:rPr>
          <w:i/>
        </w:rPr>
        <w:t>Id</w:t>
      </w:r>
      <w:r w:rsidRPr="00E343EA">
        <w:t>.</w:t>
      </w:r>
    </w:p>
  </w:footnote>
  <w:footnote w:id="290">
    <w:p w14:paraId="31F52B27" w14:textId="4F3512BF" w:rsidR="00501D78" w:rsidRPr="00E343EA" w:rsidRDefault="00501D78" w:rsidP="00B06E49">
      <w:pPr>
        <w:pStyle w:val="FootnoteText"/>
      </w:pPr>
      <w:r w:rsidRPr="00E343EA">
        <w:rPr>
          <w:rStyle w:val="FootnoteReference"/>
        </w:rPr>
        <w:footnoteRef/>
      </w:r>
      <w:r w:rsidRPr="00E343EA">
        <w:t xml:space="preserve"> </w:t>
      </w:r>
      <w:r w:rsidRPr="00E343EA">
        <w:rPr>
          <w:i/>
        </w:rPr>
        <w:t>The Chinese Restaurants</w:t>
      </w:r>
      <w:r w:rsidRPr="00E343EA">
        <w:t xml:space="preserve">, </w:t>
      </w:r>
      <w:r>
        <w:rPr>
          <w:smallCaps/>
        </w:rPr>
        <w:t>Bos.</w:t>
      </w:r>
      <w:r w:rsidRPr="00E343EA">
        <w:rPr>
          <w:smallCaps/>
        </w:rPr>
        <w:t xml:space="preserve"> Daily Advertiser, </w:t>
      </w:r>
      <w:r w:rsidRPr="00E343EA">
        <w:t>Aug. 12, 1899, at 4.</w:t>
      </w:r>
    </w:p>
  </w:footnote>
  <w:footnote w:id="291">
    <w:p w14:paraId="258554FB" w14:textId="512F121E" w:rsidR="00501D78" w:rsidRPr="00E343EA" w:rsidRDefault="00501D78" w:rsidP="00B06E49">
      <w:pPr>
        <w:pStyle w:val="FootnoteText"/>
      </w:pPr>
      <w:r w:rsidRPr="00E343EA">
        <w:rPr>
          <w:rStyle w:val="FootnoteReference"/>
        </w:rPr>
        <w:footnoteRef/>
      </w:r>
      <w:r w:rsidRPr="00E343EA">
        <w:t xml:space="preserve"> </w:t>
      </w:r>
      <w:r>
        <w:rPr>
          <w:i/>
        </w:rPr>
        <w:t>Id</w:t>
      </w:r>
      <w:r w:rsidRPr="00E343EA">
        <w:t>.</w:t>
      </w:r>
    </w:p>
  </w:footnote>
  <w:footnote w:id="292">
    <w:p w14:paraId="199D1B17" w14:textId="37E8E94F" w:rsidR="00501D78" w:rsidRPr="00E343EA" w:rsidRDefault="00501D78" w:rsidP="00B06E49">
      <w:pPr>
        <w:pStyle w:val="FootnoteText"/>
      </w:pPr>
      <w:r w:rsidRPr="00E343EA">
        <w:rPr>
          <w:rStyle w:val="FootnoteReference"/>
        </w:rPr>
        <w:footnoteRef/>
      </w:r>
      <w:r w:rsidRPr="00E343EA">
        <w:t xml:space="preserve"> </w:t>
      </w:r>
      <w:r w:rsidRPr="00E343EA">
        <w:rPr>
          <w:i/>
        </w:rPr>
        <w:t>Attack Segregation of Vice</w:t>
      </w:r>
      <w:r w:rsidRPr="00E343EA">
        <w:t xml:space="preserve">, </w:t>
      </w:r>
      <w:r>
        <w:rPr>
          <w:smallCaps/>
        </w:rPr>
        <w:t>Chi.</w:t>
      </w:r>
      <w:r w:rsidRPr="00E343EA">
        <w:rPr>
          <w:smallCaps/>
        </w:rPr>
        <w:t xml:space="preserve"> Daily Trib.,</w:t>
      </w:r>
      <w:r w:rsidRPr="00E343EA">
        <w:t xml:space="preserve"> June 10, 1905, at 7.</w:t>
      </w:r>
    </w:p>
  </w:footnote>
  <w:footnote w:id="293">
    <w:p w14:paraId="3B24F608" w14:textId="4B1B0377" w:rsidR="00501D78" w:rsidRPr="00E343EA" w:rsidRDefault="00501D78" w:rsidP="00B06E49">
      <w:pPr>
        <w:pStyle w:val="FootnoteText"/>
      </w:pPr>
      <w:r w:rsidRPr="00E343EA">
        <w:rPr>
          <w:rStyle w:val="FootnoteReference"/>
        </w:rPr>
        <w:footnoteRef/>
      </w:r>
      <w:r w:rsidRPr="00E343EA">
        <w:t xml:space="preserve"> </w:t>
      </w:r>
      <w:r w:rsidRPr="00E343EA">
        <w:rPr>
          <w:i/>
        </w:rPr>
        <w:t>Ordered to Fight Vice</w:t>
      </w:r>
      <w:r w:rsidRPr="00E343EA">
        <w:t xml:space="preserve">, </w:t>
      </w:r>
      <w:r>
        <w:rPr>
          <w:smallCaps/>
        </w:rPr>
        <w:t>Chi.</w:t>
      </w:r>
      <w:r w:rsidRPr="00E343EA">
        <w:rPr>
          <w:smallCaps/>
        </w:rPr>
        <w:t xml:space="preserve"> Daily Trib., </w:t>
      </w:r>
      <w:r w:rsidRPr="00E343EA">
        <w:t>Oct. 1, 1905, at 2.</w:t>
      </w:r>
    </w:p>
  </w:footnote>
  <w:footnote w:id="294">
    <w:p w14:paraId="46EBA75D"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See id.</w:t>
      </w:r>
    </w:p>
  </w:footnote>
  <w:footnote w:id="295">
    <w:p w14:paraId="59806F01" w14:textId="29B56398" w:rsidR="00501D78" w:rsidRPr="00E343EA" w:rsidRDefault="00501D78" w:rsidP="00B06E49">
      <w:pPr>
        <w:pStyle w:val="FootnoteText"/>
      </w:pPr>
      <w:r w:rsidRPr="00E343EA">
        <w:rPr>
          <w:rStyle w:val="FootnoteReference"/>
        </w:rPr>
        <w:footnoteRef/>
      </w:r>
      <w:r w:rsidRPr="00E343EA">
        <w:t xml:space="preserve"> </w:t>
      </w:r>
      <w:r w:rsidRPr="00E343EA">
        <w:rPr>
          <w:i/>
        </w:rPr>
        <w:t xml:space="preserve">See id. </w:t>
      </w:r>
      <w:r>
        <w:t>Similarly,</w:t>
      </w:r>
      <w:r w:rsidRPr="00E343EA">
        <w:t xml:space="preserve"> in New York in 1900</w:t>
      </w:r>
      <w:r>
        <w:t>,</w:t>
      </w:r>
      <w:r w:rsidRPr="00E343EA">
        <w:t xml:space="preserve"> when larger resorts were closed; there was </w:t>
      </w:r>
      <w:r>
        <w:t>“</w:t>
      </w:r>
      <w:r w:rsidRPr="00E343EA">
        <w:t>a flocking of women to cheap Chinese restaurants.</w:t>
      </w:r>
      <w:r>
        <w:t>”</w:t>
      </w:r>
      <w:r w:rsidRPr="00E343EA">
        <w:t xml:space="preserve"> </w:t>
      </w:r>
      <w:r w:rsidRPr="00E343EA">
        <w:rPr>
          <w:i/>
        </w:rPr>
        <w:t>Police Grant New License</w:t>
      </w:r>
      <w:r w:rsidRPr="00E343EA">
        <w:t xml:space="preserve">, </w:t>
      </w:r>
      <w:r w:rsidRPr="00E343EA">
        <w:rPr>
          <w:smallCaps/>
        </w:rPr>
        <w:t xml:space="preserve">N.Y. Times, </w:t>
      </w:r>
      <w:r w:rsidRPr="00E343EA">
        <w:t>Mar. 19, 1900, at 2.</w:t>
      </w:r>
    </w:p>
  </w:footnote>
  <w:footnote w:id="296">
    <w:p w14:paraId="2F2F597F" w14:textId="7CBC896C" w:rsidR="00501D78" w:rsidRPr="00E343EA" w:rsidRDefault="00501D78" w:rsidP="00B06E49">
      <w:pPr>
        <w:pStyle w:val="FootnoteText"/>
        <w:rPr>
          <w:i/>
        </w:rPr>
      </w:pPr>
      <w:r w:rsidRPr="00E343EA">
        <w:rPr>
          <w:rStyle w:val="FootnoteReference"/>
        </w:rPr>
        <w:footnoteRef/>
      </w:r>
      <w:r w:rsidRPr="00E343EA">
        <w:t xml:space="preserve"> </w:t>
      </w:r>
      <w:r>
        <w:rPr>
          <w:i/>
        </w:rPr>
        <w:t xml:space="preserve">Ordered to Fight Vice, supra </w:t>
      </w:r>
      <w:r w:rsidRPr="00490B34">
        <w:t xml:space="preserve">note </w:t>
      </w:r>
      <w:r w:rsidRPr="00490B34">
        <w:fldChar w:fldCharType="begin"/>
      </w:r>
      <w:r w:rsidRPr="00490B34">
        <w:instrText xml:space="preserve"> NOTEREF _Ref476157265 \h </w:instrText>
      </w:r>
      <w:r>
        <w:instrText xml:space="preserve"> \* MERGEFORMAT </w:instrText>
      </w:r>
      <w:r w:rsidRPr="00490B34">
        <w:fldChar w:fldCharType="separate"/>
      </w:r>
      <w:r w:rsidR="008A4890">
        <w:t>290</w:t>
      </w:r>
      <w:r w:rsidRPr="00490B34">
        <w:fldChar w:fldCharType="end"/>
      </w:r>
      <w:r>
        <w:t>.</w:t>
      </w:r>
    </w:p>
  </w:footnote>
  <w:footnote w:id="297">
    <w:p w14:paraId="468938B3" w14:textId="786DD04D" w:rsidR="00501D78" w:rsidRPr="00E343EA" w:rsidRDefault="00501D78" w:rsidP="00B06E49">
      <w:pPr>
        <w:pStyle w:val="FootnoteText"/>
      </w:pPr>
      <w:r w:rsidRPr="00E343EA">
        <w:rPr>
          <w:rStyle w:val="FootnoteReference"/>
        </w:rPr>
        <w:footnoteRef/>
      </w:r>
      <w:r w:rsidRPr="00E343EA">
        <w:t xml:space="preserve"> Rev. J. E. Copus, </w:t>
      </w:r>
      <w:r w:rsidRPr="00E343EA">
        <w:rPr>
          <w:i/>
        </w:rPr>
        <w:t>Chicago</w:t>
      </w:r>
      <w:r>
        <w:rPr>
          <w:i/>
        </w:rPr>
        <w:t>’</w:t>
      </w:r>
      <w:r w:rsidRPr="00E343EA">
        <w:rPr>
          <w:i/>
        </w:rPr>
        <w:t>s Under-World The Criminal Aspect</w:t>
      </w:r>
      <w:r w:rsidRPr="00E343EA">
        <w:t xml:space="preserve">, 27 </w:t>
      </w:r>
      <w:r w:rsidRPr="00E343EA">
        <w:rPr>
          <w:smallCaps/>
        </w:rPr>
        <w:t>Rosary Mag.</w:t>
      </w:r>
      <w:r w:rsidRPr="00E343EA">
        <w:t xml:space="preserve"> 457 (1905).</w:t>
      </w:r>
    </w:p>
  </w:footnote>
  <w:footnote w:id="298">
    <w:p w14:paraId="19510385" w14:textId="285980B2" w:rsidR="00501D78" w:rsidRPr="00E343EA" w:rsidRDefault="00501D78" w:rsidP="00B06E49">
      <w:pPr>
        <w:pStyle w:val="FootnoteText"/>
      </w:pPr>
      <w:r w:rsidRPr="00E343EA">
        <w:rPr>
          <w:rStyle w:val="FootnoteReference"/>
        </w:rPr>
        <w:footnoteRef/>
      </w:r>
      <w:r w:rsidRPr="00E343EA">
        <w:t xml:space="preserve"> </w:t>
      </w:r>
      <w:r w:rsidRPr="00E343EA">
        <w:rPr>
          <w:i/>
        </w:rPr>
        <w:t>Mayor Defended By Foe</w:t>
      </w:r>
      <w:r w:rsidRPr="00E343EA">
        <w:t xml:space="preserve">, </w:t>
      </w:r>
      <w:r>
        <w:rPr>
          <w:smallCaps/>
        </w:rPr>
        <w:t>Chi.</w:t>
      </w:r>
      <w:r w:rsidRPr="00E343EA">
        <w:rPr>
          <w:smallCaps/>
        </w:rPr>
        <w:t xml:space="preserve"> Daily Trib., </w:t>
      </w:r>
      <w:r w:rsidRPr="00E343EA">
        <w:t>Nov. 9, 1905, at 3.</w:t>
      </w:r>
    </w:p>
  </w:footnote>
  <w:footnote w:id="299">
    <w:p w14:paraId="5400CCA6"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Id.</w:t>
      </w:r>
    </w:p>
  </w:footnote>
  <w:footnote w:id="300">
    <w:p w14:paraId="3DB7D326" w14:textId="1842133F" w:rsidR="00501D78" w:rsidRPr="00E343EA" w:rsidRDefault="00501D78" w:rsidP="00B06E49">
      <w:pPr>
        <w:pStyle w:val="FootnoteText"/>
      </w:pPr>
      <w:r w:rsidRPr="00E343EA">
        <w:rPr>
          <w:rStyle w:val="FootnoteReference"/>
        </w:rPr>
        <w:footnoteRef/>
      </w:r>
      <w:r w:rsidRPr="00E343EA">
        <w:t xml:space="preserve"> </w:t>
      </w:r>
      <w:r w:rsidRPr="00E343EA">
        <w:rPr>
          <w:i/>
        </w:rPr>
        <w:t>May Close Chop Suey Place</w:t>
      </w:r>
      <w:r w:rsidRPr="00E343EA">
        <w:t xml:space="preserve">, </w:t>
      </w:r>
      <w:r>
        <w:rPr>
          <w:smallCaps/>
        </w:rPr>
        <w:t>Chi.</w:t>
      </w:r>
      <w:r w:rsidRPr="00E343EA">
        <w:rPr>
          <w:smallCaps/>
        </w:rPr>
        <w:t xml:space="preserve"> Daily Trib., </w:t>
      </w:r>
      <w:r w:rsidRPr="00E343EA">
        <w:t>Dec. 8, 1905, at 2.</w:t>
      </w:r>
    </w:p>
  </w:footnote>
  <w:footnote w:id="301">
    <w:p w14:paraId="47DF754C"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Id.</w:t>
      </w:r>
    </w:p>
  </w:footnote>
  <w:footnote w:id="302">
    <w:p w14:paraId="186B5AA0"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Search for White Slaves</w:t>
      </w:r>
      <w:r w:rsidRPr="00E343EA">
        <w:t xml:space="preserve">, </w:t>
      </w:r>
      <w:r w:rsidRPr="00E343EA">
        <w:rPr>
          <w:smallCaps/>
        </w:rPr>
        <w:t xml:space="preserve">Marion Daily Mirror, </w:t>
      </w:r>
      <w:r w:rsidRPr="00E343EA">
        <w:t>Dec. 31, 1909, at 1.</w:t>
      </w:r>
    </w:p>
  </w:footnote>
  <w:footnote w:id="303">
    <w:p w14:paraId="7DB23F2C" w14:textId="3BE74626" w:rsidR="00501D78" w:rsidRPr="00E343EA" w:rsidRDefault="00501D78" w:rsidP="00B06E49">
      <w:pPr>
        <w:pStyle w:val="FootnoteText"/>
      </w:pPr>
      <w:r w:rsidRPr="00E343EA">
        <w:rPr>
          <w:rStyle w:val="FootnoteReference"/>
        </w:rPr>
        <w:footnoteRef/>
      </w:r>
      <w:r w:rsidRPr="00E343EA">
        <w:rPr>
          <w:i/>
        </w:rPr>
        <w:t xml:space="preserve"> See Chinese Men Mix Sin with Chop Suey</w:t>
      </w:r>
      <w:r w:rsidRPr="00E343EA">
        <w:t xml:space="preserve">, </w:t>
      </w:r>
      <w:r>
        <w:rPr>
          <w:smallCaps/>
        </w:rPr>
        <w:t>Chi.</w:t>
      </w:r>
      <w:r w:rsidRPr="00E343EA">
        <w:rPr>
          <w:smallCaps/>
        </w:rPr>
        <w:t xml:space="preserve"> Daily Trib.,</w:t>
      </w:r>
      <w:r w:rsidRPr="00E343EA">
        <w:t xml:space="preserve"> Mar. 27, 1910, at 3; </w:t>
      </w:r>
      <w:r w:rsidRPr="00E343EA">
        <w:rPr>
          <w:i/>
        </w:rPr>
        <w:t>Search for White Slaves</w:t>
      </w:r>
      <w:r w:rsidRPr="00E343EA">
        <w:t xml:space="preserve">, </w:t>
      </w:r>
      <w:r w:rsidRPr="00E343EA">
        <w:rPr>
          <w:smallCaps/>
        </w:rPr>
        <w:t xml:space="preserve">Marion Daily Mirror, </w:t>
      </w:r>
      <w:r w:rsidRPr="00E343EA">
        <w:t>Dec. 31, 1909, at 1.</w:t>
      </w:r>
    </w:p>
  </w:footnote>
  <w:footnote w:id="304">
    <w:p w14:paraId="57FF9C4D" w14:textId="350F0BCA" w:rsidR="00501D78" w:rsidRPr="00E343EA" w:rsidRDefault="00501D78" w:rsidP="00B06E49">
      <w:pPr>
        <w:pStyle w:val="FootnoteText"/>
      </w:pPr>
      <w:r w:rsidRPr="00E343EA">
        <w:rPr>
          <w:rStyle w:val="FootnoteReference"/>
        </w:rPr>
        <w:footnoteRef/>
      </w:r>
      <w:r w:rsidRPr="00E343EA">
        <w:t xml:space="preserve"> Huping Ling, </w:t>
      </w:r>
      <w:r>
        <w:rPr>
          <w:i/>
        </w:rPr>
        <w:t>“</w:t>
      </w:r>
      <w:r w:rsidRPr="00E343EA">
        <w:rPr>
          <w:i/>
        </w:rPr>
        <w:t>Hop Alley</w:t>
      </w:r>
      <w:r>
        <w:rPr>
          <w:i/>
        </w:rPr>
        <w:t>”</w:t>
      </w:r>
      <w:r w:rsidRPr="00E343EA">
        <w:rPr>
          <w:i/>
        </w:rPr>
        <w:t>: Myth and Reality in the St. Louis Chinatown</w:t>
      </w:r>
      <w:r w:rsidRPr="00E343EA">
        <w:t xml:space="preserve">, 28 J. </w:t>
      </w:r>
      <w:r w:rsidRPr="00E343EA">
        <w:rPr>
          <w:smallCaps/>
        </w:rPr>
        <w:t>Urban Hist. 184, 209 (2002) (</w:t>
      </w:r>
      <w:r w:rsidRPr="00E343EA">
        <w:t>stating that more than a year after the murder, St. Louis Police raided a Chinese restaurant in hopes of finding Leon Ling).</w:t>
      </w:r>
    </w:p>
  </w:footnote>
  <w:footnote w:id="305">
    <w:p w14:paraId="041C2386" w14:textId="1E4D9490" w:rsidR="00501D78" w:rsidRPr="00E343EA" w:rsidRDefault="00501D78" w:rsidP="00B06E49">
      <w:pPr>
        <w:pStyle w:val="FootnoteText"/>
      </w:pPr>
      <w:r w:rsidRPr="00E343EA">
        <w:rPr>
          <w:rStyle w:val="FootnoteReference"/>
        </w:rPr>
        <w:footnoteRef/>
      </w:r>
      <w:r w:rsidRPr="00E343EA">
        <w:t xml:space="preserve"> </w:t>
      </w:r>
      <w:r w:rsidRPr="00E343EA">
        <w:rPr>
          <w:i/>
        </w:rPr>
        <w:t>Chinese Resorts</w:t>
      </w:r>
      <w:r w:rsidRPr="00E343EA">
        <w:t xml:space="preserve">, </w:t>
      </w:r>
      <w:r w:rsidRPr="00AF03D7">
        <w:rPr>
          <w:i/>
        </w:rPr>
        <w:t>supra</w:t>
      </w:r>
      <w:r w:rsidRPr="00AF03D7">
        <w:t xml:space="preserve"> note </w:t>
      </w:r>
      <w:r>
        <w:rPr>
          <w:smallCaps/>
        </w:rPr>
        <w:fldChar w:fldCharType="begin"/>
      </w:r>
      <w:r>
        <w:rPr>
          <w:smallCaps/>
        </w:rPr>
        <w:instrText xml:space="preserve"> NOTEREF _Ref476408421 \h </w:instrText>
      </w:r>
      <w:r>
        <w:rPr>
          <w:smallCaps/>
        </w:rPr>
      </w:r>
      <w:r>
        <w:rPr>
          <w:smallCaps/>
        </w:rPr>
        <w:fldChar w:fldCharType="separate"/>
      </w:r>
      <w:r w:rsidR="008A4890">
        <w:rPr>
          <w:smallCaps/>
        </w:rPr>
        <w:t>127</w:t>
      </w:r>
      <w:r>
        <w:rPr>
          <w:smallCaps/>
        </w:rPr>
        <w:fldChar w:fldCharType="end"/>
      </w:r>
      <w:r w:rsidRPr="00E343EA">
        <w:t>, at 3.</w:t>
      </w:r>
    </w:p>
  </w:footnote>
  <w:footnote w:id="306">
    <w:p w14:paraId="468B6E39" w14:textId="72FE3936" w:rsidR="00501D78" w:rsidRPr="00E343EA" w:rsidRDefault="00501D78" w:rsidP="00B06E49">
      <w:pPr>
        <w:pStyle w:val="FootnoteText"/>
      </w:pPr>
      <w:r w:rsidRPr="00E343EA">
        <w:rPr>
          <w:rStyle w:val="FootnoteReference"/>
        </w:rPr>
        <w:footnoteRef/>
      </w:r>
      <w:r w:rsidRPr="00E343EA">
        <w:t xml:space="preserve"> </w:t>
      </w:r>
      <w:r>
        <w:rPr>
          <w:i/>
        </w:rPr>
        <w:t>Id</w:t>
      </w:r>
      <w:r w:rsidRPr="00E343EA">
        <w:t>.</w:t>
      </w:r>
    </w:p>
  </w:footnote>
  <w:footnote w:id="307">
    <w:p w14:paraId="68D6AE59" w14:textId="77777777" w:rsidR="00501D78" w:rsidRPr="00E343EA" w:rsidRDefault="00501D78" w:rsidP="00B06E49">
      <w:pPr>
        <w:pStyle w:val="FootnoteText"/>
      </w:pPr>
      <w:r w:rsidRPr="00E343EA">
        <w:rPr>
          <w:rStyle w:val="FootnoteReference"/>
        </w:rPr>
        <w:footnoteRef/>
      </w:r>
      <w:r w:rsidRPr="00E343EA">
        <w:t xml:space="preserve"> </w:t>
      </w:r>
      <w:r w:rsidRPr="00E343EA">
        <w:rPr>
          <w:bCs/>
          <w:i/>
        </w:rPr>
        <w:t>Chinese Fear That Sing Pui, Denied Dream Drug, Will Die</w:t>
      </w:r>
      <w:r w:rsidRPr="00E343EA">
        <w:rPr>
          <w:bCs/>
        </w:rPr>
        <w:t xml:space="preserve">, </w:t>
      </w:r>
      <w:r w:rsidRPr="00E343EA">
        <w:rPr>
          <w:bCs/>
          <w:smallCaps/>
        </w:rPr>
        <w:t xml:space="preserve">Detroit Free Press, </w:t>
      </w:r>
      <w:r w:rsidRPr="00E343EA">
        <w:rPr>
          <w:bCs/>
        </w:rPr>
        <w:t xml:space="preserve">Aug. 1, 1909. </w:t>
      </w:r>
      <w:r w:rsidRPr="00283854">
        <w:rPr>
          <w:bCs/>
          <w:i/>
        </w:rPr>
        <w:t xml:space="preserve">See also </w:t>
      </w:r>
      <w:r w:rsidRPr="00E343EA">
        <w:rPr>
          <w:i/>
        </w:rPr>
        <w:t>Chink Arrested for Opium Sale</w:t>
      </w:r>
      <w:r w:rsidRPr="00E343EA">
        <w:t xml:space="preserve">, </w:t>
      </w:r>
      <w:r w:rsidRPr="00E343EA">
        <w:rPr>
          <w:smallCaps/>
        </w:rPr>
        <w:t xml:space="preserve">Detroit Free Press, </w:t>
      </w:r>
      <w:r w:rsidRPr="00E343EA">
        <w:t>May 23, 1909, at 1.</w:t>
      </w:r>
    </w:p>
  </w:footnote>
  <w:footnote w:id="308">
    <w:p w14:paraId="0EEB8CFD" w14:textId="134CAC99" w:rsidR="00501D78" w:rsidRPr="00E343EA" w:rsidRDefault="00501D78" w:rsidP="00B06E49">
      <w:pPr>
        <w:pStyle w:val="FootnoteText"/>
      </w:pPr>
      <w:r w:rsidRPr="00E343EA">
        <w:rPr>
          <w:rStyle w:val="FootnoteReference"/>
        </w:rPr>
        <w:footnoteRef/>
      </w:r>
      <w:r w:rsidRPr="00E343EA">
        <w:t xml:space="preserve"> </w:t>
      </w:r>
      <w:r w:rsidRPr="00E343EA">
        <w:rPr>
          <w:bCs/>
          <w:i/>
        </w:rPr>
        <w:t>Chinese Fear</w:t>
      </w:r>
      <w:r>
        <w:rPr>
          <w:bCs/>
        </w:rPr>
        <w:t xml:space="preserve">, </w:t>
      </w:r>
      <w:r w:rsidRPr="00490B34">
        <w:rPr>
          <w:bCs/>
          <w:i/>
        </w:rPr>
        <w:t>supra</w:t>
      </w:r>
      <w:r>
        <w:rPr>
          <w:bCs/>
        </w:rPr>
        <w:t xml:space="preserve"> note </w:t>
      </w:r>
      <w:r>
        <w:rPr>
          <w:bCs/>
        </w:rPr>
        <w:fldChar w:fldCharType="begin"/>
      </w:r>
      <w:r>
        <w:rPr>
          <w:bCs/>
        </w:rPr>
        <w:instrText xml:space="preserve"> NOTEREF _Ref476157319 \h </w:instrText>
      </w:r>
      <w:r>
        <w:rPr>
          <w:bCs/>
        </w:rPr>
      </w:r>
      <w:r>
        <w:rPr>
          <w:bCs/>
        </w:rPr>
        <w:fldChar w:fldCharType="separate"/>
      </w:r>
      <w:r w:rsidR="008A4890">
        <w:rPr>
          <w:bCs/>
        </w:rPr>
        <w:t>304</w:t>
      </w:r>
      <w:r>
        <w:rPr>
          <w:bCs/>
        </w:rPr>
        <w:fldChar w:fldCharType="end"/>
      </w:r>
      <w:r>
        <w:rPr>
          <w:bCs/>
        </w:rPr>
        <w:t>.</w:t>
      </w:r>
    </w:p>
  </w:footnote>
  <w:footnote w:id="309">
    <w:p w14:paraId="106484CA" w14:textId="6163FF6D" w:rsidR="00501D78" w:rsidRPr="00E343EA" w:rsidRDefault="00501D78" w:rsidP="00B06E49">
      <w:pPr>
        <w:pStyle w:val="FootnoteText"/>
      </w:pPr>
      <w:r w:rsidRPr="00E343EA">
        <w:rPr>
          <w:rStyle w:val="FootnoteReference"/>
        </w:rPr>
        <w:footnoteRef/>
      </w:r>
      <w:r w:rsidRPr="00E343EA">
        <w:t xml:space="preserve"> </w:t>
      </w:r>
      <w:r w:rsidRPr="00E343EA">
        <w:rPr>
          <w:i/>
        </w:rPr>
        <w:t>New Enforcers Raid Chop Suey</w:t>
      </w:r>
      <w:r w:rsidRPr="00E343EA">
        <w:t xml:space="preserve">, </w:t>
      </w:r>
      <w:r w:rsidRPr="00E343EA">
        <w:rPr>
          <w:smallCaps/>
        </w:rPr>
        <w:t>Tulsa Daily Word Sun</w:t>
      </w:r>
      <w:r>
        <w:rPr>
          <w:smallCaps/>
        </w:rPr>
        <w:t>.</w:t>
      </w:r>
      <w:r w:rsidRPr="00E343EA">
        <w:rPr>
          <w:smallCaps/>
        </w:rPr>
        <w:t xml:space="preserve"> Morning</w:t>
      </w:r>
      <w:r w:rsidRPr="00E343EA">
        <w:t>, Aug. 8, 1911, at 5.</w:t>
      </w:r>
    </w:p>
  </w:footnote>
  <w:footnote w:id="310">
    <w:p w14:paraId="7B46E390" w14:textId="74C428E2" w:rsidR="00501D78" w:rsidRPr="00E343EA" w:rsidRDefault="00501D78" w:rsidP="00B06E49">
      <w:pPr>
        <w:pStyle w:val="FootnoteText"/>
      </w:pPr>
      <w:r w:rsidRPr="00E343EA">
        <w:rPr>
          <w:rStyle w:val="FootnoteReference"/>
        </w:rPr>
        <w:footnoteRef/>
      </w:r>
      <w:r w:rsidRPr="00E343EA">
        <w:t xml:space="preserve"> </w:t>
      </w:r>
      <w:r w:rsidRPr="00E343EA">
        <w:rPr>
          <w:i/>
        </w:rPr>
        <w:t>Big Raid at Greensburg</w:t>
      </w:r>
      <w:r>
        <w:rPr>
          <w:i/>
        </w:rPr>
        <w:t>: Crusade Against Chop Suey Dens and Foreign Restaurants</w:t>
      </w:r>
      <w:r w:rsidRPr="00E343EA">
        <w:t xml:space="preserve">, </w:t>
      </w:r>
      <w:r w:rsidRPr="00E343EA">
        <w:rPr>
          <w:smallCaps/>
        </w:rPr>
        <w:t xml:space="preserve">Pittsburg Press, </w:t>
      </w:r>
      <w:r w:rsidRPr="00E343EA">
        <w:t>Jan. 20, 1911, at 15.</w:t>
      </w:r>
    </w:p>
  </w:footnote>
  <w:footnote w:id="311">
    <w:p w14:paraId="29C23CF2" w14:textId="39E79F43" w:rsidR="00501D78" w:rsidRPr="00E343EA" w:rsidRDefault="00501D78" w:rsidP="00B06E49">
      <w:pPr>
        <w:pStyle w:val="FootnoteText"/>
      </w:pPr>
      <w:r w:rsidRPr="00E343EA">
        <w:rPr>
          <w:rStyle w:val="FootnoteReference"/>
        </w:rPr>
        <w:footnoteRef/>
      </w:r>
      <w:r w:rsidRPr="00E343EA">
        <w:t xml:space="preserve"> </w:t>
      </w:r>
      <w:r w:rsidRPr="00E343EA">
        <w:rPr>
          <w:i/>
        </w:rPr>
        <w:t>Drastic Orders to Make Washington Morally Clean City</w:t>
      </w:r>
      <w:r w:rsidRPr="00E343EA">
        <w:t xml:space="preserve">, </w:t>
      </w:r>
      <w:r w:rsidRPr="00E343EA">
        <w:rPr>
          <w:smallCaps/>
        </w:rPr>
        <w:t xml:space="preserve">Wash. Times, </w:t>
      </w:r>
      <w:r w:rsidRPr="00E343EA">
        <w:t>Feb. 9, 1914, at 1, 10</w:t>
      </w:r>
      <w:r>
        <w:t>;</w:t>
      </w:r>
      <w:r w:rsidRPr="00CE2D14">
        <w:t xml:space="preserve"> </w:t>
      </w:r>
      <w:r w:rsidRPr="00E343EA">
        <w:t xml:space="preserve">William Leavitt Stoddard, </w:t>
      </w:r>
      <w:r w:rsidRPr="00E343EA">
        <w:rPr>
          <w:i/>
        </w:rPr>
        <w:t>Red Lights of Washington D.C.</w:t>
      </w:r>
      <w:r w:rsidRPr="00E343EA">
        <w:t xml:space="preserve">, 31 </w:t>
      </w:r>
      <w:r w:rsidRPr="00E343EA">
        <w:rPr>
          <w:smallCaps/>
        </w:rPr>
        <w:t>Pearson</w:t>
      </w:r>
      <w:r>
        <w:rPr>
          <w:smallCaps/>
        </w:rPr>
        <w:t>’</w:t>
      </w:r>
      <w:r w:rsidRPr="00E343EA">
        <w:rPr>
          <w:smallCaps/>
        </w:rPr>
        <w:t xml:space="preserve">s Mag. </w:t>
      </w:r>
      <w:r>
        <w:t>233-40 (1914).</w:t>
      </w:r>
    </w:p>
  </w:footnote>
  <w:footnote w:id="312">
    <w:p w14:paraId="3764F4D6" w14:textId="02A9244E" w:rsidR="00501D78" w:rsidRPr="00E343EA" w:rsidRDefault="00501D78" w:rsidP="00B06E49">
      <w:pPr>
        <w:pStyle w:val="FootnoteText"/>
      </w:pPr>
      <w:r w:rsidRPr="00E343EA">
        <w:rPr>
          <w:rStyle w:val="FootnoteReference"/>
        </w:rPr>
        <w:footnoteRef/>
      </w:r>
      <w:r w:rsidRPr="00E343EA">
        <w:t xml:space="preserve"> </w:t>
      </w:r>
      <w:r w:rsidRPr="00E343EA">
        <w:rPr>
          <w:i/>
        </w:rPr>
        <w:t>100 Doors Smashed by Axes of Police</w:t>
      </w:r>
      <w:r w:rsidRPr="00E343EA">
        <w:t xml:space="preserve">, </w:t>
      </w:r>
      <w:r w:rsidRPr="00E343EA">
        <w:rPr>
          <w:smallCaps/>
        </w:rPr>
        <w:t xml:space="preserve">Morning Oregonian, </w:t>
      </w:r>
      <w:r w:rsidRPr="00E343EA">
        <w:t>May 9, 1919, at 21</w:t>
      </w:r>
      <w:r>
        <w:t>.</w:t>
      </w:r>
    </w:p>
  </w:footnote>
  <w:footnote w:id="313">
    <w:p w14:paraId="3E2FCDFA" w14:textId="77777777" w:rsidR="00501D78" w:rsidRPr="00E343EA" w:rsidRDefault="00501D78" w:rsidP="00021B73">
      <w:pPr>
        <w:pStyle w:val="FootnoteText"/>
      </w:pPr>
      <w:r w:rsidRPr="00E343EA">
        <w:rPr>
          <w:rStyle w:val="FootnoteReference"/>
        </w:rPr>
        <w:footnoteRef/>
      </w:r>
      <w:r w:rsidRPr="00E343EA">
        <w:t xml:space="preserve"> </w:t>
      </w:r>
      <w:r w:rsidRPr="00E343EA">
        <w:rPr>
          <w:i/>
        </w:rPr>
        <w:t xml:space="preserve">See </w:t>
      </w:r>
      <w:r w:rsidRPr="00E343EA">
        <w:t xml:space="preserve">Gary W. Libby, </w:t>
      </w:r>
      <w:r w:rsidRPr="00E343EA">
        <w:rPr>
          <w:i/>
        </w:rPr>
        <w:t>Historical Notes on Chinese Restaurants in Portland, Maine</w:t>
      </w:r>
      <w:r w:rsidRPr="00E343EA">
        <w:t xml:space="preserve">, </w:t>
      </w:r>
      <w:r w:rsidRPr="00E343EA">
        <w:rPr>
          <w:smallCaps/>
        </w:rPr>
        <w:t>Chinese Am. Hist. &amp; Perspectives</w:t>
      </w:r>
      <w:r w:rsidRPr="00E343EA">
        <w:t xml:space="preserve"> 47, 48 (2006).</w:t>
      </w:r>
    </w:p>
  </w:footnote>
  <w:footnote w:id="314">
    <w:p w14:paraId="4AFDC324" w14:textId="77777777" w:rsidR="00501D78" w:rsidRPr="00E343EA" w:rsidRDefault="00501D78" w:rsidP="00021B73">
      <w:pPr>
        <w:pStyle w:val="FootnoteText"/>
      </w:pPr>
      <w:r w:rsidRPr="00E343EA">
        <w:rPr>
          <w:rStyle w:val="FootnoteReference"/>
        </w:rPr>
        <w:footnoteRef/>
      </w:r>
      <w:r w:rsidRPr="00E343EA">
        <w:t xml:space="preserve"> </w:t>
      </w:r>
      <w:r w:rsidRPr="00E343EA">
        <w:rPr>
          <w:i/>
        </w:rPr>
        <w:t>Id</w:t>
      </w:r>
      <w:r w:rsidRPr="00E343EA">
        <w:t xml:space="preserve">. </w:t>
      </w:r>
    </w:p>
  </w:footnote>
  <w:footnote w:id="315">
    <w:p w14:paraId="51618D7D" w14:textId="2DE26CCC" w:rsidR="00501D78" w:rsidRPr="00E343EA" w:rsidRDefault="00501D78" w:rsidP="00A62980">
      <w:pPr>
        <w:pStyle w:val="FootnoteText"/>
      </w:pPr>
      <w:r w:rsidRPr="00E343EA">
        <w:rPr>
          <w:rStyle w:val="FootnoteReference"/>
        </w:rPr>
        <w:footnoteRef/>
      </w:r>
      <w:r w:rsidRPr="00E343EA">
        <w:t xml:space="preserve"> 36 </w:t>
      </w:r>
      <w:r w:rsidRPr="00E343EA">
        <w:rPr>
          <w:smallCaps/>
        </w:rPr>
        <w:t>Proceedings of the City Council of the City of Minneapolis, Minn</w:t>
      </w:r>
      <w:r>
        <w:rPr>
          <w:smallCaps/>
        </w:rPr>
        <w:t>.</w:t>
      </w:r>
      <w:r w:rsidRPr="00E343EA">
        <w:rPr>
          <w:smallCaps/>
        </w:rPr>
        <w:t xml:space="preserve"> from January 1, 1910 to January 1, 1911 </w:t>
      </w:r>
      <w:r w:rsidRPr="00E343EA">
        <w:t>810 (1910)</w:t>
      </w:r>
      <w:r>
        <w:t>.</w:t>
      </w:r>
    </w:p>
  </w:footnote>
  <w:footnote w:id="316">
    <w:p w14:paraId="267DD7B1" w14:textId="77777777" w:rsidR="00501D78" w:rsidRPr="00E343EA" w:rsidRDefault="00501D78" w:rsidP="00A62980">
      <w:pPr>
        <w:pStyle w:val="FootnoteText"/>
      </w:pPr>
      <w:r w:rsidRPr="00E343EA">
        <w:rPr>
          <w:rStyle w:val="FootnoteReference"/>
        </w:rPr>
        <w:footnoteRef/>
      </w:r>
      <w:r w:rsidRPr="00E343EA">
        <w:t xml:space="preserve"> </w:t>
      </w:r>
      <w:r w:rsidRPr="00E343EA">
        <w:rPr>
          <w:i/>
        </w:rPr>
        <w:t>Id</w:t>
      </w:r>
      <w:r w:rsidRPr="00E343EA">
        <w:t>. at 1063.</w:t>
      </w:r>
    </w:p>
  </w:footnote>
  <w:footnote w:id="317">
    <w:p w14:paraId="761E9157" w14:textId="01433079" w:rsidR="00501D78" w:rsidRPr="00E343EA" w:rsidRDefault="00501D78" w:rsidP="00B06E49">
      <w:pPr>
        <w:pStyle w:val="FootnoteText"/>
      </w:pPr>
      <w:r w:rsidRPr="00E343EA">
        <w:rPr>
          <w:rStyle w:val="FootnoteReference"/>
        </w:rPr>
        <w:footnoteRef/>
      </w:r>
      <w:r w:rsidRPr="00E343EA">
        <w:t xml:space="preserve"> </w:t>
      </w:r>
      <w:r w:rsidRPr="00E343EA">
        <w:rPr>
          <w:i/>
        </w:rPr>
        <w:t>See</w:t>
      </w:r>
      <w:r w:rsidRPr="00E343EA">
        <w:t xml:space="preserve"> Jan Whitaker, </w:t>
      </w:r>
      <w:r w:rsidRPr="00E343EA">
        <w:rPr>
          <w:i/>
        </w:rPr>
        <w:t>Restaurant Booth Controversies</w:t>
      </w:r>
      <w:r w:rsidRPr="00E343EA">
        <w:t xml:space="preserve">, </w:t>
      </w:r>
      <w:r>
        <w:rPr>
          <w:smallCaps/>
        </w:rPr>
        <w:t>Restaurant-ing Through H</w:t>
      </w:r>
      <w:r w:rsidRPr="00E343EA">
        <w:rPr>
          <w:smallCaps/>
        </w:rPr>
        <w:t>istory (</w:t>
      </w:r>
      <w:r w:rsidRPr="00E343EA">
        <w:t xml:space="preserve">Aug. 27, 2012 7:13 PM), http://restaurant-ingthroughhistory.com/2012/08/27/restaurant-booth-controversies/; </w:t>
      </w:r>
      <w:r w:rsidRPr="00E343EA">
        <w:rPr>
          <w:i/>
        </w:rPr>
        <w:t>see also</w:t>
      </w:r>
      <w:r w:rsidRPr="00E343EA">
        <w:t xml:space="preserve"> </w:t>
      </w:r>
      <w:r w:rsidRPr="00E343EA">
        <w:rPr>
          <w:i/>
        </w:rPr>
        <w:t>After Chinese Restaurants</w:t>
      </w:r>
      <w:r w:rsidRPr="00E343EA">
        <w:t xml:space="preserve">, </w:t>
      </w:r>
      <w:r w:rsidRPr="00E343EA">
        <w:rPr>
          <w:smallCaps/>
        </w:rPr>
        <w:t xml:space="preserve">Salt Lake Trib., </w:t>
      </w:r>
      <w:r w:rsidRPr="00E343EA">
        <w:t xml:space="preserve">Apr. 28, 1903, at 3 (referring to the </w:t>
      </w:r>
      <w:r>
        <w:t>“</w:t>
      </w:r>
      <w:r w:rsidRPr="00E343EA">
        <w:t>wineroom</w:t>
      </w:r>
      <w:r>
        <w:t>”</w:t>
      </w:r>
      <w:r w:rsidRPr="00E343EA">
        <w:t xml:space="preserve"> system in Chinese restaurants); </w:t>
      </w:r>
      <w:r w:rsidRPr="00E343EA">
        <w:rPr>
          <w:i/>
        </w:rPr>
        <w:t>License Denied Six</w:t>
      </w:r>
      <w:r w:rsidRPr="00E343EA">
        <w:t xml:space="preserve">, </w:t>
      </w:r>
      <w:r w:rsidRPr="00E343EA">
        <w:rPr>
          <w:smallCaps/>
        </w:rPr>
        <w:t xml:space="preserve">Morning Oregonian, </w:t>
      </w:r>
      <w:r w:rsidRPr="00E343EA">
        <w:t xml:space="preserve">Dec. 21, 1909, at 15 (stating that the liquor licenses of two Chinese restaurants may be granted provided </w:t>
      </w:r>
      <w:r>
        <w:t>“</w:t>
      </w:r>
      <w:r w:rsidRPr="00E343EA">
        <w:t>the horrid boxes are removed</w:t>
      </w:r>
      <w:r>
        <w:t>”</w:t>
      </w:r>
      <w:r w:rsidRPr="00E343EA">
        <w:t>);</w:t>
      </w:r>
      <w:r w:rsidRPr="00E343EA">
        <w:rPr>
          <w:i/>
        </w:rPr>
        <w:t xml:space="preserve"> Humor Is Not Beyond the Stoic Chinaman</w:t>
      </w:r>
      <w:r w:rsidRPr="00E343EA">
        <w:t xml:space="preserve">, </w:t>
      </w:r>
      <w:r w:rsidRPr="00E343EA">
        <w:rPr>
          <w:smallCaps/>
        </w:rPr>
        <w:t>Logansport Reporter</w:t>
      </w:r>
      <w:r>
        <w:rPr>
          <w:smallCaps/>
        </w:rPr>
        <w:t xml:space="preserve"> (</w:t>
      </w:r>
      <w:r w:rsidRPr="00C1089D">
        <w:t>Ind</w:t>
      </w:r>
      <w:r>
        <w:rPr>
          <w:smallCaps/>
        </w:rPr>
        <w:t>.)</w:t>
      </w:r>
      <w:r w:rsidRPr="00E343EA">
        <w:rPr>
          <w:smallCaps/>
        </w:rPr>
        <w:t xml:space="preserve">, </w:t>
      </w:r>
      <w:r w:rsidRPr="00E343EA">
        <w:t xml:space="preserve">Aug. 14, 1911, at 8 (quoting the Mayor of Minneapolis as ordering that </w:t>
      </w:r>
      <w:r>
        <w:t>“</w:t>
      </w:r>
      <w:r w:rsidRPr="00E343EA">
        <w:t>all booths be torn out of Chinese restaurants</w:t>
      </w:r>
      <w:r>
        <w:t>”</w:t>
      </w:r>
      <w:r w:rsidRPr="00E343EA">
        <w:t>);</w:t>
      </w:r>
      <w:r w:rsidRPr="00E343EA">
        <w:rPr>
          <w:i/>
        </w:rPr>
        <w:t xml:space="preserve"> </w:t>
      </w:r>
      <w:r w:rsidRPr="00E343EA">
        <w:t xml:space="preserve">G.F. Rinehart, </w:t>
      </w:r>
      <w:r w:rsidRPr="00E343EA">
        <w:rPr>
          <w:i/>
        </w:rPr>
        <w:t>Regulation a Failure</w:t>
      </w:r>
      <w:r w:rsidRPr="00E343EA">
        <w:t xml:space="preserve">, </w:t>
      </w:r>
      <w:r>
        <w:rPr>
          <w:smallCaps/>
        </w:rPr>
        <w:t>Ariz.</w:t>
      </w:r>
      <w:r w:rsidRPr="00E343EA">
        <w:rPr>
          <w:smallCaps/>
        </w:rPr>
        <w:t xml:space="preserve"> Republican, </w:t>
      </w:r>
      <w:r w:rsidRPr="00E343EA">
        <w:t xml:space="preserve">July 8, 1914, at 12 (discussing the failure of liquor regulation due to, </w:t>
      </w:r>
      <w:r w:rsidRPr="00E343EA">
        <w:rPr>
          <w:i/>
        </w:rPr>
        <w:t>inter</w:t>
      </w:r>
      <w:r w:rsidRPr="00E343EA">
        <w:t xml:space="preserve"> </w:t>
      </w:r>
      <w:r w:rsidRPr="00E343EA">
        <w:rPr>
          <w:i/>
        </w:rPr>
        <w:t>alia</w:t>
      </w:r>
      <w:r w:rsidRPr="00E343EA">
        <w:t xml:space="preserve">, closed booths in Chinese restaurants); </w:t>
      </w:r>
      <w:r w:rsidRPr="00E343EA">
        <w:rPr>
          <w:i/>
        </w:rPr>
        <w:t>Girls Drink Beer At All Hours in Chop Suey Houses</w:t>
      </w:r>
      <w:r w:rsidRPr="00E343EA">
        <w:t xml:space="preserve">, </w:t>
      </w:r>
      <w:r>
        <w:rPr>
          <w:smallCaps/>
        </w:rPr>
        <w:t>Chi.</w:t>
      </w:r>
      <w:r w:rsidRPr="00E343EA">
        <w:rPr>
          <w:smallCaps/>
        </w:rPr>
        <w:t xml:space="preserve"> Daily Trib., </w:t>
      </w:r>
      <w:r w:rsidRPr="00E343EA">
        <w:t xml:space="preserve">May 16, 1914, at 1 (stating that </w:t>
      </w:r>
      <w:r>
        <w:t>“</w:t>
      </w:r>
      <w:r w:rsidRPr="00E343EA">
        <w:t>nearly the entire floor space</w:t>
      </w:r>
      <w:r>
        <w:t>”</w:t>
      </w:r>
      <w:r w:rsidRPr="00E343EA">
        <w:t xml:space="preserve"> of a Chinese restaurant in Chicago had a </w:t>
      </w:r>
      <w:r>
        <w:t>“</w:t>
      </w:r>
      <w:r w:rsidRPr="00E343EA">
        <w:t>series of private booths</w:t>
      </w:r>
      <w:r>
        <w:t>”</w:t>
      </w:r>
      <w:r w:rsidRPr="00E343EA">
        <w:t xml:space="preserve">); </w:t>
      </w:r>
      <w:r w:rsidRPr="00E343EA">
        <w:rPr>
          <w:i/>
        </w:rPr>
        <w:t>To Make War</w:t>
      </w:r>
      <w:r w:rsidRPr="00E343EA">
        <w:t xml:space="preserve">, </w:t>
      </w:r>
      <w:r w:rsidRPr="00303CE5">
        <w:rPr>
          <w:i/>
        </w:rPr>
        <w:t>supra</w:t>
      </w:r>
      <w:r>
        <w:t xml:space="preserve"> note </w:t>
      </w:r>
      <w:r>
        <w:fldChar w:fldCharType="begin"/>
      </w:r>
      <w:r>
        <w:instrText xml:space="preserve"> NOTEREF _Ref476493730 \h </w:instrText>
      </w:r>
      <w:r>
        <w:fldChar w:fldCharType="separate"/>
      </w:r>
      <w:r w:rsidR="008A4890">
        <w:t>111</w:t>
      </w:r>
      <w:r>
        <w:fldChar w:fldCharType="end"/>
      </w:r>
      <w:r>
        <w:t xml:space="preserve">, </w:t>
      </w:r>
      <w:r w:rsidRPr="00E343EA">
        <w:t xml:space="preserve">at B4; </w:t>
      </w:r>
      <w:r w:rsidRPr="00E343EA">
        <w:rPr>
          <w:i/>
        </w:rPr>
        <w:t xml:space="preserve">see also </w:t>
      </w:r>
      <w:r w:rsidRPr="00E343EA">
        <w:rPr>
          <w:rFonts w:eastAsia="Times New Roman"/>
          <w:color w:val="010101"/>
        </w:rPr>
        <w:t>State v. Ito, 131 N.W. 469</w:t>
      </w:r>
      <w:r>
        <w:rPr>
          <w:rFonts w:eastAsia="Times New Roman"/>
          <w:color w:val="010101"/>
        </w:rPr>
        <w:t>, 469</w:t>
      </w:r>
      <w:r w:rsidRPr="00E343EA">
        <w:rPr>
          <w:rFonts w:eastAsia="Times New Roman"/>
          <w:color w:val="010101"/>
        </w:rPr>
        <w:t xml:space="preserve"> (</w:t>
      </w:r>
      <w:r>
        <w:rPr>
          <w:rFonts w:eastAsia="Times New Roman"/>
          <w:color w:val="010101"/>
        </w:rPr>
        <w:t xml:space="preserve">Minn. </w:t>
      </w:r>
      <w:r w:rsidRPr="00E343EA">
        <w:rPr>
          <w:rFonts w:eastAsia="Times New Roman"/>
          <w:color w:val="010101"/>
        </w:rPr>
        <w:t>1911) (</w:t>
      </w:r>
      <w:r>
        <w:rPr>
          <w:rFonts w:eastAsia="Times New Roman"/>
          <w:color w:val="010101"/>
        </w:rPr>
        <w:t>“</w:t>
      </w:r>
      <w:r w:rsidRPr="00E343EA">
        <w:rPr>
          <w:rFonts w:eastAsia="Times New Roman"/>
          <w:color w:val="010101"/>
        </w:rPr>
        <w:t>This is a Chinese restaurant and chop suey house. We went into a private booth and ordered a meal, which was served to us by the defendant.</w:t>
      </w:r>
      <w:r>
        <w:rPr>
          <w:rFonts w:eastAsia="Times New Roman"/>
          <w:color w:val="010101"/>
        </w:rPr>
        <w:t>”</w:t>
      </w:r>
      <w:r w:rsidRPr="00E343EA">
        <w:rPr>
          <w:rFonts w:eastAsia="Times New Roman"/>
          <w:color w:val="010101"/>
        </w:rPr>
        <w:t xml:space="preserve">); </w:t>
      </w:r>
      <w:r w:rsidRPr="00E343EA">
        <w:rPr>
          <w:i/>
        </w:rPr>
        <w:t>Chinese Obey Law</w:t>
      </w:r>
      <w:r w:rsidRPr="00E343EA">
        <w:t xml:space="preserve">, </w:t>
      </w:r>
      <w:r w:rsidRPr="00E343EA">
        <w:rPr>
          <w:smallCaps/>
        </w:rPr>
        <w:t xml:space="preserve">Morning Oregonian, </w:t>
      </w:r>
      <w:r w:rsidRPr="00E343EA">
        <w:t xml:space="preserve">Aug. 25, 1908, at 14 (quoting the Chief of the Portland city bureau for the protection of girls and women stating in regards to booths that </w:t>
      </w:r>
      <w:r>
        <w:t>“</w:t>
      </w:r>
      <w:r w:rsidRPr="00E343EA">
        <w:t>I will never vote again to grant a liquor license to any restaurant that puts up screens . . . whether it is a Chinese restaurant or the finest white restaurant in town</w:t>
      </w:r>
      <w:r>
        <w:t>”</w:t>
      </w:r>
      <w:r w:rsidRPr="00E343EA">
        <w:t>).</w:t>
      </w:r>
    </w:p>
  </w:footnote>
  <w:footnote w:id="318">
    <w:p w14:paraId="2402CEB1" w14:textId="17C3A19C" w:rsidR="00501D78" w:rsidRPr="00E343EA" w:rsidRDefault="00501D78" w:rsidP="00B06E49">
      <w:pPr>
        <w:pStyle w:val="FootnoteText"/>
      </w:pPr>
      <w:r w:rsidRPr="00E343EA">
        <w:rPr>
          <w:rStyle w:val="FootnoteReference"/>
        </w:rPr>
        <w:footnoteRef/>
      </w:r>
      <w:r w:rsidRPr="00E343EA">
        <w:t xml:space="preserve"> </w:t>
      </w:r>
      <w:r w:rsidRPr="00E343EA">
        <w:rPr>
          <w:smallCaps/>
        </w:rPr>
        <w:t>U</w:t>
      </w:r>
      <w:r>
        <w:rPr>
          <w:smallCaps/>
        </w:rPr>
        <w:t>.</w:t>
      </w:r>
      <w:r w:rsidRPr="00E343EA">
        <w:rPr>
          <w:smallCaps/>
        </w:rPr>
        <w:t>S</w:t>
      </w:r>
      <w:r>
        <w:rPr>
          <w:smallCaps/>
        </w:rPr>
        <w:t>.</w:t>
      </w:r>
      <w:r w:rsidRPr="00E343EA">
        <w:rPr>
          <w:smallCaps/>
        </w:rPr>
        <w:t xml:space="preserve"> Public Health Service, Venereal Disease Ordinances</w:t>
      </w:r>
      <w:r w:rsidRPr="00E343EA">
        <w:t xml:space="preserve"> 29 (1919).</w:t>
      </w:r>
      <w:r w:rsidRPr="005311CF">
        <w:t xml:space="preserve"> </w:t>
      </w:r>
      <w:r>
        <w:t xml:space="preserve">  </w:t>
      </w:r>
      <w:r w:rsidRPr="005311CF">
        <w:t xml:space="preserve">According their </w:t>
      </w:r>
      <w:r>
        <w:t>critics</w:t>
      </w:r>
      <w:r w:rsidRPr="005311CF">
        <w:t xml:space="preserve">, closed booths allowed them to </w:t>
      </w:r>
      <w:r>
        <w:t>“</w:t>
      </w:r>
      <w:r w:rsidRPr="005311CF">
        <w:t>defy regulation</w:t>
      </w:r>
      <w:r>
        <w:t>”</w:t>
      </w:r>
      <w:r w:rsidRPr="005311CF">
        <w:t xml:space="preserve"> with nothing more </w:t>
      </w:r>
      <w:r>
        <w:t>“</w:t>
      </w:r>
      <w:r w:rsidRPr="005311CF">
        <w:t>than a flimsy curtain between the hilarious and a possible policeman.</w:t>
      </w:r>
      <w:r>
        <w:t xml:space="preserve">”  </w:t>
      </w:r>
      <w:r w:rsidRPr="00E343EA">
        <w:t xml:space="preserve">Rinehart, </w:t>
      </w:r>
      <w:r w:rsidRPr="00303CE5">
        <w:rPr>
          <w:i/>
        </w:rPr>
        <w:t>supra</w:t>
      </w:r>
      <w:r>
        <w:t xml:space="preserve"> note </w:t>
      </w:r>
      <w:r>
        <w:fldChar w:fldCharType="begin"/>
      </w:r>
      <w:r>
        <w:instrText xml:space="preserve"> NOTEREF _Ref476324355 \h </w:instrText>
      </w:r>
      <w:r>
        <w:fldChar w:fldCharType="separate"/>
      </w:r>
      <w:r w:rsidR="008A4890">
        <w:t>314</w:t>
      </w:r>
      <w:r>
        <w:fldChar w:fldCharType="end"/>
      </w:r>
      <w:r>
        <w:t xml:space="preserve">, </w:t>
      </w:r>
      <w:r w:rsidRPr="00E343EA">
        <w:t>at 12</w:t>
      </w:r>
      <w:r w:rsidRPr="00E343EA">
        <w:rPr>
          <w:i/>
        </w:rPr>
        <w:t>;</w:t>
      </w:r>
      <w:r w:rsidRPr="00E343EA">
        <w:t xml:space="preserve"> </w:t>
      </w:r>
      <w:r w:rsidRPr="00E343EA">
        <w:rPr>
          <w:i/>
        </w:rPr>
        <w:t>see also To Make War</w:t>
      </w:r>
      <w:r w:rsidRPr="00E343EA">
        <w:t xml:space="preserve">, </w:t>
      </w:r>
      <w:r w:rsidRPr="00303CE5">
        <w:rPr>
          <w:i/>
        </w:rPr>
        <w:t>supra</w:t>
      </w:r>
      <w:r>
        <w:t xml:space="preserve"> note </w:t>
      </w:r>
      <w:r>
        <w:fldChar w:fldCharType="begin"/>
      </w:r>
      <w:r>
        <w:instrText xml:space="preserve"> NOTEREF _Ref476493730 \h </w:instrText>
      </w:r>
      <w:r>
        <w:fldChar w:fldCharType="separate"/>
      </w:r>
      <w:r w:rsidR="008A4890">
        <w:t>111</w:t>
      </w:r>
      <w:r>
        <w:fldChar w:fldCharType="end"/>
      </w:r>
      <w:r>
        <w:t xml:space="preserve">, </w:t>
      </w:r>
      <w:r w:rsidRPr="00E343EA">
        <w:t>at B4</w:t>
      </w:r>
      <w:r w:rsidRPr="00E343EA">
        <w:rPr>
          <w:i/>
        </w:rPr>
        <w:t>.</w:t>
      </w:r>
      <w:r w:rsidRPr="00E343EA">
        <w:t xml:space="preserve"> </w:t>
      </w:r>
      <w:r w:rsidRPr="00E343EA">
        <w:rPr>
          <w:i/>
        </w:rPr>
        <w:t>Police Commissioners Make Good Their Threats to Punish Saloon Men by Suspension of Many Licenses</w:t>
      </w:r>
      <w:r w:rsidRPr="00E343EA">
        <w:t xml:space="preserve">, </w:t>
      </w:r>
      <w:r w:rsidRPr="00366F45">
        <w:rPr>
          <w:smallCaps/>
        </w:rPr>
        <w:t>Daily L</w:t>
      </w:r>
      <w:r>
        <w:rPr>
          <w:smallCaps/>
        </w:rPr>
        <w:t>.</w:t>
      </w:r>
      <w:r w:rsidRPr="00366F45">
        <w:rPr>
          <w:smallCaps/>
        </w:rPr>
        <w:t>A</w:t>
      </w:r>
      <w:r>
        <w:rPr>
          <w:smallCaps/>
        </w:rPr>
        <w:t>.</w:t>
      </w:r>
      <w:r w:rsidRPr="00366F45">
        <w:rPr>
          <w:smallCaps/>
        </w:rPr>
        <w:t xml:space="preserve"> Herald</w:t>
      </w:r>
      <w:r w:rsidRPr="00E343EA">
        <w:t>, Sept. 2, 1900, at 5 (The Woman</w:t>
      </w:r>
      <w:r>
        <w:t>’</w:t>
      </w:r>
      <w:r w:rsidRPr="00E343EA">
        <w:t xml:space="preserve">s Christian Temperance Union stated: </w:t>
      </w:r>
      <w:r>
        <w:t>“</w:t>
      </w:r>
      <w:r w:rsidRPr="00E343EA">
        <w:t>We, representing the motherhood of our beloved state, do beseech you to listen to our appeals and that of all good citizens to abolish the stronghold of Satan called the booth.</w:t>
      </w:r>
      <w:r>
        <w:t>”</w:t>
      </w:r>
      <w:r w:rsidRPr="00E343EA">
        <w:t>).</w:t>
      </w:r>
    </w:p>
  </w:footnote>
  <w:footnote w:id="319">
    <w:p w14:paraId="21D2A264" w14:textId="266B0DDF" w:rsidR="00501D78" w:rsidRPr="00E343EA" w:rsidRDefault="00501D78" w:rsidP="00B06E49">
      <w:pPr>
        <w:pStyle w:val="FootnoteText"/>
      </w:pPr>
      <w:r w:rsidRPr="00E343EA">
        <w:rPr>
          <w:rStyle w:val="FootnoteReference"/>
        </w:rPr>
        <w:footnoteRef/>
      </w:r>
      <w:r w:rsidRPr="00E343EA">
        <w:t xml:space="preserve"> Whole Woman</w:t>
      </w:r>
      <w:r>
        <w:t>’</w:t>
      </w:r>
      <w:r w:rsidRPr="00E343EA">
        <w:t>s Health v. Hellerstedt, 136 S. Ct. 2292, 2316 (2016).</w:t>
      </w:r>
    </w:p>
  </w:footnote>
  <w:footnote w:id="320">
    <w:p w14:paraId="25871429" w14:textId="54A508A6" w:rsidR="00501D78" w:rsidRDefault="00501D78" w:rsidP="00CC5DBE">
      <w:pPr>
        <w:pStyle w:val="FootnoteText"/>
      </w:pPr>
      <w:r>
        <w:rPr>
          <w:rStyle w:val="FootnoteReference"/>
        </w:rPr>
        <w:footnoteRef/>
      </w:r>
      <w:r>
        <w:t xml:space="preserve"> </w:t>
      </w:r>
      <w:r w:rsidRPr="00497BA0">
        <w:t>Palmer v. Thompson, 403 U.S. 217, 224 (1971)</w:t>
      </w:r>
      <w:r>
        <w:t>.</w:t>
      </w:r>
      <w:r w:rsidRPr="00CC5DBE">
        <w:t xml:space="preserve"> </w:t>
      </w:r>
      <w:r>
        <w:t xml:space="preserve"> </w:t>
      </w:r>
      <w:r w:rsidRPr="00CC5DBE">
        <w:rPr>
          <w:i/>
        </w:rPr>
        <w:t xml:space="preserve">See also, e.g., </w:t>
      </w:r>
      <w:r>
        <w:t>Yee Gee v. City &amp; Cty. of San Francisco, 235 F. 757, 760 (N.D. Cal. 1916) (upholding San Francisco ordinance limiting hours of laundries; “[s]o long as the act is fair upon its face, and capable of even-handed and impartial application to all who come within its terms, the mere motive actuating its enactment cannot be inquired into as a ground for avoiding it.”) (citations omitted).</w:t>
      </w:r>
    </w:p>
  </w:footnote>
  <w:footnote w:id="321">
    <w:p w14:paraId="70B12428" w14:textId="7DCECEBD" w:rsidR="00501D78" w:rsidRDefault="00501D78" w:rsidP="00B06E49">
      <w:pPr>
        <w:pStyle w:val="FootnoteText"/>
      </w:pPr>
      <w:r>
        <w:rPr>
          <w:rStyle w:val="FootnoteReference"/>
        </w:rPr>
        <w:footnoteRef/>
      </w:r>
      <w:r>
        <w:t xml:space="preserve"> </w:t>
      </w:r>
      <w:r w:rsidRPr="00B06E49">
        <w:rPr>
          <w:i/>
        </w:rPr>
        <w:t>See, e.g., Ex parte</w:t>
      </w:r>
      <w:r>
        <w:t xml:space="preserve"> Quong Wo, 118 P. 714, 716 (Cal. 1911) (upholding laundry zoning ordinance).</w:t>
      </w:r>
    </w:p>
  </w:footnote>
  <w:footnote w:id="322">
    <w:p w14:paraId="12171957" w14:textId="70CF73DC" w:rsidR="00501D78" w:rsidRPr="00E343EA" w:rsidRDefault="00501D78" w:rsidP="00F31E8A">
      <w:pPr>
        <w:pStyle w:val="FootnoteText"/>
      </w:pPr>
      <w:r w:rsidRPr="00E343EA">
        <w:rPr>
          <w:rStyle w:val="FootnoteReference"/>
        </w:rPr>
        <w:footnoteRef/>
      </w:r>
      <w:r w:rsidRPr="00E343EA">
        <w:t xml:space="preserve"> </w:t>
      </w:r>
      <w:r w:rsidRPr="005C5844">
        <w:rPr>
          <w:smallCaps/>
        </w:rPr>
        <w:t>Ogden Municipal Code</w:t>
      </w:r>
      <w:r w:rsidRPr="00E343EA">
        <w:t xml:space="preserve"> </w:t>
      </w:r>
      <w:r>
        <w:t xml:space="preserve">(Utah) </w:t>
      </w:r>
      <w:r w:rsidRPr="00E343EA">
        <w:t>§ 5-3D-4(H).</w:t>
      </w:r>
    </w:p>
  </w:footnote>
  <w:footnote w:id="323">
    <w:p w14:paraId="1171530B" w14:textId="0DFA6519" w:rsidR="00501D78" w:rsidRPr="00E343EA" w:rsidRDefault="00501D78" w:rsidP="00B06E49">
      <w:pPr>
        <w:pStyle w:val="FootnoteText"/>
        <w:rPr>
          <w:i/>
        </w:rPr>
      </w:pPr>
      <w:r w:rsidRPr="00E343EA">
        <w:rPr>
          <w:rStyle w:val="FootnoteReference"/>
        </w:rPr>
        <w:footnoteRef/>
      </w:r>
      <w:r w:rsidRPr="00E343EA">
        <w:t xml:space="preserve"> </w:t>
      </w:r>
      <w:r w:rsidRPr="00E343EA">
        <w:rPr>
          <w:i/>
        </w:rPr>
        <w:t>Chinese Restaurants</w:t>
      </w:r>
      <w:r w:rsidRPr="00E343EA">
        <w:t xml:space="preserve">, </w:t>
      </w:r>
      <w:r w:rsidRPr="00E343EA">
        <w:rPr>
          <w:smallCaps/>
        </w:rPr>
        <w:t>Ogden Standard</w:t>
      </w:r>
      <w:r>
        <w:rPr>
          <w:smallCaps/>
        </w:rPr>
        <w:t xml:space="preserve"> (</w:t>
      </w:r>
      <w:r w:rsidRPr="00A4170C">
        <w:t>Utah</w:t>
      </w:r>
      <w:r>
        <w:rPr>
          <w:smallCaps/>
        </w:rPr>
        <w:t>)</w:t>
      </w:r>
      <w:r w:rsidRPr="00E343EA">
        <w:rPr>
          <w:smallCaps/>
        </w:rPr>
        <w:t xml:space="preserve">, </w:t>
      </w:r>
      <w:r w:rsidRPr="00E343EA">
        <w:t>Apr. 4, 1902, at 5.</w:t>
      </w:r>
    </w:p>
  </w:footnote>
  <w:footnote w:id="324">
    <w:p w14:paraId="5CCED0F8" w14:textId="7A619E14" w:rsidR="00501D78" w:rsidRPr="00E343EA" w:rsidRDefault="00501D78" w:rsidP="00B06E49">
      <w:pPr>
        <w:pStyle w:val="FootnoteText"/>
      </w:pPr>
      <w:r w:rsidRPr="00E343EA">
        <w:rPr>
          <w:rStyle w:val="FootnoteReference"/>
        </w:rPr>
        <w:footnoteRef/>
      </w:r>
      <w:r w:rsidRPr="00E343EA">
        <w:t xml:space="preserve"> </w:t>
      </w:r>
      <w:r>
        <w:rPr>
          <w:i/>
        </w:rPr>
        <w:t>Id</w:t>
      </w:r>
      <w:r w:rsidRPr="00E343EA">
        <w:t>.</w:t>
      </w:r>
    </w:p>
  </w:footnote>
  <w:footnote w:id="325">
    <w:p w14:paraId="27E43C4E" w14:textId="16229B50" w:rsidR="00501D78" w:rsidRPr="00E343EA" w:rsidRDefault="00501D78" w:rsidP="00B06E49">
      <w:pPr>
        <w:pStyle w:val="FootnoteText"/>
      </w:pPr>
      <w:r w:rsidRPr="00E343EA">
        <w:rPr>
          <w:rStyle w:val="FootnoteReference"/>
        </w:rPr>
        <w:footnoteRef/>
      </w:r>
      <w:r w:rsidRPr="00E343EA">
        <w:rPr>
          <w:i/>
        </w:rPr>
        <w:t xml:space="preserve"> </w:t>
      </w:r>
      <w:r>
        <w:rPr>
          <w:i/>
        </w:rPr>
        <w:t>Id.;</w:t>
      </w:r>
      <w:r w:rsidRPr="00E343EA">
        <w:t xml:space="preserve"> </w:t>
      </w:r>
      <w:r w:rsidRPr="00E343EA">
        <w:rPr>
          <w:i/>
        </w:rPr>
        <w:t xml:space="preserve">see also </w:t>
      </w:r>
      <w:r w:rsidRPr="00E343EA">
        <w:t xml:space="preserve">12 </w:t>
      </w:r>
      <w:r w:rsidRPr="00E343EA">
        <w:rPr>
          <w:smallCaps/>
        </w:rPr>
        <w:t>Mixer &amp; Server</w:t>
      </w:r>
      <w:r w:rsidRPr="00E343EA">
        <w:t xml:space="preserve"> No. 4, </w:t>
      </w:r>
      <w:r>
        <w:t>Apr.</w:t>
      </w:r>
      <w:r w:rsidRPr="00E343EA">
        <w:t xml:space="preserve"> 15, 1903 at 20.</w:t>
      </w:r>
    </w:p>
  </w:footnote>
  <w:footnote w:id="326">
    <w:p w14:paraId="216B0D9C" w14:textId="079296F2" w:rsidR="00501D78" w:rsidRPr="00E343EA" w:rsidRDefault="00501D78" w:rsidP="00B06E49">
      <w:pPr>
        <w:pStyle w:val="FootnoteText"/>
      </w:pPr>
      <w:r w:rsidRPr="00E343EA">
        <w:rPr>
          <w:rStyle w:val="FootnoteReference"/>
        </w:rPr>
        <w:footnoteRef/>
      </w:r>
      <w:r w:rsidRPr="00E343EA">
        <w:t xml:space="preserve"> </w:t>
      </w:r>
      <w:r w:rsidRPr="00E343EA">
        <w:rPr>
          <w:i/>
        </w:rPr>
        <w:t>Boycott Inaugurated</w:t>
      </w:r>
      <w:r w:rsidRPr="00E343EA">
        <w:t xml:space="preserve">, </w:t>
      </w:r>
      <w:r w:rsidRPr="00E343EA">
        <w:rPr>
          <w:smallCaps/>
        </w:rPr>
        <w:t xml:space="preserve">Salt Lake Trib., </w:t>
      </w:r>
      <w:r w:rsidRPr="00E343EA">
        <w:t xml:space="preserve">Apr. 10, 1903, at 7; </w:t>
      </w:r>
      <w:r w:rsidRPr="00E343EA">
        <w:rPr>
          <w:i/>
        </w:rPr>
        <w:t>Boycott on Chinese Restaurants</w:t>
      </w:r>
      <w:r w:rsidRPr="00E343EA">
        <w:t xml:space="preserve">, </w:t>
      </w:r>
      <w:r w:rsidRPr="00E343EA">
        <w:rPr>
          <w:smallCaps/>
        </w:rPr>
        <w:t xml:space="preserve">Deseret News, </w:t>
      </w:r>
      <w:r w:rsidRPr="00E343EA">
        <w:t xml:space="preserve">Apr. 10, 1903, at 8; </w:t>
      </w:r>
      <w:r w:rsidRPr="00E343EA">
        <w:rPr>
          <w:i/>
        </w:rPr>
        <w:t>Utah State News</w:t>
      </w:r>
      <w:r w:rsidRPr="00E343EA">
        <w:t xml:space="preserve">, </w:t>
      </w:r>
      <w:r w:rsidRPr="00E343EA">
        <w:rPr>
          <w:smallCaps/>
        </w:rPr>
        <w:t>Davis Co. Clipper</w:t>
      </w:r>
      <w:r>
        <w:rPr>
          <w:smallCaps/>
        </w:rPr>
        <w:t xml:space="preserve"> (</w:t>
      </w:r>
      <w:r w:rsidRPr="00373442">
        <w:t>Utah</w:t>
      </w:r>
      <w:r>
        <w:rPr>
          <w:smallCaps/>
        </w:rPr>
        <w:t>)</w:t>
      </w:r>
      <w:r w:rsidRPr="00E343EA">
        <w:rPr>
          <w:smallCaps/>
        </w:rPr>
        <w:t xml:space="preserve">, </w:t>
      </w:r>
      <w:r w:rsidRPr="00E343EA">
        <w:t>Apr. 17, 1903, at 2</w:t>
      </w:r>
      <w:r>
        <w:t>;</w:t>
      </w:r>
      <w:r w:rsidRPr="00372C38">
        <w:rPr>
          <w:smallCaps/>
        </w:rPr>
        <w:t xml:space="preserve"> </w:t>
      </w:r>
      <w:r w:rsidRPr="00E343EA">
        <w:rPr>
          <w:smallCaps/>
        </w:rPr>
        <w:t>Ogden Standard</w:t>
      </w:r>
      <w:r>
        <w:rPr>
          <w:smallCaps/>
        </w:rPr>
        <w:t xml:space="preserve"> (</w:t>
      </w:r>
      <w:r w:rsidRPr="00A4170C">
        <w:t>Utah</w:t>
      </w:r>
      <w:r>
        <w:rPr>
          <w:smallCaps/>
        </w:rPr>
        <w:t>),</w:t>
      </w:r>
      <w:r w:rsidRPr="00E343EA">
        <w:rPr>
          <w:smallCaps/>
        </w:rPr>
        <w:t xml:space="preserve"> </w:t>
      </w:r>
      <w:r w:rsidRPr="00E343EA">
        <w:t xml:space="preserve">Mar. 22, 1904, at 8; </w:t>
      </w:r>
      <w:r w:rsidRPr="00E343EA">
        <w:rPr>
          <w:i/>
        </w:rPr>
        <w:t>Are Union Men Unfair</w:t>
      </w:r>
      <w:r w:rsidRPr="00E343EA">
        <w:t xml:space="preserve">, </w:t>
      </w:r>
      <w:r w:rsidRPr="00E343EA">
        <w:rPr>
          <w:smallCaps/>
        </w:rPr>
        <w:t xml:space="preserve">Salt Lake Herald, </w:t>
      </w:r>
      <w:r w:rsidRPr="00E343EA">
        <w:t xml:space="preserve">Mar. 21, 1904, at 5. </w:t>
      </w:r>
      <w:r w:rsidRPr="00E343EA">
        <w:rPr>
          <w:i/>
        </w:rPr>
        <w:t>Salt Lake City and Neighborhood</w:t>
      </w:r>
      <w:r w:rsidRPr="00E343EA">
        <w:t xml:space="preserve">, </w:t>
      </w:r>
      <w:r w:rsidRPr="00E343EA">
        <w:rPr>
          <w:smallCaps/>
        </w:rPr>
        <w:t>Intermountain Cath.</w:t>
      </w:r>
      <w:r>
        <w:rPr>
          <w:smallCaps/>
        </w:rPr>
        <w:t xml:space="preserve"> (</w:t>
      </w:r>
      <w:r w:rsidRPr="00A4170C">
        <w:t>Utah</w:t>
      </w:r>
      <w:r>
        <w:rPr>
          <w:smallCaps/>
        </w:rPr>
        <w:t>)</w:t>
      </w:r>
      <w:r w:rsidRPr="00E343EA">
        <w:rPr>
          <w:smallCaps/>
        </w:rPr>
        <w:t xml:space="preserve">, </w:t>
      </w:r>
      <w:r w:rsidRPr="00E343EA">
        <w:t>Mar. 26, 1904, at 8.</w:t>
      </w:r>
    </w:p>
  </w:footnote>
  <w:footnote w:id="327">
    <w:p w14:paraId="4C0B0E1F" w14:textId="0331EE7C" w:rsidR="00501D78" w:rsidRPr="00E343EA" w:rsidRDefault="00501D78" w:rsidP="00B06E49">
      <w:pPr>
        <w:pStyle w:val="FootnoteText"/>
      </w:pPr>
      <w:r w:rsidRPr="00E343EA">
        <w:rPr>
          <w:rStyle w:val="FootnoteReference"/>
        </w:rPr>
        <w:footnoteRef/>
      </w:r>
      <w:r w:rsidRPr="00E343EA">
        <w:t xml:space="preserve"> </w:t>
      </w:r>
      <w:r w:rsidRPr="00E343EA">
        <w:rPr>
          <w:i/>
        </w:rPr>
        <w:t>After Chinese Restaurants</w:t>
      </w:r>
      <w:r w:rsidRPr="00E343EA">
        <w:t xml:space="preserve">, </w:t>
      </w:r>
      <w:r w:rsidRPr="00E343EA">
        <w:rPr>
          <w:smallCaps/>
        </w:rPr>
        <w:t xml:space="preserve">Salt Lake Trib., </w:t>
      </w:r>
      <w:r w:rsidRPr="00E343EA">
        <w:t>Apr. 28, 1903, at 3.</w:t>
      </w:r>
    </w:p>
  </w:footnote>
  <w:footnote w:id="328">
    <w:p w14:paraId="380876AE" w14:textId="3FE516DE" w:rsidR="00501D78" w:rsidRPr="00E343EA" w:rsidRDefault="00501D78" w:rsidP="00B06E49">
      <w:pPr>
        <w:pStyle w:val="FootnoteText"/>
      </w:pPr>
      <w:r w:rsidRPr="00E343EA">
        <w:rPr>
          <w:rStyle w:val="FootnoteReference"/>
        </w:rPr>
        <w:footnoteRef/>
      </w:r>
      <w:r w:rsidRPr="00E343EA">
        <w:t xml:space="preserve"> </w:t>
      </w:r>
      <w:r w:rsidRPr="00E343EA">
        <w:rPr>
          <w:i/>
        </w:rPr>
        <w:t>Screened Booths Unlawful</w:t>
      </w:r>
      <w:r w:rsidRPr="00E343EA">
        <w:t xml:space="preserve">, </w:t>
      </w:r>
      <w:r w:rsidRPr="00E343EA">
        <w:rPr>
          <w:smallCaps/>
        </w:rPr>
        <w:t xml:space="preserve">Deseret Evening News, </w:t>
      </w:r>
      <w:r w:rsidRPr="00E343EA">
        <w:t>Oct. 13, 1903, at 1.</w:t>
      </w:r>
    </w:p>
  </w:footnote>
  <w:footnote w:id="329">
    <w:p w14:paraId="37BDCBCD" w14:textId="26E04220" w:rsidR="00501D78" w:rsidRPr="00E343EA" w:rsidRDefault="00501D78" w:rsidP="00B06E49">
      <w:pPr>
        <w:pStyle w:val="FootnoteText"/>
      </w:pPr>
      <w:r w:rsidRPr="00E343EA">
        <w:rPr>
          <w:rStyle w:val="FootnoteReference"/>
        </w:rPr>
        <w:footnoteRef/>
      </w:r>
      <w:r w:rsidRPr="00E343EA">
        <w:t xml:space="preserve"> </w:t>
      </w:r>
      <w:r w:rsidRPr="00E343EA">
        <w:rPr>
          <w:i/>
        </w:rPr>
        <w:t>Ogden Restaurant Keepers Win Case</w:t>
      </w:r>
      <w:r w:rsidRPr="00E343EA">
        <w:t xml:space="preserve">, </w:t>
      </w:r>
      <w:r w:rsidRPr="00E343EA">
        <w:rPr>
          <w:smallCaps/>
        </w:rPr>
        <w:t xml:space="preserve">Salt Lake Trib., </w:t>
      </w:r>
      <w:r w:rsidRPr="00E343EA">
        <w:t>Mar. 5, 1904, at 5.</w:t>
      </w:r>
    </w:p>
  </w:footnote>
  <w:footnote w:id="330">
    <w:p w14:paraId="0740421B" w14:textId="4F485F7C" w:rsidR="00501D78" w:rsidRPr="00E343EA" w:rsidRDefault="00501D78" w:rsidP="00B06E49">
      <w:pPr>
        <w:pStyle w:val="FootnoteText"/>
      </w:pPr>
      <w:r w:rsidRPr="00E343EA">
        <w:rPr>
          <w:rStyle w:val="FootnoteReference"/>
        </w:rPr>
        <w:footnoteRef/>
      </w:r>
      <w:r w:rsidRPr="00E343EA">
        <w:t xml:space="preserve"> </w:t>
      </w:r>
      <w:r w:rsidRPr="00E343EA">
        <w:rPr>
          <w:i/>
        </w:rPr>
        <w:t>Hard to Kill Off</w:t>
      </w:r>
      <w:r w:rsidRPr="00E343EA">
        <w:t xml:space="preserve">, </w:t>
      </w:r>
      <w:r w:rsidRPr="00E343EA">
        <w:rPr>
          <w:smallCaps/>
        </w:rPr>
        <w:t xml:space="preserve">Salt Lake Herald, </w:t>
      </w:r>
      <w:r w:rsidRPr="00E343EA">
        <w:t>June 20, 1903, at 7.</w:t>
      </w:r>
    </w:p>
  </w:footnote>
  <w:footnote w:id="331">
    <w:p w14:paraId="084799C8" w14:textId="6AF5F3C3" w:rsidR="00501D78" w:rsidRPr="00E343EA" w:rsidRDefault="00501D78" w:rsidP="00B06E49">
      <w:pPr>
        <w:pStyle w:val="FootnoteText"/>
      </w:pPr>
      <w:r w:rsidRPr="00E343EA">
        <w:rPr>
          <w:rStyle w:val="FootnoteReference"/>
        </w:rPr>
        <w:footnoteRef/>
      </w:r>
      <w:r w:rsidRPr="00E343EA">
        <w:t xml:space="preserve"> </w:t>
      </w:r>
      <w:r w:rsidRPr="00E343EA">
        <w:rPr>
          <w:i/>
        </w:rPr>
        <w:t>Ogden Restaurant Keepers Win Case</w:t>
      </w:r>
      <w:r w:rsidRPr="00E343EA">
        <w:t xml:space="preserve">, </w:t>
      </w:r>
      <w:r w:rsidRPr="00E343EA">
        <w:rPr>
          <w:smallCaps/>
        </w:rPr>
        <w:t xml:space="preserve">Salt Lake Trib., </w:t>
      </w:r>
      <w:r w:rsidRPr="00E343EA">
        <w:t>Mar. 5, 1904, at 5</w:t>
      </w:r>
      <w:r>
        <w:t>.</w:t>
      </w:r>
    </w:p>
  </w:footnote>
  <w:footnote w:id="332">
    <w:p w14:paraId="35851E53" w14:textId="07C46C5B" w:rsidR="00501D78" w:rsidRPr="00E343EA" w:rsidRDefault="00501D78" w:rsidP="00B06E49">
      <w:pPr>
        <w:pStyle w:val="FootnoteText"/>
      </w:pPr>
      <w:r w:rsidRPr="00E343EA">
        <w:rPr>
          <w:rStyle w:val="FootnoteReference"/>
        </w:rPr>
        <w:footnoteRef/>
      </w:r>
      <w:r w:rsidRPr="00E343EA">
        <w:t xml:space="preserve"> </w:t>
      </w:r>
      <w:r w:rsidRPr="00E343EA">
        <w:rPr>
          <w:i/>
        </w:rPr>
        <w:t>Reform in Ogden</w:t>
      </w:r>
      <w:r w:rsidRPr="00E343EA">
        <w:t xml:space="preserve">, </w:t>
      </w:r>
      <w:r w:rsidRPr="00E343EA">
        <w:rPr>
          <w:smallCaps/>
        </w:rPr>
        <w:t>Ogden Standard Examiner</w:t>
      </w:r>
      <w:r>
        <w:rPr>
          <w:smallCaps/>
        </w:rPr>
        <w:t xml:space="preserve"> (</w:t>
      </w:r>
      <w:r w:rsidRPr="00A4170C">
        <w:t>Utah</w:t>
      </w:r>
      <w:r>
        <w:rPr>
          <w:smallCaps/>
        </w:rPr>
        <w:t>)</w:t>
      </w:r>
      <w:r w:rsidRPr="00E343EA">
        <w:rPr>
          <w:smallCaps/>
        </w:rPr>
        <w:t xml:space="preserve">, </w:t>
      </w:r>
      <w:r w:rsidRPr="00E343EA">
        <w:t>Feb. 10,</w:t>
      </w:r>
      <w:r>
        <w:t xml:space="preserve"> 1906</w:t>
      </w:r>
      <w:r w:rsidRPr="00E343EA">
        <w:t xml:space="preserve"> at 4. </w:t>
      </w:r>
    </w:p>
  </w:footnote>
  <w:footnote w:id="333">
    <w:p w14:paraId="4036BCE7" w14:textId="0D62C3D5" w:rsidR="00501D78" w:rsidRPr="00E343EA" w:rsidRDefault="00501D78" w:rsidP="00B06E49">
      <w:pPr>
        <w:pStyle w:val="FootnoteText"/>
        <w:rPr>
          <w:i/>
        </w:rPr>
      </w:pPr>
      <w:r w:rsidRPr="00E343EA">
        <w:rPr>
          <w:rStyle w:val="FootnoteReference"/>
        </w:rPr>
        <w:footnoteRef/>
      </w:r>
      <w:r w:rsidRPr="00E343EA">
        <w:t xml:space="preserve"> </w:t>
      </w:r>
      <w:r w:rsidRPr="00E343EA">
        <w:rPr>
          <w:i/>
        </w:rPr>
        <w:t>See Private Booths in Restaurants</w:t>
      </w:r>
      <w:r w:rsidRPr="00E343EA">
        <w:t xml:space="preserve">, </w:t>
      </w:r>
      <w:r w:rsidRPr="00E343EA">
        <w:rPr>
          <w:smallCaps/>
        </w:rPr>
        <w:t>Ogden Standard</w:t>
      </w:r>
      <w:r>
        <w:rPr>
          <w:smallCaps/>
        </w:rPr>
        <w:t xml:space="preserve"> (</w:t>
      </w:r>
      <w:r w:rsidRPr="00A4170C">
        <w:t>Utah</w:t>
      </w:r>
      <w:r>
        <w:rPr>
          <w:smallCaps/>
        </w:rPr>
        <w:t>)</w:t>
      </w:r>
      <w:r w:rsidRPr="00E343EA">
        <w:rPr>
          <w:smallCaps/>
        </w:rPr>
        <w:t xml:space="preserve">, </w:t>
      </w:r>
      <w:r w:rsidRPr="00E343EA">
        <w:t>Jan. 23, 1918, 4 PM edition, at 7.</w:t>
      </w:r>
      <w:r w:rsidRPr="00E343EA">
        <w:rPr>
          <w:i/>
        </w:rPr>
        <w:t xml:space="preserve"> </w:t>
      </w:r>
    </w:p>
  </w:footnote>
  <w:footnote w:id="334">
    <w:p w14:paraId="0EF9C87B"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Chinese Protest Ban on Booths</w:t>
      </w:r>
      <w:r w:rsidRPr="00E343EA">
        <w:t xml:space="preserve">, </w:t>
      </w:r>
      <w:r w:rsidRPr="00E343EA">
        <w:rPr>
          <w:smallCaps/>
        </w:rPr>
        <w:t xml:space="preserve">Salt Lake Herald, </w:t>
      </w:r>
      <w:r w:rsidRPr="00E343EA">
        <w:t>Jan. 29, 1918, at 2.</w:t>
      </w:r>
    </w:p>
  </w:footnote>
  <w:footnote w:id="335">
    <w:p w14:paraId="1F8CD301" w14:textId="05222FAC" w:rsidR="00501D78" w:rsidRPr="00E343EA" w:rsidRDefault="00501D78" w:rsidP="00B06E49">
      <w:pPr>
        <w:pStyle w:val="FootnoteText"/>
      </w:pPr>
      <w:r w:rsidRPr="00E343EA">
        <w:rPr>
          <w:rStyle w:val="FootnoteReference"/>
        </w:rPr>
        <w:footnoteRef/>
      </w:r>
      <w:r w:rsidRPr="00E343EA">
        <w:t xml:space="preserve"> </w:t>
      </w:r>
      <w:r w:rsidRPr="00E343EA">
        <w:rPr>
          <w:i/>
        </w:rPr>
        <w:t>Crusade Starts on Chinese Restaurant Booths</w:t>
      </w:r>
      <w:r w:rsidRPr="00E343EA">
        <w:t xml:space="preserve">, </w:t>
      </w:r>
      <w:r w:rsidRPr="00E343EA">
        <w:rPr>
          <w:smallCaps/>
        </w:rPr>
        <w:t>Ogden Standard</w:t>
      </w:r>
      <w:r>
        <w:rPr>
          <w:smallCaps/>
        </w:rPr>
        <w:t xml:space="preserve"> (</w:t>
      </w:r>
      <w:r w:rsidRPr="00A4170C">
        <w:t>Utah</w:t>
      </w:r>
      <w:r>
        <w:rPr>
          <w:smallCaps/>
        </w:rPr>
        <w:t>)</w:t>
      </w:r>
      <w:r w:rsidRPr="00E343EA">
        <w:rPr>
          <w:smallCaps/>
        </w:rPr>
        <w:t>, A</w:t>
      </w:r>
      <w:r w:rsidRPr="00E343EA">
        <w:t xml:space="preserve">pr. 3, 1918, 3:30 edition, at 6; </w:t>
      </w:r>
      <w:r w:rsidRPr="00E343EA">
        <w:rPr>
          <w:i/>
        </w:rPr>
        <w:t>May Issue Warrant to Test Booth Ordinance</w:t>
      </w:r>
      <w:r w:rsidRPr="00E343EA">
        <w:t xml:space="preserve">, </w:t>
      </w:r>
      <w:r w:rsidRPr="00E343EA">
        <w:rPr>
          <w:smallCaps/>
        </w:rPr>
        <w:t>Ogden Standard</w:t>
      </w:r>
      <w:r>
        <w:rPr>
          <w:smallCaps/>
        </w:rPr>
        <w:t xml:space="preserve"> (</w:t>
      </w:r>
      <w:r w:rsidRPr="00A4170C">
        <w:t>Utah</w:t>
      </w:r>
      <w:r>
        <w:rPr>
          <w:smallCaps/>
        </w:rPr>
        <w:t>)</w:t>
      </w:r>
      <w:r w:rsidRPr="00E343EA">
        <w:rPr>
          <w:smallCaps/>
        </w:rPr>
        <w:t xml:space="preserve">, </w:t>
      </w:r>
      <w:r w:rsidRPr="00E343EA">
        <w:t>Apr. 6, 1918, at 32.</w:t>
      </w:r>
    </w:p>
  </w:footnote>
  <w:footnote w:id="336">
    <w:p w14:paraId="4A43E4A4"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Id</w:t>
      </w:r>
      <w:r w:rsidRPr="00E343EA">
        <w:t>.</w:t>
      </w:r>
    </w:p>
  </w:footnote>
  <w:footnote w:id="337">
    <w:p w14:paraId="03E1993B" w14:textId="2814672A" w:rsidR="00501D78" w:rsidRDefault="00501D78" w:rsidP="002842E6">
      <w:pPr>
        <w:pStyle w:val="FootnoteText"/>
      </w:pPr>
      <w:r>
        <w:rPr>
          <w:rStyle w:val="FootnoteReference"/>
        </w:rPr>
        <w:footnoteRef/>
      </w:r>
      <w:r>
        <w:t xml:space="preserve"> The Alhambra Café was a Chinese restaurant in the sense that owner John Doe Leo was Chinese.  </w:t>
      </w:r>
      <w:r w:rsidRPr="005C26EE">
        <w:rPr>
          <w:i/>
        </w:rPr>
        <w:t>Stamping out the Liquor Offenses</w:t>
      </w:r>
      <w:r>
        <w:t xml:space="preserve">, </w:t>
      </w:r>
      <w:r w:rsidRPr="00B232BD">
        <w:rPr>
          <w:smallCaps/>
        </w:rPr>
        <w:t>Ogden Standard</w:t>
      </w:r>
      <w:r>
        <w:rPr>
          <w:smallCaps/>
        </w:rPr>
        <w:t xml:space="preserve"> (</w:t>
      </w:r>
      <w:r w:rsidRPr="00A4170C">
        <w:t>Utah</w:t>
      </w:r>
      <w:r>
        <w:rPr>
          <w:smallCaps/>
        </w:rPr>
        <w:t>)</w:t>
      </w:r>
      <w:r>
        <w:t xml:space="preserve">, Feb. 22, 1916, at 3.  In addition, Chinese people were among its patrons and employees.  </w:t>
      </w:r>
      <w:r w:rsidRPr="001653F2">
        <w:rPr>
          <w:i/>
        </w:rPr>
        <w:t>See supra</w:t>
      </w:r>
      <w:r>
        <w:t xml:space="preserve"> note </w:t>
      </w:r>
      <w:r>
        <w:fldChar w:fldCharType="begin"/>
      </w:r>
      <w:r>
        <w:instrText xml:space="preserve"> NOTEREF _Ref461891213 \h </w:instrText>
      </w:r>
      <w:r>
        <w:fldChar w:fldCharType="separate"/>
      </w:r>
      <w:r w:rsidR="008A4890">
        <w:t>231</w:t>
      </w:r>
      <w:r>
        <w:fldChar w:fldCharType="end"/>
      </w:r>
      <w:r>
        <w:t xml:space="preserve">; </w:t>
      </w:r>
      <w:r w:rsidRPr="009C73FF">
        <w:rPr>
          <w:i/>
        </w:rPr>
        <w:t>Chinese Cook, Hit by Auto, Dies on Way to Hospital</w:t>
      </w:r>
      <w:r>
        <w:t xml:space="preserve">, </w:t>
      </w:r>
      <w:r w:rsidRPr="009C73FF">
        <w:rPr>
          <w:smallCaps/>
        </w:rPr>
        <w:t>Ogden Standard</w:t>
      </w:r>
      <w:r>
        <w:rPr>
          <w:smallCaps/>
        </w:rPr>
        <w:t xml:space="preserve"> (</w:t>
      </w:r>
      <w:r w:rsidRPr="00A4170C">
        <w:t>Utah</w:t>
      </w:r>
      <w:r>
        <w:rPr>
          <w:smallCaps/>
        </w:rPr>
        <w:t>)</w:t>
      </w:r>
      <w:r>
        <w:t xml:space="preserve">, Oct. 25, 1918, at 10 (reporting death of Lee Hun Poye, Alhambra Café cook).  However, the restaurant advertised “regular dinner served every day.  Short orders served any time.” </w:t>
      </w:r>
      <w:r w:rsidRPr="00726085">
        <w:rPr>
          <w:i/>
        </w:rPr>
        <w:t>E.g.,</w:t>
      </w:r>
      <w:r>
        <w:t xml:space="preserve"> </w:t>
      </w:r>
      <w:r w:rsidRPr="00AB5059">
        <w:rPr>
          <w:smallCaps/>
        </w:rPr>
        <w:t>Ogden Standard</w:t>
      </w:r>
      <w:r>
        <w:rPr>
          <w:smallCaps/>
        </w:rPr>
        <w:t xml:space="preserve"> (</w:t>
      </w:r>
      <w:r w:rsidRPr="00A4170C">
        <w:t>Utah</w:t>
      </w:r>
      <w:r>
        <w:rPr>
          <w:smallCaps/>
        </w:rPr>
        <w:t>)</w:t>
      </w:r>
      <w:r>
        <w:t>, Jan. 16, 1915, at 2.  Therefore it is not known if it served Chinese food along with its American cuisine.</w:t>
      </w:r>
    </w:p>
  </w:footnote>
  <w:footnote w:id="338">
    <w:p w14:paraId="29A74CBC" w14:textId="77777777" w:rsidR="00501D78" w:rsidRPr="00E343EA" w:rsidRDefault="00501D78" w:rsidP="00B06E49">
      <w:pPr>
        <w:pStyle w:val="FootnoteText"/>
      </w:pPr>
      <w:r w:rsidRPr="00E343EA">
        <w:rPr>
          <w:rStyle w:val="FootnoteReference"/>
        </w:rPr>
        <w:footnoteRef/>
      </w:r>
      <w:r w:rsidRPr="00E343EA">
        <w:t xml:space="preserve"> </w:t>
      </w:r>
      <w:r w:rsidRPr="00E343EA">
        <w:rPr>
          <w:i/>
        </w:rPr>
        <w:t>City Wins Fight on Private Booths</w:t>
      </w:r>
      <w:r w:rsidRPr="00E343EA">
        <w:t xml:space="preserve">, </w:t>
      </w:r>
      <w:r w:rsidRPr="00E343EA">
        <w:rPr>
          <w:smallCaps/>
        </w:rPr>
        <w:t xml:space="preserve">Salt Lake Telegram, </w:t>
      </w:r>
      <w:r w:rsidRPr="00E343EA">
        <w:t>Feb. 27, 1919, at 9.</w:t>
      </w:r>
    </w:p>
  </w:footnote>
  <w:footnote w:id="339">
    <w:p w14:paraId="12378405" w14:textId="31C672E1" w:rsidR="00501D78" w:rsidRPr="00E343EA" w:rsidRDefault="00501D78" w:rsidP="00B06E49">
      <w:pPr>
        <w:pStyle w:val="FootnoteText"/>
      </w:pPr>
      <w:r w:rsidRPr="00E343EA">
        <w:rPr>
          <w:rStyle w:val="FootnoteReference"/>
        </w:rPr>
        <w:footnoteRef/>
      </w:r>
      <w:r w:rsidRPr="00E343EA">
        <w:t xml:space="preserve"> </w:t>
      </w:r>
      <w:r w:rsidRPr="00E343EA">
        <w:rPr>
          <w:i/>
        </w:rPr>
        <w:t>Booths Must Go Now That Supreme Court Has Decided in Favor of City of Ogden</w:t>
      </w:r>
      <w:r w:rsidRPr="00E343EA">
        <w:t xml:space="preserve">, </w:t>
      </w:r>
      <w:r w:rsidRPr="00E343EA">
        <w:rPr>
          <w:smallCaps/>
        </w:rPr>
        <w:t>Ogden Standard</w:t>
      </w:r>
      <w:r>
        <w:rPr>
          <w:smallCaps/>
        </w:rPr>
        <w:t xml:space="preserve"> (</w:t>
      </w:r>
      <w:r w:rsidRPr="00A4170C">
        <w:t>Utah</w:t>
      </w:r>
      <w:r>
        <w:rPr>
          <w:smallCaps/>
        </w:rPr>
        <w:t>)</w:t>
      </w:r>
      <w:r w:rsidRPr="00E343EA">
        <w:rPr>
          <w:smallCaps/>
        </w:rPr>
        <w:t xml:space="preserve">, </w:t>
      </w:r>
      <w:r w:rsidRPr="00E343EA">
        <w:t xml:space="preserve">June 27, 1919, </w:t>
      </w:r>
      <w:r>
        <w:t>at 14</w:t>
      </w:r>
      <w:r w:rsidRPr="00E343EA">
        <w:t>.</w:t>
      </w:r>
    </w:p>
  </w:footnote>
  <w:footnote w:id="340">
    <w:p w14:paraId="243BF0CF" w14:textId="0DC6FAE1" w:rsidR="00501D78" w:rsidRPr="00E343EA" w:rsidRDefault="00501D78" w:rsidP="00B06E49">
      <w:pPr>
        <w:pStyle w:val="FootnoteText"/>
      </w:pPr>
      <w:r w:rsidRPr="00E343EA">
        <w:rPr>
          <w:rStyle w:val="FootnoteReference"/>
        </w:rPr>
        <w:footnoteRef/>
      </w:r>
      <w:r w:rsidRPr="00E343EA">
        <w:t xml:space="preserve"> Ogden City v. Leo, 182 P. 530</w:t>
      </w:r>
      <w:r>
        <w:t>, 532-33</w:t>
      </w:r>
      <w:r w:rsidRPr="00E343EA">
        <w:t xml:space="preserve"> (Utah 1919).</w:t>
      </w:r>
    </w:p>
  </w:footnote>
  <w:footnote w:id="341">
    <w:p w14:paraId="097F4A75" w14:textId="1DB568BB" w:rsidR="00501D78" w:rsidRPr="00E343EA" w:rsidRDefault="00501D78" w:rsidP="00825D4B">
      <w:pPr>
        <w:pStyle w:val="FootnoteText"/>
        <w:rPr>
          <w:i/>
        </w:rPr>
      </w:pPr>
      <w:r w:rsidRPr="00E343EA">
        <w:rPr>
          <w:rStyle w:val="FootnoteReference"/>
        </w:rPr>
        <w:footnoteRef/>
      </w:r>
      <w:r w:rsidRPr="00E343EA">
        <w:t xml:space="preserve"> </w:t>
      </w:r>
      <w:r w:rsidRPr="00E343EA">
        <w:rPr>
          <w:i/>
        </w:rPr>
        <w:t>Humor</w:t>
      </w:r>
      <w:r w:rsidRPr="005B145D">
        <w:t>,</w:t>
      </w:r>
      <w:r>
        <w:rPr>
          <w:i/>
        </w:rPr>
        <w:t xml:space="preserve"> supra</w:t>
      </w:r>
      <w:r w:rsidRPr="005B145D">
        <w:t xml:space="preserve"> note </w:t>
      </w:r>
      <w:r>
        <w:fldChar w:fldCharType="begin"/>
      </w:r>
      <w:r>
        <w:instrText xml:space="preserve"> NOTEREF _Ref476324355 \h </w:instrText>
      </w:r>
      <w:r>
        <w:fldChar w:fldCharType="separate"/>
      </w:r>
      <w:r w:rsidR="008A4890">
        <w:t>314</w:t>
      </w:r>
      <w:r>
        <w:fldChar w:fldCharType="end"/>
      </w:r>
      <w:r w:rsidRPr="005B145D">
        <w:t xml:space="preserve">, </w:t>
      </w:r>
      <w:r w:rsidRPr="00E343EA">
        <w:t>at 8.</w:t>
      </w:r>
      <w:r w:rsidRPr="00E343EA">
        <w:rPr>
          <w:i/>
        </w:rPr>
        <w:t xml:space="preserve"> </w:t>
      </w:r>
    </w:p>
  </w:footnote>
  <w:footnote w:id="342">
    <w:p w14:paraId="5BEAF2F2" w14:textId="3D5A0EC4" w:rsidR="00501D78" w:rsidRDefault="00501D78">
      <w:pPr>
        <w:pStyle w:val="FootnoteText"/>
      </w:pPr>
      <w:r>
        <w:rPr>
          <w:rStyle w:val="FootnoteReference"/>
        </w:rPr>
        <w:footnoteRef/>
      </w:r>
      <w:r>
        <w:t xml:space="preserve"> </w:t>
      </w:r>
      <w:r w:rsidRPr="00F242FC">
        <w:rPr>
          <w:i/>
        </w:rPr>
        <w:t>See supra</w:t>
      </w:r>
      <w:r>
        <w:t xml:space="preserve"> note </w:t>
      </w:r>
      <w:r>
        <w:fldChar w:fldCharType="begin"/>
      </w:r>
      <w:r>
        <w:instrText xml:space="preserve"> NOTEREF _Ref461978984 \h </w:instrText>
      </w:r>
      <w:r>
        <w:fldChar w:fldCharType="separate"/>
      </w:r>
      <w:r w:rsidR="008A4890">
        <w:t>75</w:t>
      </w:r>
      <w:r>
        <w:fldChar w:fldCharType="end"/>
      </w:r>
      <w:r>
        <w:t>, and accompanying text.</w:t>
      </w:r>
    </w:p>
  </w:footnote>
  <w:footnote w:id="343">
    <w:p w14:paraId="6CB1EE89" w14:textId="68F1D8AA" w:rsidR="00501D78" w:rsidRDefault="00501D78">
      <w:pPr>
        <w:pStyle w:val="FootnoteText"/>
      </w:pPr>
      <w:r>
        <w:rPr>
          <w:rStyle w:val="FootnoteReference"/>
        </w:rPr>
        <w:footnoteRef/>
      </w:r>
      <w:r>
        <w:t xml:space="preserve"> </w:t>
      </w:r>
      <w:r w:rsidRPr="00F242FC">
        <w:rPr>
          <w:i/>
        </w:rPr>
        <w:t>See supra</w:t>
      </w:r>
      <w:r>
        <w:t xml:space="preserve"> note </w:t>
      </w:r>
      <w:r>
        <w:fldChar w:fldCharType="begin"/>
      </w:r>
      <w:r>
        <w:instrText xml:space="preserve"> NOTEREF _Ref461978999 \h </w:instrText>
      </w:r>
      <w:r>
        <w:fldChar w:fldCharType="separate"/>
      </w:r>
      <w:r w:rsidR="008A4890">
        <w:t>272</w:t>
      </w:r>
      <w:r>
        <w:fldChar w:fldCharType="end"/>
      </w:r>
      <w:r>
        <w:t>, and accompanying text.</w:t>
      </w:r>
    </w:p>
  </w:footnote>
  <w:footnote w:id="344">
    <w:p w14:paraId="45469490" w14:textId="7F044082" w:rsidR="00501D78" w:rsidRPr="00E343EA" w:rsidRDefault="00501D78" w:rsidP="00897290">
      <w:pPr>
        <w:pStyle w:val="FootnoteText"/>
      </w:pPr>
      <w:r w:rsidRPr="00E343EA">
        <w:rPr>
          <w:rStyle w:val="FootnoteReference"/>
        </w:rPr>
        <w:footnoteRef/>
      </w:r>
      <w:r w:rsidRPr="00E343EA">
        <w:t xml:space="preserve"> </w:t>
      </w:r>
      <w:r w:rsidRPr="00E343EA">
        <w:rPr>
          <w:i/>
        </w:rPr>
        <w:t>Police Capture 178</w:t>
      </w:r>
      <w:r w:rsidRPr="00E343EA">
        <w:t xml:space="preserve">, </w:t>
      </w:r>
      <w:r w:rsidRPr="000337CA">
        <w:rPr>
          <w:i/>
        </w:rPr>
        <w:t>supra</w:t>
      </w:r>
      <w:r>
        <w:t xml:space="preserve"> note </w:t>
      </w:r>
      <w:r>
        <w:fldChar w:fldCharType="begin"/>
      </w:r>
      <w:r>
        <w:instrText xml:space="preserve"> NOTEREF _Ref476155952 \h </w:instrText>
      </w:r>
      <w:r>
        <w:fldChar w:fldCharType="separate"/>
      </w:r>
      <w:r w:rsidR="008A4890">
        <w:t>113</w:t>
      </w:r>
      <w:r>
        <w:fldChar w:fldCharType="end"/>
      </w:r>
      <w:r>
        <w:t xml:space="preserve">, </w:t>
      </w:r>
      <w:r w:rsidRPr="00E343EA">
        <w:t>at 8.</w:t>
      </w:r>
    </w:p>
  </w:footnote>
  <w:footnote w:id="345">
    <w:p w14:paraId="5DDFB2C3" w14:textId="7AE64347" w:rsidR="00501D78" w:rsidRPr="00E343EA" w:rsidRDefault="00501D78" w:rsidP="003B3CF6">
      <w:pPr>
        <w:pStyle w:val="FootnoteText"/>
      </w:pPr>
      <w:r w:rsidRPr="00E343EA">
        <w:rPr>
          <w:rStyle w:val="FootnoteReference"/>
        </w:rPr>
        <w:footnoteRef/>
      </w:r>
      <w:r w:rsidRPr="00E343EA">
        <w:t xml:space="preserve"> </w:t>
      </w:r>
      <w:r w:rsidRPr="00E343EA">
        <w:rPr>
          <w:i/>
        </w:rPr>
        <w:t>Chicago Council Knocks Out Another Saloon Adjunct</w:t>
      </w:r>
      <w:r w:rsidRPr="00E343EA">
        <w:t xml:space="preserve">, </w:t>
      </w:r>
      <w:r w:rsidRPr="00E343EA">
        <w:rPr>
          <w:smallCaps/>
        </w:rPr>
        <w:t xml:space="preserve">Bemidji Daily Pioneer, </w:t>
      </w:r>
      <w:r w:rsidRPr="00E343EA">
        <w:t xml:space="preserve">July 1, 1904, at 4; </w:t>
      </w:r>
      <w:r w:rsidRPr="00E343EA">
        <w:rPr>
          <w:i/>
        </w:rPr>
        <w:t>see also</w:t>
      </w:r>
      <w:r w:rsidRPr="00E343EA">
        <w:t xml:space="preserve"> </w:t>
      </w:r>
      <w:r w:rsidRPr="00E343EA">
        <w:rPr>
          <w:smallCaps/>
        </w:rPr>
        <w:t xml:space="preserve">Proceedings of the City Council of the City of Chicago 2219-20, 2652 (1904); </w:t>
      </w:r>
      <w:r w:rsidRPr="00E343EA">
        <w:rPr>
          <w:i/>
        </w:rPr>
        <w:t>Bishop Sumner Urges Action: Advises Enforcement of Laws</w:t>
      </w:r>
      <w:r w:rsidRPr="00E343EA">
        <w:t xml:space="preserve">, </w:t>
      </w:r>
      <w:r w:rsidRPr="00E343EA">
        <w:rPr>
          <w:smallCaps/>
        </w:rPr>
        <w:t xml:space="preserve">S.F. Chron., </w:t>
      </w:r>
      <w:r w:rsidRPr="00E343EA">
        <w:t>Jan. 27, 1917, at 4.</w:t>
      </w:r>
    </w:p>
  </w:footnote>
  <w:footnote w:id="346">
    <w:p w14:paraId="73598529" w14:textId="45E43356" w:rsidR="00501D78" w:rsidRPr="00E343EA" w:rsidRDefault="00501D78" w:rsidP="003B3CF6">
      <w:pPr>
        <w:pStyle w:val="FootnoteText"/>
      </w:pPr>
      <w:r w:rsidRPr="00E343EA">
        <w:rPr>
          <w:rStyle w:val="FootnoteReference"/>
        </w:rPr>
        <w:footnoteRef/>
      </w:r>
      <w:r w:rsidRPr="00E343EA">
        <w:t xml:space="preserve"> </w:t>
      </w:r>
      <w:r w:rsidRPr="00E343EA">
        <w:rPr>
          <w:i/>
        </w:rPr>
        <w:t>Police Commissioners Make Good Their Threats to Punish Saloon Men by Suspension of Many Licenses</w:t>
      </w:r>
      <w:r w:rsidRPr="00E343EA">
        <w:t xml:space="preserve">, </w:t>
      </w:r>
      <w:r w:rsidRPr="00E343EA">
        <w:rPr>
          <w:smallCaps/>
        </w:rPr>
        <w:t xml:space="preserve">Daily L.A. Herald, </w:t>
      </w:r>
      <w:r w:rsidRPr="00E343EA">
        <w:t>Sept. 2, 1900,</w:t>
      </w:r>
      <w:r w:rsidRPr="00E343EA">
        <w:rPr>
          <w:smallCaps/>
        </w:rPr>
        <w:t xml:space="preserve"> </w:t>
      </w:r>
      <w:r w:rsidRPr="00E343EA">
        <w:t>at 1.</w:t>
      </w:r>
      <w:r w:rsidRPr="00E343EA">
        <w:rPr>
          <w:i/>
        </w:rPr>
        <w:t xml:space="preserve"> See also Police Chief Will Now Act</w:t>
      </w:r>
      <w:r w:rsidRPr="00E343EA">
        <w:t xml:space="preserve">, </w:t>
      </w:r>
      <w:r w:rsidRPr="00E343EA">
        <w:rPr>
          <w:smallCaps/>
        </w:rPr>
        <w:t xml:space="preserve">L.A. Herald, </w:t>
      </w:r>
      <w:r w:rsidRPr="00E343EA">
        <w:t>Sept. 8, 1900, at 5.</w:t>
      </w:r>
      <w:r w:rsidRPr="00301826">
        <w:rPr>
          <w:i/>
        </w:rPr>
        <w:t xml:space="preserve"> </w:t>
      </w:r>
      <w:r w:rsidRPr="00301826">
        <w:t xml:space="preserve">Other California cities banned booths. </w:t>
      </w:r>
      <w:r w:rsidRPr="00E343EA">
        <w:rPr>
          <w:i/>
        </w:rPr>
        <w:t>Mayor Approves Box Ordinance</w:t>
      </w:r>
      <w:r w:rsidRPr="00E343EA">
        <w:t xml:space="preserve">, </w:t>
      </w:r>
      <w:r w:rsidRPr="00E343EA">
        <w:rPr>
          <w:smallCaps/>
        </w:rPr>
        <w:t>S</w:t>
      </w:r>
      <w:r>
        <w:rPr>
          <w:smallCaps/>
        </w:rPr>
        <w:t>.</w:t>
      </w:r>
      <w:r w:rsidRPr="00E343EA">
        <w:rPr>
          <w:smallCaps/>
        </w:rPr>
        <w:t>F</w:t>
      </w:r>
      <w:r>
        <w:rPr>
          <w:smallCaps/>
        </w:rPr>
        <w:t>.</w:t>
      </w:r>
      <w:r w:rsidRPr="00E343EA">
        <w:rPr>
          <w:smallCaps/>
        </w:rPr>
        <w:t xml:space="preserve"> Call, </w:t>
      </w:r>
      <w:r w:rsidRPr="00E343EA">
        <w:t>Nov. 22, 1910, at 8</w:t>
      </w:r>
      <w:r>
        <w:t xml:space="preserve"> (Oakland); </w:t>
      </w:r>
      <w:r w:rsidRPr="00E073F9">
        <w:rPr>
          <w:i/>
        </w:rPr>
        <w:t xml:space="preserve">See also </w:t>
      </w:r>
      <w:r w:rsidRPr="00E343EA">
        <w:rPr>
          <w:i/>
        </w:rPr>
        <w:t>San Rafael May Bar Restaurant Booths</w:t>
      </w:r>
      <w:r w:rsidRPr="00E343EA">
        <w:t xml:space="preserve">, </w:t>
      </w:r>
      <w:r w:rsidRPr="00E343EA">
        <w:rPr>
          <w:smallCaps/>
        </w:rPr>
        <w:t xml:space="preserve">S.F. Call, </w:t>
      </w:r>
      <w:r w:rsidRPr="00E343EA">
        <w:t>May 15, 1911, at 3</w:t>
      </w:r>
      <w:r>
        <w:t xml:space="preserve">. San Francisco considered by apparently never adopted a ban. </w:t>
      </w:r>
      <w:r w:rsidRPr="00E343EA">
        <w:rPr>
          <w:i/>
        </w:rPr>
        <w:t>Vice Commission Appointed</w:t>
      </w:r>
      <w:r w:rsidRPr="00E343EA">
        <w:t xml:space="preserve">, </w:t>
      </w:r>
      <w:r w:rsidRPr="00E343EA">
        <w:rPr>
          <w:smallCaps/>
        </w:rPr>
        <w:t xml:space="preserve">S.F. Chron., </w:t>
      </w:r>
      <w:r w:rsidRPr="00E343EA">
        <w:t>Feb. 23, 1917, at 7N</w:t>
      </w:r>
      <w:r>
        <w:t>;</w:t>
      </w:r>
      <w:r w:rsidRPr="00301826">
        <w:rPr>
          <w:i/>
        </w:rPr>
        <w:t xml:space="preserve"> </w:t>
      </w:r>
      <w:r w:rsidRPr="00E343EA">
        <w:rPr>
          <w:i/>
        </w:rPr>
        <w:t>Protection of Young Women Urged by Research Workers</w:t>
      </w:r>
      <w:r w:rsidRPr="00E343EA">
        <w:t xml:space="preserve">, </w:t>
      </w:r>
      <w:r w:rsidRPr="00E343EA">
        <w:rPr>
          <w:smallCaps/>
        </w:rPr>
        <w:t xml:space="preserve">S.F. Chron., </w:t>
      </w:r>
      <w:r w:rsidRPr="00E343EA">
        <w:t>Oct. 23, 1916, at 3</w:t>
      </w:r>
      <w:r>
        <w:t>;</w:t>
      </w:r>
      <w:r w:rsidRPr="0099270C">
        <w:rPr>
          <w:i/>
        </w:rPr>
        <w:t xml:space="preserve"> </w:t>
      </w:r>
      <w:r w:rsidRPr="00E343EA">
        <w:rPr>
          <w:i/>
        </w:rPr>
        <w:t>Scandal Draws Toward Close</w:t>
      </w:r>
      <w:r w:rsidRPr="00E343EA">
        <w:t xml:space="preserve">, </w:t>
      </w:r>
      <w:r w:rsidRPr="00E343EA">
        <w:rPr>
          <w:smallCaps/>
        </w:rPr>
        <w:t xml:space="preserve">S.F. Call, </w:t>
      </w:r>
      <w:r w:rsidRPr="00E343EA">
        <w:t>Dec. 9, 1904, at 16</w:t>
      </w:r>
      <w:r>
        <w:t>;</w:t>
      </w:r>
      <w:r w:rsidRPr="00DE2578">
        <w:rPr>
          <w:i/>
        </w:rPr>
        <w:t xml:space="preserve"> </w:t>
      </w:r>
      <w:r w:rsidRPr="00E343EA">
        <w:rPr>
          <w:i/>
        </w:rPr>
        <w:t>No Dark Places</w:t>
      </w:r>
      <w:r w:rsidRPr="00E343EA">
        <w:t xml:space="preserve">, </w:t>
      </w:r>
      <w:r w:rsidRPr="00E343EA">
        <w:rPr>
          <w:smallCaps/>
        </w:rPr>
        <w:t xml:space="preserve">S.F. Call, </w:t>
      </w:r>
      <w:r w:rsidRPr="00E343EA">
        <w:t>July 7, 1893, at 3.</w:t>
      </w:r>
      <w:r w:rsidRPr="00DE2578">
        <w:rPr>
          <w:i/>
        </w:rPr>
        <w:t xml:space="preserve"> </w:t>
      </w:r>
    </w:p>
  </w:footnote>
  <w:footnote w:id="347">
    <w:p w14:paraId="50960EAB" w14:textId="5D53B296" w:rsidR="00501D78" w:rsidRPr="00E343EA" w:rsidRDefault="00501D78" w:rsidP="003B3CF6">
      <w:pPr>
        <w:pStyle w:val="FootnoteText"/>
        <w:rPr>
          <w:smallCaps/>
        </w:rPr>
      </w:pPr>
      <w:r w:rsidRPr="00E343EA">
        <w:rPr>
          <w:rStyle w:val="FootnoteReference"/>
        </w:rPr>
        <w:footnoteRef/>
      </w:r>
      <w:r w:rsidRPr="00E343EA">
        <w:t xml:space="preserve"> </w:t>
      </w:r>
      <w:r w:rsidRPr="00E343EA">
        <w:rPr>
          <w:i/>
        </w:rPr>
        <w:t>No More Sequestered Drinks</w:t>
      </w:r>
      <w:r w:rsidRPr="00E343EA">
        <w:t xml:space="preserve">, </w:t>
      </w:r>
      <w:r>
        <w:rPr>
          <w:smallCaps/>
        </w:rPr>
        <w:t>Ariz.</w:t>
      </w:r>
      <w:r w:rsidRPr="00E343EA">
        <w:rPr>
          <w:smallCaps/>
        </w:rPr>
        <w:t xml:space="preserve"> Republican, </w:t>
      </w:r>
      <w:r w:rsidRPr="00E343EA">
        <w:t>Jan. 21, 1909, at 6.</w:t>
      </w:r>
      <w:r w:rsidRPr="00E343EA">
        <w:rPr>
          <w:smallCaps/>
        </w:rPr>
        <w:t xml:space="preserve"> </w:t>
      </w:r>
    </w:p>
  </w:footnote>
  <w:footnote w:id="348">
    <w:p w14:paraId="047D5D3A" w14:textId="1411F9DB" w:rsidR="00501D78" w:rsidRPr="00E343EA" w:rsidRDefault="00501D78" w:rsidP="003B3CF6">
      <w:pPr>
        <w:pStyle w:val="FootnoteText"/>
      </w:pPr>
      <w:r w:rsidRPr="00E343EA">
        <w:rPr>
          <w:rStyle w:val="FootnoteReference"/>
        </w:rPr>
        <w:footnoteRef/>
      </w:r>
      <w:r w:rsidRPr="00E343EA">
        <w:t xml:space="preserve"> </w:t>
      </w:r>
      <w:r w:rsidRPr="00E343EA">
        <w:rPr>
          <w:i/>
        </w:rPr>
        <w:t>Curtained Booths Must Go</w:t>
      </w:r>
      <w:r w:rsidRPr="00E343EA">
        <w:t xml:space="preserve">, </w:t>
      </w:r>
      <w:r>
        <w:rPr>
          <w:smallCaps/>
        </w:rPr>
        <w:t>Ariz.</w:t>
      </w:r>
      <w:r w:rsidRPr="00E343EA">
        <w:rPr>
          <w:smallCaps/>
        </w:rPr>
        <w:t xml:space="preserve"> Republican, </w:t>
      </w:r>
      <w:r w:rsidRPr="00E343EA">
        <w:t>Mar. 21, 1921, at 4.</w:t>
      </w:r>
    </w:p>
  </w:footnote>
  <w:footnote w:id="349">
    <w:p w14:paraId="3DCC9A12" w14:textId="77777777" w:rsidR="00501D78" w:rsidRPr="00E343EA" w:rsidRDefault="00501D78" w:rsidP="003B3CF6">
      <w:pPr>
        <w:pStyle w:val="FootnoteText"/>
      </w:pPr>
      <w:r w:rsidRPr="00E343EA">
        <w:rPr>
          <w:rStyle w:val="FootnoteReference"/>
        </w:rPr>
        <w:footnoteRef/>
      </w:r>
      <w:r w:rsidRPr="00E343EA">
        <w:t xml:space="preserve"> </w:t>
      </w:r>
      <w:r w:rsidRPr="00E343EA">
        <w:rPr>
          <w:i/>
        </w:rPr>
        <w:t>Review of Liquor Laws Passed by States This Year</w:t>
      </w:r>
      <w:r w:rsidRPr="00E343EA">
        <w:t xml:space="preserve">, </w:t>
      </w:r>
      <w:r w:rsidRPr="00E343EA">
        <w:rPr>
          <w:smallCaps/>
        </w:rPr>
        <w:t xml:space="preserve">St. Louis Post, </w:t>
      </w:r>
      <w:r w:rsidRPr="00E343EA">
        <w:t xml:space="preserve">June 21, 1915, at 14; </w:t>
      </w:r>
      <w:r w:rsidRPr="00E343EA">
        <w:rPr>
          <w:i/>
        </w:rPr>
        <w:t xml:space="preserve">see also </w:t>
      </w:r>
      <w:r w:rsidRPr="00E343EA">
        <w:rPr>
          <w:smallCaps/>
        </w:rPr>
        <w:t xml:space="preserve">El Paso Herald, </w:t>
      </w:r>
      <w:r w:rsidRPr="00E343EA">
        <w:t xml:space="preserve">June 21, 1915 at 6; </w:t>
      </w:r>
      <w:r w:rsidRPr="00E343EA">
        <w:rPr>
          <w:i/>
        </w:rPr>
        <w:t>Great Progress Is Made In Prohibition Legislation</w:t>
      </w:r>
      <w:r w:rsidRPr="00E343EA">
        <w:t xml:space="preserve">, </w:t>
      </w:r>
      <w:r w:rsidRPr="00E343EA">
        <w:rPr>
          <w:smallCaps/>
        </w:rPr>
        <w:t xml:space="preserve">Bismarck Daily Trib., </w:t>
      </w:r>
      <w:r w:rsidRPr="00E343EA">
        <w:t>June 23, 1915, at 6.</w:t>
      </w:r>
    </w:p>
  </w:footnote>
  <w:footnote w:id="350">
    <w:p w14:paraId="45F9E110" w14:textId="5832EC4C" w:rsidR="00501D78" w:rsidRPr="00E343EA" w:rsidRDefault="00501D78" w:rsidP="003B3CF6">
      <w:pPr>
        <w:pStyle w:val="FootnoteText"/>
        <w:rPr>
          <w:smallCaps/>
        </w:rPr>
      </w:pPr>
      <w:r w:rsidRPr="00E343EA">
        <w:rPr>
          <w:rStyle w:val="FootnoteReference"/>
        </w:rPr>
        <w:footnoteRef/>
      </w:r>
      <w:r w:rsidRPr="00E343EA">
        <w:t xml:space="preserve"> </w:t>
      </w:r>
      <w:r w:rsidRPr="00E343EA">
        <w:rPr>
          <w:i/>
        </w:rPr>
        <w:t>License Denied Six</w:t>
      </w:r>
      <w:r w:rsidRPr="00E343EA">
        <w:t xml:space="preserve">, </w:t>
      </w:r>
      <w:r w:rsidRPr="00E343EA">
        <w:rPr>
          <w:smallCaps/>
        </w:rPr>
        <w:t xml:space="preserve">Morning Oregonian, </w:t>
      </w:r>
      <w:r w:rsidRPr="00E343EA">
        <w:t>Dec. 21, 1909, at 15.</w:t>
      </w:r>
      <w:r w:rsidRPr="003766D1">
        <w:rPr>
          <w:i/>
        </w:rPr>
        <w:t xml:space="preserve"> </w:t>
      </w:r>
      <w:r w:rsidRPr="00E343EA">
        <w:rPr>
          <w:i/>
        </w:rPr>
        <w:t>Licenses to Be Given</w:t>
      </w:r>
      <w:r w:rsidRPr="00E343EA">
        <w:t xml:space="preserve">, </w:t>
      </w:r>
      <w:r w:rsidRPr="00E343EA">
        <w:rPr>
          <w:smallCaps/>
        </w:rPr>
        <w:t xml:space="preserve">Morning Oregonian, </w:t>
      </w:r>
      <w:r w:rsidRPr="00E343EA">
        <w:t>Jan. 11, 1910, at 16.</w:t>
      </w:r>
      <w:r w:rsidRPr="009F5161">
        <w:rPr>
          <w:i/>
        </w:rPr>
        <w:t xml:space="preserve"> </w:t>
      </w:r>
      <w:r w:rsidRPr="00E343EA">
        <w:rPr>
          <w:i/>
        </w:rPr>
        <w:t>See Licenses Opposed First, Then Given</w:t>
      </w:r>
      <w:r w:rsidRPr="00E343EA">
        <w:t xml:space="preserve">, </w:t>
      </w:r>
      <w:r w:rsidRPr="00E343EA">
        <w:rPr>
          <w:smallCaps/>
        </w:rPr>
        <w:t xml:space="preserve">Morning Oregonian, </w:t>
      </w:r>
      <w:r w:rsidRPr="00E343EA">
        <w:t>Dec. 30, 1909, at 11</w:t>
      </w:r>
      <w:r>
        <w:t xml:space="preserve">; </w:t>
      </w:r>
      <w:r w:rsidRPr="00E343EA">
        <w:rPr>
          <w:i/>
        </w:rPr>
        <w:t>Private Boxes Doomed</w:t>
      </w:r>
      <w:r w:rsidRPr="00E343EA">
        <w:t xml:space="preserve">, </w:t>
      </w:r>
      <w:r w:rsidRPr="00E343EA">
        <w:rPr>
          <w:smallCaps/>
        </w:rPr>
        <w:t xml:space="preserve">Morning Oregonian, </w:t>
      </w:r>
      <w:r>
        <w:t>Apr.</w:t>
      </w:r>
      <w:r w:rsidRPr="00E343EA">
        <w:t xml:space="preserve"> 28, 1911, at 3; </w:t>
      </w:r>
      <w:r w:rsidRPr="00E343EA">
        <w:rPr>
          <w:i/>
        </w:rPr>
        <w:t>see also</w:t>
      </w:r>
      <w:r w:rsidRPr="00E343EA">
        <w:t xml:space="preserve"> </w:t>
      </w:r>
      <w:r w:rsidRPr="00E343EA">
        <w:rPr>
          <w:i/>
        </w:rPr>
        <w:t>Boxes Ordered Removed From Dall</w:t>
      </w:r>
      <w:r>
        <w:rPr>
          <w:i/>
        </w:rPr>
        <w:t>e</w:t>
      </w:r>
      <w:r w:rsidRPr="00E343EA">
        <w:rPr>
          <w:i/>
        </w:rPr>
        <w:t>s Restaurants</w:t>
      </w:r>
      <w:r w:rsidRPr="00E343EA">
        <w:t xml:space="preserve">, </w:t>
      </w:r>
      <w:r w:rsidRPr="00E343EA">
        <w:rPr>
          <w:smallCaps/>
        </w:rPr>
        <w:t xml:space="preserve">East Oregonian, </w:t>
      </w:r>
      <w:r>
        <w:t>Apr.</w:t>
      </w:r>
      <w:r w:rsidRPr="00E343EA">
        <w:t xml:space="preserve"> 28, 1911, at 7</w:t>
      </w:r>
      <w:r>
        <w:t xml:space="preserve">; </w:t>
      </w:r>
      <w:r w:rsidRPr="00E343EA">
        <w:rPr>
          <w:i/>
        </w:rPr>
        <w:t>Ordinance No 110</w:t>
      </w:r>
      <w:r w:rsidRPr="00E343EA">
        <w:t xml:space="preserve">, </w:t>
      </w:r>
      <w:r w:rsidRPr="00E343EA">
        <w:rPr>
          <w:smallCaps/>
        </w:rPr>
        <w:t xml:space="preserve">Oregon Mist, </w:t>
      </w:r>
      <w:r w:rsidRPr="00E343EA">
        <w:t>June 2, 1911, at 1.</w:t>
      </w:r>
      <w:r w:rsidRPr="00E343EA">
        <w:rPr>
          <w:smallCaps/>
        </w:rPr>
        <w:t xml:space="preserve"> </w:t>
      </w:r>
    </w:p>
  </w:footnote>
  <w:footnote w:id="351">
    <w:p w14:paraId="6C62D9F7" w14:textId="7718C09C" w:rsidR="00501D78" w:rsidRPr="00E343EA" w:rsidRDefault="00501D78" w:rsidP="00B06E49">
      <w:pPr>
        <w:pStyle w:val="FootnoteText"/>
      </w:pPr>
      <w:r w:rsidRPr="00E343EA">
        <w:rPr>
          <w:rStyle w:val="FootnoteReference"/>
        </w:rPr>
        <w:footnoteRef/>
      </w:r>
      <w:r w:rsidRPr="00E343EA">
        <w:t xml:space="preserve"> 28 </w:t>
      </w:r>
      <w:r w:rsidRPr="00E343EA">
        <w:rPr>
          <w:smallCaps/>
        </w:rPr>
        <w:t>Mixer &amp; Server</w:t>
      </w:r>
      <w:r w:rsidRPr="00E343EA">
        <w:t xml:space="preserve"> No. 2, Feb. 15, 1919, at 38.</w:t>
      </w:r>
    </w:p>
  </w:footnote>
  <w:footnote w:id="352">
    <w:p w14:paraId="2750CF0B" w14:textId="62110E5F" w:rsidR="00501D78" w:rsidRPr="00E343EA" w:rsidRDefault="00501D78" w:rsidP="00B06E49">
      <w:pPr>
        <w:pStyle w:val="FootnoteText"/>
        <w:rPr>
          <w:smallCaps/>
        </w:rPr>
      </w:pPr>
      <w:r w:rsidRPr="00E343EA">
        <w:rPr>
          <w:rStyle w:val="FootnoteReference"/>
        </w:rPr>
        <w:footnoteRef/>
      </w:r>
      <w:r w:rsidRPr="00E343EA">
        <w:t xml:space="preserve"> 30 </w:t>
      </w:r>
      <w:r w:rsidRPr="00E343EA">
        <w:rPr>
          <w:smallCaps/>
        </w:rPr>
        <w:t xml:space="preserve">Mixer &amp; Server, </w:t>
      </w:r>
      <w:r w:rsidRPr="00E343EA">
        <w:t>No. 9, Sept. 15, 1921, at 63.</w:t>
      </w:r>
    </w:p>
  </w:footnote>
  <w:footnote w:id="353">
    <w:p w14:paraId="2B2B04BE" w14:textId="2C7B1CB0" w:rsidR="00501D78" w:rsidRPr="00E343EA" w:rsidRDefault="00501D78" w:rsidP="00B06E49">
      <w:pPr>
        <w:pStyle w:val="FootnoteText"/>
      </w:pPr>
      <w:r w:rsidRPr="00E343EA">
        <w:rPr>
          <w:rStyle w:val="FootnoteReference"/>
        </w:rPr>
        <w:footnoteRef/>
      </w:r>
      <w:r w:rsidRPr="00E343EA">
        <w:t xml:space="preserve"> </w:t>
      </w:r>
      <w:r w:rsidRPr="00E343EA">
        <w:rPr>
          <w:smallCaps/>
        </w:rPr>
        <w:t>Bureau of the Census, Chinese and Japanese in the United States</w:t>
      </w:r>
      <w:r w:rsidRPr="00E343EA">
        <w:t xml:space="preserve"> 7 (Bulletin 127 1910).</w:t>
      </w:r>
    </w:p>
  </w:footnote>
  <w:footnote w:id="354">
    <w:p w14:paraId="1948C478" w14:textId="0D21D9BC" w:rsidR="00501D78" w:rsidRPr="00E343EA" w:rsidRDefault="00501D78" w:rsidP="00B06E49">
      <w:pPr>
        <w:pStyle w:val="FootnoteText"/>
      </w:pPr>
      <w:r w:rsidRPr="00E343EA">
        <w:rPr>
          <w:rStyle w:val="FootnoteReference"/>
        </w:rPr>
        <w:footnoteRef/>
      </w:r>
      <w:r w:rsidRPr="00E343EA">
        <w:t xml:space="preserve"> III </w:t>
      </w:r>
      <w:r w:rsidRPr="00165BC5">
        <w:rPr>
          <w:smallCaps/>
        </w:rPr>
        <w:t>Fourteenth Census of the United States taken in the Year 1920: Population</w:t>
      </w:r>
      <w:r w:rsidRPr="00E343EA">
        <w:t xml:space="preserve"> 11 (1922)</w:t>
      </w:r>
      <w:r>
        <w:t>.</w:t>
      </w:r>
    </w:p>
  </w:footnote>
  <w:footnote w:id="355">
    <w:p w14:paraId="6FD30657" w14:textId="10F3E565" w:rsidR="00501D78" w:rsidRDefault="00501D78">
      <w:pPr>
        <w:pStyle w:val="FootnoteText"/>
      </w:pPr>
      <w:r>
        <w:rPr>
          <w:rStyle w:val="FootnoteReference"/>
        </w:rPr>
        <w:footnoteRef/>
      </w:r>
      <w:r>
        <w:t xml:space="preserve"> Chin, </w:t>
      </w:r>
      <w:r w:rsidRPr="0056690C">
        <w:rPr>
          <w:i/>
        </w:rPr>
        <w:t>supra</w:t>
      </w:r>
      <w:r>
        <w:t xml:space="preserve"> note </w:t>
      </w:r>
      <w:r>
        <w:fldChar w:fldCharType="begin"/>
      </w:r>
      <w:r>
        <w:instrText xml:space="preserve"> NOTEREF _Ref476063289 \h </w:instrText>
      </w:r>
      <w:r>
        <w:fldChar w:fldCharType="separate"/>
      </w:r>
      <w:r w:rsidR="008A4890">
        <w:t>20</w:t>
      </w:r>
      <w:r>
        <w:fldChar w:fldCharType="end"/>
      </w:r>
      <w:r>
        <w:t>, at 281 (citing ***).</w:t>
      </w:r>
    </w:p>
  </w:footnote>
  <w:footnote w:id="356">
    <w:p w14:paraId="33028183" w14:textId="77B42044" w:rsidR="00501D78" w:rsidRDefault="00501D78">
      <w:pPr>
        <w:pStyle w:val="FootnoteText"/>
      </w:pPr>
      <w:r>
        <w:rPr>
          <w:rStyle w:val="FootnoteReference"/>
        </w:rPr>
        <w:footnoteRef/>
      </w:r>
      <w:r>
        <w:t xml:space="preserve"> </w:t>
      </w:r>
      <w:r w:rsidRPr="0056690C">
        <w:rPr>
          <w:i/>
        </w:rPr>
        <w:t>Id</w:t>
      </w:r>
      <w:r>
        <w:t xml:space="preserve">. </w:t>
      </w:r>
    </w:p>
  </w:footnote>
  <w:footnote w:id="357">
    <w:p w14:paraId="6060B4B2" w14:textId="5446C2F8" w:rsidR="00501D78" w:rsidRDefault="00501D78">
      <w:pPr>
        <w:pStyle w:val="FootnoteText"/>
      </w:pPr>
      <w:r>
        <w:rPr>
          <w:rStyle w:val="FootnoteReference"/>
        </w:rPr>
        <w:footnoteRef/>
      </w:r>
      <w:r>
        <w:t xml:space="preserve"> </w:t>
      </w:r>
      <w:r w:rsidRPr="0056690C">
        <w:rPr>
          <w:i/>
        </w:rPr>
        <w:t>Id</w:t>
      </w:r>
      <w:r>
        <w:t>.  (citing ***)</w:t>
      </w:r>
    </w:p>
  </w:footnote>
  <w:footnote w:id="358">
    <w:p w14:paraId="6D5706BF" w14:textId="494B8A77" w:rsidR="00501D78" w:rsidRDefault="00501D78">
      <w:pPr>
        <w:pStyle w:val="FootnoteText"/>
      </w:pPr>
      <w:r>
        <w:rPr>
          <w:rStyle w:val="FootnoteReference"/>
        </w:rPr>
        <w:footnoteRef/>
      </w:r>
      <w:r>
        <w:t xml:space="preserve"> </w:t>
      </w:r>
      <w:r w:rsidRPr="00CC6DE6">
        <w:rPr>
          <w:i/>
        </w:rPr>
        <w:t>Id</w:t>
      </w:r>
      <w:r>
        <w:t>. (citing ***).</w:t>
      </w:r>
    </w:p>
  </w:footnote>
  <w:footnote w:id="359">
    <w:p w14:paraId="66D0B44E" w14:textId="34549528" w:rsidR="00501D78" w:rsidRDefault="00501D78">
      <w:pPr>
        <w:pStyle w:val="FootnoteText"/>
      </w:pPr>
      <w:r>
        <w:rPr>
          <w:rStyle w:val="FootnoteReference"/>
        </w:rPr>
        <w:footnoteRef/>
      </w:r>
      <w:r>
        <w:t xml:space="preserve"> </w:t>
      </w:r>
      <w:r w:rsidRPr="00F31E8A">
        <w:rPr>
          <w:i/>
        </w:rPr>
        <w:t>Id</w:t>
      </w:r>
      <w:r>
        <w:t>. (citing ***)</w:t>
      </w:r>
    </w:p>
  </w:footnote>
  <w:footnote w:id="360">
    <w:p w14:paraId="3EC23F5E" w14:textId="39B27E15" w:rsidR="00501D78" w:rsidRDefault="00501D78">
      <w:pPr>
        <w:pStyle w:val="FootnoteText"/>
      </w:pPr>
      <w:r>
        <w:rPr>
          <w:rStyle w:val="FootnoteReference"/>
        </w:rPr>
        <w:footnoteRef/>
      </w:r>
      <w:r>
        <w:t xml:space="preserve"> </w:t>
      </w:r>
      <w:r w:rsidRPr="0056690C">
        <w:rPr>
          <w:i/>
        </w:rPr>
        <w:t>Id</w:t>
      </w:r>
      <w:r>
        <w:t xml:space="preserve">. </w:t>
      </w:r>
    </w:p>
  </w:footnote>
  <w:footnote w:id="361">
    <w:p w14:paraId="6C79722E" w14:textId="2BFB2356" w:rsidR="00501D78" w:rsidRDefault="00501D78">
      <w:pPr>
        <w:pStyle w:val="FootnoteText"/>
      </w:pPr>
      <w:r>
        <w:rPr>
          <w:rStyle w:val="FootnoteReference"/>
        </w:rPr>
        <w:footnoteRef/>
      </w:r>
      <w:r>
        <w:t xml:space="preserve"> </w:t>
      </w:r>
      <w:r w:rsidRPr="0056690C">
        <w:rPr>
          <w:i/>
        </w:rPr>
        <w:t>Id</w:t>
      </w:r>
      <w:r>
        <w:t xml:space="preserve">. </w:t>
      </w:r>
    </w:p>
  </w:footnote>
  <w:footnote w:id="362">
    <w:p w14:paraId="67978A5E" w14:textId="3AB0ACA3" w:rsidR="00501D78" w:rsidRPr="00E343EA" w:rsidRDefault="00501D78" w:rsidP="00B06E49">
      <w:pPr>
        <w:pStyle w:val="FootnoteText"/>
      </w:pPr>
      <w:r w:rsidRPr="00E343EA">
        <w:rPr>
          <w:rStyle w:val="FootnoteReference"/>
        </w:rPr>
        <w:footnoteRef/>
      </w:r>
      <w:r w:rsidRPr="00E343EA">
        <w:t xml:space="preserve"> </w:t>
      </w:r>
      <w:r w:rsidRPr="00E343EA">
        <w:rPr>
          <w:i/>
        </w:rPr>
        <w:t>New Tong Murders</w:t>
      </w:r>
      <w:r w:rsidRPr="00E343EA">
        <w:t xml:space="preserve">, </w:t>
      </w:r>
      <w:r w:rsidRPr="00CC6DE6">
        <w:rPr>
          <w:i/>
        </w:rPr>
        <w:t>supra</w:t>
      </w:r>
      <w:r>
        <w:t xml:space="preserve"> note </w:t>
      </w:r>
      <w:r>
        <w:fldChar w:fldCharType="begin"/>
      </w:r>
      <w:r>
        <w:instrText xml:space="preserve"> NOTEREF _Ref476408882 \h </w:instrText>
      </w:r>
      <w:r>
        <w:fldChar w:fldCharType="separate"/>
      </w:r>
      <w:r w:rsidR="008A4890">
        <w:t>249</w:t>
      </w:r>
      <w:r>
        <w:fldChar w:fldCharType="end"/>
      </w:r>
      <w:r>
        <w:t xml:space="preserve">, </w:t>
      </w:r>
      <w:r w:rsidRPr="00E343EA">
        <w:t>at 1.</w:t>
      </w:r>
    </w:p>
  </w:footnote>
  <w:footnote w:id="363">
    <w:p w14:paraId="3BA41489" w14:textId="77777777" w:rsidR="00501D78" w:rsidRPr="00E343EA" w:rsidRDefault="00501D78" w:rsidP="00B06E49">
      <w:pPr>
        <w:pStyle w:val="FootnoteText"/>
        <w:rPr>
          <w:i/>
        </w:rPr>
      </w:pPr>
      <w:r w:rsidRPr="00E343EA">
        <w:rPr>
          <w:rStyle w:val="FootnoteReference"/>
        </w:rPr>
        <w:footnoteRef/>
      </w:r>
      <w:r w:rsidRPr="00E343EA">
        <w:t xml:space="preserve"> </w:t>
      </w:r>
      <w:r w:rsidRPr="00E343EA">
        <w:rPr>
          <w:i/>
        </w:rPr>
        <w:t>Id.</w:t>
      </w:r>
    </w:p>
  </w:footnote>
  <w:footnote w:id="364">
    <w:p w14:paraId="20B4A430" w14:textId="7D6B138D" w:rsidR="00501D78" w:rsidRPr="00E343EA" w:rsidRDefault="00501D78" w:rsidP="00B06E49">
      <w:pPr>
        <w:pStyle w:val="FootnoteText"/>
        <w:rPr>
          <w:i/>
        </w:rPr>
      </w:pPr>
      <w:r w:rsidRPr="00E343EA">
        <w:rPr>
          <w:rStyle w:val="FootnoteReference"/>
        </w:rPr>
        <w:footnoteRef/>
      </w:r>
      <w:r w:rsidRPr="00E343EA">
        <w:t xml:space="preserve"> </w:t>
      </w:r>
      <w:r w:rsidRPr="00E343EA">
        <w:rPr>
          <w:i/>
        </w:rPr>
        <w:t>Id.</w:t>
      </w:r>
      <w:r w:rsidRPr="0040373E">
        <w:rPr>
          <w:i/>
        </w:rPr>
        <w:t xml:space="preserve"> </w:t>
      </w:r>
      <w:r w:rsidRPr="005510A3">
        <w:rPr>
          <w:i/>
        </w:rPr>
        <w:t xml:space="preserve">See also, e.g., </w:t>
      </w:r>
      <w:r w:rsidRPr="002C069B">
        <w:rPr>
          <w:i/>
        </w:rPr>
        <w:t>Smugglers Caught: Entry of Chinamen from Canada Checked</w:t>
      </w:r>
      <w:r w:rsidRPr="002C069B">
        <w:t xml:space="preserve">, </w:t>
      </w:r>
      <w:r w:rsidRPr="002C069B">
        <w:rPr>
          <w:smallCaps/>
        </w:rPr>
        <w:t>Republican News Item</w:t>
      </w:r>
      <w:r w:rsidRPr="002C069B">
        <w:t xml:space="preserve">, Nov. 29, 1900 (describing arrests in Chinese laundry and restaurant by </w:t>
      </w:r>
      <w:r>
        <w:t>“</w:t>
      </w:r>
      <w:r w:rsidRPr="002C069B">
        <w:t>Chinese Inspector</w:t>
      </w:r>
      <w:r>
        <w:t>”</w:t>
      </w:r>
      <w:r w:rsidRPr="002C069B">
        <w:t xml:space="preserve"> and local police)</w:t>
      </w:r>
      <w:r>
        <w:t>.</w:t>
      </w:r>
    </w:p>
  </w:footnote>
  <w:footnote w:id="365">
    <w:p w14:paraId="1428D0EC" w14:textId="41C835AC" w:rsidR="00501D78" w:rsidRPr="00E343EA" w:rsidRDefault="00501D78" w:rsidP="00B06E49">
      <w:pPr>
        <w:pStyle w:val="FootnoteText"/>
      </w:pPr>
      <w:r w:rsidRPr="00E343EA">
        <w:rPr>
          <w:rStyle w:val="FootnoteReference"/>
        </w:rPr>
        <w:footnoteRef/>
      </w:r>
      <w:r w:rsidRPr="00E343EA">
        <w:t xml:space="preserve"> </w:t>
      </w:r>
      <w:r w:rsidRPr="00E343EA">
        <w:rPr>
          <w:i/>
        </w:rPr>
        <w:t>72 More Chinese Ordered Deported</w:t>
      </w:r>
      <w:r w:rsidRPr="00E343EA">
        <w:t xml:space="preserve">, </w:t>
      </w:r>
      <w:r w:rsidRPr="00E343EA">
        <w:rPr>
          <w:smallCaps/>
        </w:rPr>
        <w:t>N.Y. Times</w:t>
      </w:r>
      <w:r w:rsidRPr="00E343EA">
        <w:t>, Sept. 20, 1925, at 1.</w:t>
      </w:r>
    </w:p>
  </w:footnote>
  <w:footnote w:id="366">
    <w:p w14:paraId="266EAA09" w14:textId="67833A48" w:rsidR="00501D78" w:rsidRPr="00E343EA" w:rsidRDefault="00501D78" w:rsidP="00272B2E">
      <w:pPr>
        <w:pStyle w:val="FootnoteText"/>
      </w:pPr>
      <w:r w:rsidRPr="00E343EA">
        <w:rPr>
          <w:rStyle w:val="FootnoteReference"/>
        </w:rPr>
        <w:footnoteRef/>
      </w:r>
      <w:r w:rsidRPr="00E343EA">
        <w:t xml:space="preserve"> </w:t>
      </w:r>
      <w:r w:rsidRPr="00E343EA">
        <w:rPr>
          <w:i/>
        </w:rPr>
        <w:t>Chinese May Organize</w:t>
      </w:r>
      <w:r w:rsidRPr="00E343EA">
        <w:t xml:space="preserve">, </w:t>
      </w:r>
      <w:r w:rsidRPr="00E343EA">
        <w:rPr>
          <w:smallCaps/>
        </w:rPr>
        <w:t>Wash. Evening Star</w:t>
      </w:r>
      <w:r w:rsidRPr="00E343EA">
        <w:t xml:space="preserve">, May 24, 1919, at 2 (noting </w:t>
      </w:r>
      <w:r>
        <w:t>“</w:t>
      </w:r>
      <w:r w:rsidRPr="00E343EA">
        <w:t xml:space="preserve">underlying motive for these arrests </w:t>
      </w:r>
      <w:r>
        <w:t xml:space="preserve">[of restaurant workers] </w:t>
      </w:r>
      <w:r w:rsidRPr="00E343EA">
        <w:t>was membership in the union.</w:t>
      </w:r>
      <w:r>
        <w:t>”</w:t>
      </w:r>
      <w:r w:rsidRPr="00E343EA">
        <w:t xml:space="preserve">). </w:t>
      </w:r>
    </w:p>
  </w:footnote>
  <w:footnote w:id="367">
    <w:p w14:paraId="0460DC0A" w14:textId="01848C9E" w:rsidR="00501D78" w:rsidRPr="00E343EA" w:rsidRDefault="00501D78" w:rsidP="0077585F">
      <w:pPr>
        <w:pStyle w:val="FootnoteText"/>
      </w:pPr>
      <w:r>
        <w:rPr>
          <w:rStyle w:val="FootnoteReference"/>
        </w:rPr>
        <w:footnoteRef/>
      </w:r>
      <w:r>
        <w:t xml:space="preserve"> Jenny Jarvie,</w:t>
      </w:r>
      <w:r w:rsidRPr="00F3493E">
        <w:t xml:space="preserve"> </w:t>
      </w:r>
      <w:r w:rsidRPr="00E208A0">
        <w:rPr>
          <w:i/>
        </w:rPr>
        <w:t>More than 50 Detained in Immigration Raids at Asian Restaurants in Mississippi</w:t>
      </w:r>
      <w:r>
        <w:t xml:space="preserve">, </w:t>
      </w:r>
      <w:r w:rsidRPr="00E208A0">
        <w:rPr>
          <w:smallCaps/>
        </w:rPr>
        <w:t>L.A. Times</w:t>
      </w:r>
      <w:r>
        <w:t xml:space="preserve">, Feb. 23, 2017 </w:t>
      </w:r>
      <w:r w:rsidRPr="00F3493E">
        <w:t xml:space="preserve">http://www.latimes.com/nation/la-na-mississippi-immigration-raids-20170223-story.html; </w:t>
      </w:r>
      <w:r>
        <w:t xml:space="preserve">David Hutter, </w:t>
      </w:r>
      <w:r w:rsidRPr="000C6FA3">
        <w:rPr>
          <w:i/>
        </w:rPr>
        <w:t>Two Days After Raids, Chinese Restaurants Open for Business</w:t>
      </w:r>
      <w:r>
        <w:t xml:space="preserve">, </w:t>
      </w:r>
      <w:r w:rsidRPr="000C6FA3">
        <w:rPr>
          <w:smallCaps/>
        </w:rPr>
        <w:t>Pine Bluff Commercial</w:t>
      </w:r>
      <w:r>
        <w:t xml:space="preserve"> (Ark.), Nov. 4, 2016 </w:t>
      </w:r>
      <w:hyperlink r:id="rId3" w:history="1">
        <w:r w:rsidRPr="00104B29">
          <w:rPr>
            <w:rStyle w:val="Hyperlink"/>
          </w:rPr>
          <w:t>http://www.pbcommercial.com/news/20161104/two-days-after-raids-chinese-restaurants-open-for-business</w:t>
        </w:r>
      </w:hyperlink>
      <w:r>
        <w:t xml:space="preserve">; </w:t>
      </w:r>
      <w:r w:rsidRPr="00E343EA">
        <w:t xml:space="preserve"> Note, </w:t>
      </w:r>
      <w:r w:rsidRPr="00E343EA">
        <w:rPr>
          <w:i/>
        </w:rPr>
        <w:t>Temporary Detentions of Aliens for the Purpose of Interrogation are subject to the Terry Doctrine</w:t>
      </w:r>
      <w:r w:rsidRPr="00E343EA">
        <w:t xml:space="preserve">, 72 </w:t>
      </w:r>
      <w:r w:rsidRPr="00E343EA">
        <w:rPr>
          <w:smallCaps/>
        </w:rPr>
        <w:t>Colum. L. Rev.</w:t>
      </w:r>
      <w:r w:rsidRPr="00E343EA">
        <w:t xml:space="preserve"> 593 (1972) (discussing immigration raids on Chinese restaurants).  </w:t>
      </w:r>
      <w:r>
        <w:t>B</w:t>
      </w:r>
      <w:r w:rsidRPr="00E343EA">
        <w:t>eing Asian near a Chinese restaurant can be a component of probable cause</w:t>
      </w:r>
      <w:r>
        <w:t>; as the D. C. Circuit explained:</w:t>
      </w:r>
    </w:p>
    <w:p w14:paraId="12E61752" w14:textId="77777777" w:rsidR="00501D78" w:rsidRPr="00E343EA" w:rsidRDefault="00501D78" w:rsidP="0077585F">
      <w:pPr>
        <w:pStyle w:val="FootnoteText"/>
        <w:ind w:left="720" w:firstLine="0"/>
      </w:pPr>
      <w:r w:rsidRPr="00E343EA">
        <w:t>[the officer</w:t>
      </w:r>
      <w:r>
        <w:t>’</w:t>
      </w:r>
      <w:r w:rsidRPr="00E343EA">
        <w:t xml:space="preserve">s] attention was initially drawn to petitioner and his companion by their distinctively oriental appearance and their clothing. We do not in any way intend to suggest that the appearance of being oriental is in any respect </w:t>
      </w:r>
      <w:r>
        <w:t>“</w:t>
      </w:r>
      <w:r w:rsidRPr="00E343EA">
        <w:t>suspicious</w:t>
      </w:r>
      <w:r>
        <w:t>”</w:t>
      </w:r>
      <w:r w:rsidRPr="00E343EA">
        <w:t>, and we wish to state in unequivocal terms that we could never condone stopping or questioning an individual simply because he looked to be of oriental descent. Nonetheless, we need not be so naive as to blink at the reality of the fact that many of the aliens who illegally enter the United States each year are oriental seamen who desert their ships at such major seaports as New York, Philadelphia, and Baltimore in our geographical area. Nor do we need to ignore the fact that many such illegal entrants find employment in and around food service establishments, particularly those specializing in oriental cuisines where other employees are likely to be conversant in their native languages.</w:t>
      </w:r>
    </w:p>
    <w:p w14:paraId="1AF9F8D1" w14:textId="4CD7F63E" w:rsidR="00501D78" w:rsidRDefault="00501D78" w:rsidP="003106F2">
      <w:pPr>
        <w:pStyle w:val="FootnoteText"/>
        <w:ind w:firstLine="0"/>
      </w:pPr>
      <w:r w:rsidRPr="00E343EA">
        <w:t>Cheung Tin Wong v. INS, 468 F.2d 1123, 1127 (D.C. Cir. 1972).</w:t>
      </w:r>
    </w:p>
  </w:footnote>
  <w:footnote w:id="368">
    <w:p w14:paraId="37D2790F" w14:textId="55827617" w:rsidR="00501D78" w:rsidRPr="00E343EA" w:rsidRDefault="00501D78" w:rsidP="00B06E49">
      <w:pPr>
        <w:pStyle w:val="FootnoteText"/>
      </w:pPr>
      <w:r w:rsidRPr="00E343EA">
        <w:rPr>
          <w:rStyle w:val="FootnoteReference"/>
        </w:rPr>
        <w:footnoteRef/>
      </w:r>
      <w:r w:rsidRPr="00E343EA">
        <w:t xml:space="preserve"> 3</w:t>
      </w:r>
      <w:r w:rsidRPr="00E343EA">
        <w:rPr>
          <w:i/>
        </w:rPr>
        <w:t>,000 N.Y. Chinese in Protest Parade</w:t>
      </w:r>
      <w:r w:rsidRPr="00E343EA">
        <w:t xml:space="preserve">, </w:t>
      </w:r>
      <w:r w:rsidRPr="00E343EA">
        <w:rPr>
          <w:smallCaps/>
        </w:rPr>
        <w:t>N.Y. Herald</w:t>
      </w:r>
      <w:r w:rsidRPr="00E343EA">
        <w:t xml:space="preserve">, Sept. 17, 1921, at 6.  </w:t>
      </w:r>
    </w:p>
  </w:footnote>
  <w:footnote w:id="369">
    <w:p w14:paraId="00AAC05E" w14:textId="2BF00764" w:rsidR="00501D78" w:rsidRPr="00E343EA" w:rsidRDefault="00501D78" w:rsidP="00B06E49">
      <w:pPr>
        <w:pStyle w:val="FootnoteText"/>
      </w:pPr>
      <w:r w:rsidRPr="00E343EA">
        <w:rPr>
          <w:rStyle w:val="FootnoteReference"/>
        </w:rPr>
        <w:footnoteRef/>
      </w:r>
      <w:r w:rsidRPr="00E343EA">
        <w:t xml:space="preserve"> </w:t>
      </w:r>
      <w:r w:rsidRPr="00E343EA">
        <w:rPr>
          <w:smallCaps/>
        </w:rPr>
        <w:t>State of Connecticut, Report of the Department of Labor and Factory Inspection for the Year 1921-22</w:t>
      </w:r>
      <w:r w:rsidRPr="00E343EA">
        <w:t>, at 132 (1922).</w:t>
      </w:r>
      <w:r w:rsidR="00B425D6" w:rsidRPr="00E343EA">
        <w:rPr>
          <w:smallCaps/>
        </w:rPr>
        <w:t xml:space="preserve"> </w:t>
      </w:r>
      <w:r w:rsidR="00B425D6" w:rsidRPr="00E343EA">
        <w:rPr>
          <w:i/>
        </w:rPr>
        <w:t>See also, e.g.,</w:t>
      </w:r>
      <w:r w:rsidR="00B425D6" w:rsidRPr="00E343EA">
        <w:rPr>
          <w:smallCaps/>
        </w:rPr>
        <w:t xml:space="preserve"> Charles C. Dominge &amp; Walter O. Lincoln Fire Inspection and Underwriting</w:t>
      </w:r>
      <w:r w:rsidR="00B425D6" w:rsidRPr="00E343EA">
        <w:t xml:space="preserve"> (6th ed. rev. enl. 1948) (reporting that </w:t>
      </w:r>
      <w:r w:rsidR="00B425D6">
        <w:t>“</w:t>
      </w:r>
      <w:r w:rsidR="00B425D6" w:rsidRPr="00E343EA">
        <w:t>CHINESE RESTAURANTS, generally speaking, are cleaner than the usual run of restaurants.</w:t>
      </w:r>
      <w:r w:rsidR="00B425D6">
        <w:t>”</w:t>
      </w:r>
      <w:r w:rsidR="00B425D6" w:rsidRPr="00E343EA">
        <w:t xml:space="preserve">); Emanuel B. Halper, </w:t>
      </w:r>
      <w:r w:rsidR="00B425D6" w:rsidRPr="00E343EA">
        <w:rPr>
          <w:i/>
        </w:rPr>
        <w:t>Food Service Lease and Exclusive Use Clauses</w:t>
      </w:r>
      <w:r w:rsidR="00B425D6" w:rsidRPr="00E343EA">
        <w:t xml:space="preserve">, </w:t>
      </w:r>
      <w:r w:rsidR="00B425D6" w:rsidRPr="00E343EA">
        <w:rPr>
          <w:smallCaps/>
        </w:rPr>
        <w:t>32 Real Prop., Probate &amp; Trust J.</w:t>
      </w:r>
      <w:r w:rsidR="00B425D6" w:rsidRPr="00E343EA">
        <w:t xml:space="preserve"> 455, 509 (1997) (</w:t>
      </w:r>
      <w:r w:rsidR="00B425D6">
        <w:t>“</w:t>
      </w:r>
      <w:r w:rsidR="00B425D6" w:rsidRPr="00E343EA">
        <w:t>Chinese restaurants maintain a more attractive environment than most</w:t>
      </w:r>
      <w:r w:rsidR="00B425D6">
        <w:t>”</w:t>
      </w:r>
      <w:r w:rsidR="00B425D6" w:rsidRPr="00E343EA">
        <w:t>).</w:t>
      </w:r>
    </w:p>
  </w:footnote>
  <w:footnote w:id="370">
    <w:p w14:paraId="7D79C7C0" w14:textId="61C064E6" w:rsidR="00501D78" w:rsidRPr="00E343EA" w:rsidRDefault="00501D78" w:rsidP="00B06E49">
      <w:pPr>
        <w:pStyle w:val="FootnoteText"/>
      </w:pPr>
      <w:r w:rsidRPr="00E343EA">
        <w:rPr>
          <w:rStyle w:val="FootnoteReference"/>
        </w:rPr>
        <w:footnoteRef/>
      </w:r>
      <w:r w:rsidRPr="00E343EA">
        <w:t xml:space="preserve"> </w:t>
      </w:r>
      <w:r>
        <w:rPr>
          <w:smallCaps/>
        </w:rPr>
        <w:t xml:space="preserve">Coe, </w:t>
      </w:r>
      <w:r w:rsidRPr="007535FB">
        <w:rPr>
          <w:i/>
        </w:rPr>
        <w:t>supra</w:t>
      </w:r>
      <w:r w:rsidRPr="007535FB">
        <w:t xml:space="preserve"> note</w:t>
      </w:r>
      <w:r>
        <w:rPr>
          <w:smallCaps/>
        </w:rPr>
        <w:t xml:space="preserve"> </w:t>
      </w:r>
      <w:r>
        <w:rPr>
          <w:smallCaps/>
        </w:rPr>
        <w:fldChar w:fldCharType="begin"/>
      </w:r>
      <w:r>
        <w:rPr>
          <w:smallCaps/>
        </w:rPr>
        <w:instrText xml:space="preserve"> NOTEREF _Ref475540046 \h </w:instrText>
      </w:r>
      <w:r>
        <w:rPr>
          <w:smallCaps/>
        </w:rPr>
      </w:r>
      <w:r>
        <w:rPr>
          <w:smallCaps/>
        </w:rPr>
        <w:fldChar w:fldCharType="separate"/>
      </w:r>
      <w:r w:rsidR="008A4890">
        <w:rPr>
          <w:smallCaps/>
        </w:rPr>
        <w:t>2</w:t>
      </w:r>
      <w:r>
        <w:rPr>
          <w:smallCaps/>
        </w:rPr>
        <w:fldChar w:fldCharType="end"/>
      </w:r>
      <w:r>
        <w:rPr>
          <w:smallCaps/>
        </w:rPr>
        <w:t xml:space="preserve">, </w:t>
      </w:r>
      <w:r w:rsidRPr="007535FB">
        <w:t>at</w:t>
      </w:r>
      <w:r w:rsidRPr="00E343EA">
        <w:t>189.</w:t>
      </w:r>
    </w:p>
  </w:footnote>
  <w:footnote w:id="371">
    <w:p w14:paraId="14171ED7" w14:textId="4E0B974F" w:rsidR="00501D78" w:rsidRPr="00E343EA" w:rsidRDefault="00501D78" w:rsidP="00B06E49">
      <w:pPr>
        <w:pStyle w:val="FootnoteText"/>
      </w:pPr>
      <w:r w:rsidRPr="00E343EA">
        <w:rPr>
          <w:rStyle w:val="FootnoteReference"/>
        </w:rPr>
        <w:footnoteRef/>
      </w:r>
      <w:r w:rsidRPr="00E343EA">
        <w:t xml:space="preserve"> Harley Spiller, </w:t>
      </w:r>
      <w:r w:rsidRPr="00E343EA">
        <w:rPr>
          <w:i/>
        </w:rPr>
        <w:t>Late Night in the Lion</w:t>
      </w:r>
      <w:r>
        <w:rPr>
          <w:i/>
        </w:rPr>
        <w:t>’</w:t>
      </w:r>
      <w:r w:rsidRPr="00E343EA">
        <w:rPr>
          <w:i/>
        </w:rPr>
        <w:t>s Den: Chinese Restaurant-Nightclubs in 1940s San Francisco</w:t>
      </w:r>
      <w:r w:rsidRPr="00E343EA">
        <w:t xml:space="preserve">, 4 </w:t>
      </w:r>
      <w:r w:rsidRPr="00A01152">
        <w:rPr>
          <w:smallCaps/>
        </w:rPr>
        <w:t>Gastronomica</w:t>
      </w:r>
      <w:r w:rsidRPr="00E343EA">
        <w:t xml:space="preserve"> No. 4 94-101 (Fall 2004). </w:t>
      </w:r>
    </w:p>
  </w:footnote>
  <w:footnote w:id="372">
    <w:p w14:paraId="46314B7E" w14:textId="03E107BB" w:rsidR="00501D78" w:rsidRPr="00E343EA" w:rsidRDefault="00501D78" w:rsidP="00B06E49">
      <w:pPr>
        <w:pStyle w:val="FootnoteText"/>
      </w:pPr>
      <w:r w:rsidRPr="00E343EA">
        <w:rPr>
          <w:rStyle w:val="FootnoteReference"/>
        </w:rPr>
        <w:footnoteRef/>
      </w:r>
      <w:r w:rsidRPr="00E343EA">
        <w:t xml:space="preserve"> Charles W. Hayford, </w:t>
      </w:r>
      <w:r w:rsidRPr="00E343EA">
        <w:rPr>
          <w:i/>
        </w:rPr>
        <w:t xml:space="preserve">Open Recipes, Openly Arrived at: </w:t>
      </w:r>
      <w:r>
        <w:rPr>
          <w:i/>
        </w:rPr>
        <w:t>“</w:t>
      </w:r>
      <w:r w:rsidRPr="00E343EA">
        <w:rPr>
          <w:i/>
        </w:rPr>
        <w:t>How To Cook And Eat In Chinese</w:t>
      </w:r>
      <w:r>
        <w:rPr>
          <w:i/>
        </w:rPr>
        <w:t>”</w:t>
      </w:r>
      <w:r w:rsidRPr="00E343EA">
        <w:rPr>
          <w:i/>
        </w:rPr>
        <w:t xml:space="preserve"> (1945) And the Translation of Chinese Food</w:t>
      </w:r>
      <w:r w:rsidRPr="00E343EA">
        <w:t xml:space="preserve"> / </w:t>
      </w:r>
      <w:r w:rsidRPr="00E343EA">
        <w:rPr>
          <w:rFonts w:eastAsia="MS Gothic"/>
        </w:rPr>
        <w:t>食譜的開放與普及：《中國菜的烹調與食用方法》及其翻譯問題</w:t>
      </w:r>
      <w:r w:rsidRPr="00E343EA">
        <w:t>, 45</w:t>
      </w:r>
      <w:r w:rsidRPr="00E343EA">
        <w:rPr>
          <w:smallCaps/>
        </w:rPr>
        <w:t xml:space="preserve"> J. Oriental Studs.,</w:t>
      </w:r>
      <w:r w:rsidRPr="00E343EA">
        <w:t xml:space="preserve"> No. 1/2 67 (2012).</w:t>
      </w:r>
      <w:r w:rsidR="00A47964">
        <w:t xml:space="preserve">  Yet, Chinese restaurants are still exotic enough that </w:t>
      </w:r>
      <w:r w:rsidR="00ED3F63">
        <w:t xml:space="preserve">some believe “MSG syndrome” </w:t>
      </w:r>
      <w:r w:rsidR="003107D5">
        <w:t xml:space="preserve">or “Chinese Restaurant Syndrome” </w:t>
      </w:r>
      <w:r w:rsidR="00ED3F63">
        <w:t xml:space="preserve">is a racial-psychological rather than physical phenomenon. </w:t>
      </w:r>
      <w:r w:rsidR="00ED3F63" w:rsidRPr="00C40E10">
        <w:rPr>
          <w:i/>
        </w:rPr>
        <w:t>See</w:t>
      </w:r>
      <w:r w:rsidR="00ED3F63">
        <w:t xml:space="preserve"> Jennifer L. LeMesurier, </w:t>
      </w:r>
      <w:r w:rsidR="00ED3F63" w:rsidRPr="00C40E10">
        <w:rPr>
          <w:i/>
        </w:rPr>
        <w:t>Uptaking Race: Genre, MSG, and Chinese Dinner</w:t>
      </w:r>
      <w:r w:rsidR="00ED3F63">
        <w:t xml:space="preserve">, </w:t>
      </w:r>
      <w:r w:rsidR="00C40E10">
        <w:t xml:space="preserve">12 </w:t>
      </w:r>
      <w:r w:rsidR="00C40E10" w:rsidRPr="00C40E10">
        <w:rPr>
          <w:smallCaps/>
        </w:rPr>
        <w:t>Poroi</w:t>
      </w:r>
      <w:r w:rsidR="00C40E10">
        <w:t xml:space="preserve"> No. 2 (2017).</w:t>
      </w:r>
    </w:p>
  </w:footnote>
  <w:footnote w:id="373">
    <w:p w14:paraId="2604104A" w14:textId="7598C188" w:rsidR="00501D78" w:rsidRPr="00E343EA" w:rsidRDefault="00501D78" w:rsidP="00B06E49">
      <w:pPr>
        <w:pStyle w:val="FootnoteText"/>
      </w:pPr>
      <w:r w:rsidRPr="00E343EA">
        <w:rPr>
          <w:rStyle w:val="FootnoteReference"/>
        </w:rPr>
        <w:footnoteRef/>
      </w:r>
      <w:r w:rsidRPr="00E343EA">
        <w:t xml:space="preserve"> </w:t>
      </w:r>
      <w:r w:rsidRPr="00E343EA">
        <w:rPr>
          <w:smallCaps/>
        </w:rPr>
        <w:t>Nathan Glazer &amp; Daniel Patrick Moynihan, Beyond the Melting Pot: The Negroes, Puerto Ricans, Jews, Italians, and Irish of New York City</w:t>
      </w:r>
      <w:r w:rsidRPr="00E343EA">
        <w:t xml:space="preserve"> 31 (2d ed. 1970).</w:t>
      </w:r>
    </w:p>
  </w:footnote>
  <w:footnote w:id="374">
    <w:p w14:paraId="01DE0C72" w14:textId="67AAC00F" w:rsidR="00501D78" w:rsidRPr="00E343EA" w:rsidRDefault="00501D78" w:rsidP="00B06E49">
      <w:pPr>
        <w:pStyle w:val="FootnoteText"/>
      </w:pPr>
      <w:r w:rsidRPr="00E343EA">
        <w:rPr>
          <w:rStyle w:val="FootnoteReference"/>
        </w:rPr>
        <w:footnoteRef/>
      </w:r>
      <w:r w:rsidRPr="00E343EA">
        <w:t xml:space="preserve"> </w:t>
      </w:r>
      <w:r w:rsidRPr="00E343EA">
        <w:rPr>
          <w:smallCaps/>
        </w:rPr>
        <w:t>Fred W. Riggs</w:t>
      </w:r>
      <w:r>
        <w:rPr>
          <w:smallCaps/>
        </w:rPr>
        <w:t>,</w:t>
      </w:r>
      <w:r w:rsidRPr="00E343EA">
        <w:rPr>
          <w:smallCaps/>
        </w:rPr>
        <w:t xml:space="preserve"> Pressures on Congress</w:t>
      </w:r>
      <w:r>
        <w:rPr>
          <w:smallCaps/>
        </w:rPr>
        <w:t>:</w:t>
      </w:r>
      <w:r w:rsidRPr="00E343EA">
        <w:rPr>
          <w:smallCaps/>
        </w:rPr>
        <w:t xml:space="preserve"> A Study of the of Chinese Exclusion</w:t>
      </w:r>
      <w:r w:rsidRPr="00E343EA">
        <w:t xml:space="preserve"> 29, 30 (1950</w:t>
      </w:r>
      <w:r w:rsidRPr="00E343EA">
        <w:rPr>
          <w:i/>
        </w:rPr>
        <w:t>).  See also</w:t>
      </w:r>
      <w:r w:rsidRPr="00E343EA">
        <w:t xml:space="preserve"> Ivan Light &amp; Charles Choy Wong</w:t>
      </w:r>
      <w:r w:rsidRPr="00E343EA">
        <w:rPr>
          <w:i/>
        </w:rPr>
        <w:t>, Protest or Work: Dilemmas of the Tourist Industry in American Chinatowns</w:t>
      </w:r>
      <w:r w:rsidRPr="00E343EA">
        <w:t xml:space="preserve">, 80 </w:t>
      </w:r>
      <w:r w:rsidRPr="0020781D">
        <w:rPr>
          <w:smallCaps/>
        </w:rPr>
        <w:t>Am. J. Soc</w:t>
      </w:r>
      <w:r>
        <w:rPr>
          <w:smallCaps/>
        </w:rPr>
        <w:t>iology</w:t>
      </w:r>
      <w:r w:rsidRPr="00E343EA">
        <w:t xml:space="preserve"> 1342 (1975).</w:t>
      </w:r>
    </w:p>
  </w:footnote>
  <w:footnote w:id="375">
    <w:p w14:paraId="30662446" w14:textId="6487191A" w:rsidR="00501D78" w:rsidRDefault="00501D78" w:rsidP="00F304CA">
      <w:pPr>
        <w:pStyle w:val="FootnoteText"/>
      </w:pPr>
      <w:r>
        <w:rPr>
          <w:rStyle w:val="FootnoteReference"/>
        </w:rPr>
        <w:footnoteRef/>
      </w:r>
      <w:r>
        <w:t xml:space="preserve"> </w:t>
      </w:r>
      <w:r w:rsidRPr="00E343EA">
        <w:rPr>
          <w:smallCaps/>
        </w:rPr>
        <w:t xml:space="preserve">Pfaelzer, </w:t>
      </w:r>
      <w:r w:rsidRPr="003324C3">
        <w:rPr>
          <w:i/>
        </w:rPr>
        <w:t>supra</w:t>
      </w:r>
      <w:r w:rsidRPr="003324C3">
        <w:t xml:space="preserve"> note </w:t>
      </w:r>
      <w:r>
        <w:fldChar w:fldCharType="begin"/>
      </w:r>
      <w:r>
        <w:instrText xml:space="preserve"> NOTEREF _Ref476153648 \h </w:instrText>
      </w:r>
      <w:r>
        <w:fldChar w:fldCharType="separate"/>
      </w:r>
      <w:r w:rsidR="008A4890">
        <w:t>55</w:t>
      </w:r>
      <w:r>
        <w:fldChar w:fldCharType="end"/>
      </w:r>
      <w:r w:rsidRPr="003324C3">
        <w:t xml:space="preserve">, </w:t>
      </w:r>
      <w:r w:rsidRPr="003106F2">
        <w:t>at</w:t>
      </w:r>
      <w:r>
        <w:rPr>
          <w:smallCaps/>
        </w:rPr>
        <w:t xml:space="preserve"> </w:t>
      </w:r>
      <w:r>
        <w:t>99 (“Despite segregated housing and jobs, white and Chinese men and women interacted closely in rural towns in the West—at popular Chinese restaurants” and in other areas).</w:t>
      </w:r>
    </w:p>
  </w:footnote>
  <w:footnote w:id="376">
    <w:p w14:paraId="50CEFA7D" w14:textId="4E5C5570" w:rsidR="00501D78" w:rsidRDefault="00501D78" w:rsidP="00BA6886">
      <w:pPr>
        <w:pStyle w:val="FootnoteText"/>
      </w:pPr>
      <w:r>
        <w:rPr>
          <w:rStyle w:val="FootnoteReference"/>
        </w:rPr>
        <w:footnoteRef/>
      </w:r>
      <w:r>
        <w:t xml:space="preserve"> Anne-Marie Slaughter, </w:t>
      </w:r>
      <w:r w:rsidRPr="00BA6886">
        <w:rPr>
          <w:i/>
        </w:rPr>
        <w:t>A Typology of Transjudicial Communication</w:t>
      </w:r>
      <w:r>
        <w:t xml:space="preserve">, 29 </w:t>
      </w:r>
      <w:r w:rsidRPr="00BA6886">
        <w:rPr>
          <w:smallCaps/>
        </w:rPr>
        <w:t>U. Rich. L. Rev.</w:t>
      </w:r>
      <w:r>
        <w:t xml:space="preserve"> 99, 99 (1994) (“Courts are talking to one another all over the world.”)</w:t>
      </w:r>
    </w:p>
  </w:footnote>
  <w:footnote w:id="377">
    <w:p w14:paraId="3A8C600C" w14:textId="5AF1526F" w:rsidR="00501D78" w:rsidRDefault="00501D78" w:rsidP="003265A7">
      <w:pPr>
        <w:pStyle w:val="FootnoteText"/>
      </w:pPr>
      <w:r>
        <w:rPr>
          <w:rStyle w:val="FootnoteReference"/>
        </w:rPr>
        <w:footnoteRef/>
      </w:r>
      <w:r>
        <w:t xml:space="preserve"> David M. Trubek et. al., </w:t>
      </w:r>
      <w:r w:rsidRPr="003265A7">
        <w:rPr>
          <w:i/>
        </w:rPr>
        <w:t>Global Restructuring and the Law: Studies of the Internationalization of Legal Fields and the Creation of Transnational Arenas</w:t>
      </w:r>
      <w:r>
        <w:t xml:space="preserve">, 44 </w:t>
      </w:r>
      <w:r w:rsidRPr="002B4F74">
        <w:rPr>
          <w:smallCaps/>
        </w:rPr>
        <w:t xml:space="preserve">Case W. Res. L. Rev. </w:t>
      </w:r>
      <w:r>
        <w:t>407, 478 (1994) (international organizations and agencies “spread Western legal ideas throughout the periphery”).</w:t>
      </w:r>
    </w:p>
  </w:footnote>
  <w:footnote w:id="378">
    <w:p w14:paraId="6D2142DF" w14:textId="6A4B7357" w:rsidR="00501D78" w:rsidRDefault="00501D78">
      <w:pPr>
        <w:pStyle w:val="FootnoteText"/>
      </w:pPr>
      <w:r>
        <w:rPr>
          <w:rStyle w:val="FootnoteReference"/>
        </w:rPr>
        <w:footnoteRef/>
      </w:r>
      <w:r>
        <w:t xml:space="preserve"> </w:t>
      </w:r>
      <w:r w:rsidRPr="003265A7">
        <w:t xml:space="preserve">Anthony Lester QC, </w:t>
      </w:r>
      <w:r w:rsidRPr="00FC032A">
        <w:rPr>
          <w:i/>
        </w:rPr>
        <w:t>The Overseas Trade in the American Bill of Rights</w:t>
      </w:r>
      <w:r w:rsidRPr="003265A7">
        <w:t xml:space="preserve">, 88 </w:t>
      </w:r>
      <w:r w:rsidRPr="00FC032A">
        <w:rPr>
          <w:smallCaps/>
        </w:rPr>
        <w:t xml:space="preserve">Colum. L. Rev. </w:t>
      </w:r>
      <w:r w:rsidRPr="003265A7">
        <w:t>537 (1988)</w:t>
      </w:r>
      <w:r>
        <w:t xml:space="preserve"> (noting that western “</w:t>
      </w:r>
      <w:r w:rsidRPr="003265A7">
        <w:t xml:space="preserve">legal ideas and systems were </w:t>
      </w:r>
      <w:r>
        <w:t xml:space="preserve">… </w:t>
      </w:r>
      <w:r w:rsidRPr="003265A7">
        <w:t xml:space="preserve"> spread, through imperial rule, to other continents</w:t>
      </w:r>
      <w:r>
        <w:t>”).</w:t>
      </w:r>
    </w:p>
  </w:footnote>
  <w:footnote w:id="379">
    <w:p w14:paraId="06B3FABA" w14:textId="77777777" w:rsidR="00501D78" w:rsidRDefault="00501D78" w:rsidP="006B1904">
      <w:pPr>
        <w:pStyle w:val="FootnoteText"/>
      </w:pPr>
      <w:r>
        <w:rPr>
          <w:rStyle w:val="FootnoteReference"/>
        </w:rPr>
        <w:footnoteRef/>
      </w:r>
      <w:r>
        <w:t xml:space="preserve"> Douglas NeJaime, </w:t>
      </w:r>
      <w:r w:rsidRPr="0076335A">
        <w:rPr>
          <w:bCs/>
          <w:i/>
        </w:rPr>
        <w:t>Winning Through Losing</w:t>
      </w:r>
      <w:r w:rsidRPr="0076335A">
        <w:rPr>
          <w:bCs/>
        </w:rPr>
        <w:t xml:space="preserve">, 96 </w:t>
      </w:r>
      <w:r w:rsidRPr="0076335A">
        <w:rPr>
          <w:bCs/>
          <w:smallCaps/>
        </w:rPr>
        <w:t>Iowa L. Rev.</w:t>
      </w:r>
      <w:r w:rsidRPr="0076335A">
        <w:rPr>
          <w:bCs/>
        </w:rPr>
        <w:t xml:space="preserve"> 941 (2011).</w:t>
      </w:r>
    </w:p>
  </w:footnote>
  <w:footnote w:id="380">
    <w:p w14:paraId="6B947A7D" w14:textId="6E4381FA" w:rsidR="00501D78" w:rsidRDefault="00501D78">
      <w:pPr>
        <w:pStyle w:val="FootnoteText"/>
      </w:pPr>
      <w:r>
        <w:rPr>
          <w:rStyle w:val="FootnoteReference"/>
        </w:rPr>
        <w:footnoteRef/>
      </w:r>
      <w:r>
        <w:t xml:space="preserve"> </w:t>
      </w:r>
      <w:r w:rsidRPr="000A2A38">
        <w:rPr>
          <w:i/>
        </w:rPr>
        <w:t>See generally</w:t>
      </w:r>
      <w:r>
        <w:t xml:space="preserve"> </w:t>
      </w:r>
      <w:r w:rsidRPr="000A2A38">
        <w:rPr>
          <w:smallCaps/>
        </w:rPr>
        <w:t>Strange Neighbors: The Role of States in Immigration Policy</w:t>
      </w:r>
      <w:r>
        <w:t xml:space="preserve"> (Carissa Byrne Hessick &amp; Gabriel J. Chin eds., 2014).</w:t>
      </w:r>
    </w:p>
  </w:footnote>
  <w:footnote w:id="381">
    <w:p w14:paraId="784AEDA6" w14:textId="2C45CF38" w:rsidR="00501D78" w:rsidRDefault="00501D78" w:rsidP="0067098A">
      <w:pPr>
        <w:pStyle w:val="FootnoteText"/>
      </w:pPr>
      <w:r>
        <w:rPr>
          <w:rStyle w:val="FootnoteReference"/>
        </w:rPr>
        <w:footnoteRef/>
      </w:r>
      <w:r>
        <w:t xml:space="preserve"> Gregory S. Schneider &amp; Gabriel J. Chin, </w:t>
      </w:r>
      <w:r w:rsidRPr="0067098A">
        <w:rPr>
          <w:i/>
        </w:rPr>
        <w:t>Double Trouble: Double Jeopardy's Dual Sovereignty Exception and State Immigration Statutes</w:t>
      </w:r>
      <w:r>
        <w:t xml:space="preserve">, 28 </w:t>
      </w:r>
      <w:r w:rsidRPr="0067098A">
        <w:rPr>
          <w:smallCaps/>
        </w:rPr>
        <w:t xml:space="preserve">Ariz. J. Int'l &amp; Comp. L. </w:t>
      </w:r>
      <w:r>
        <w:t xml:space="preserve">363, 363 (2011); Gabriel J. Chin et. al., </w:t>
      </w:r>
      <w:r w:rsidRPr="0067098A">
        <w:rPr>
          <w:i/>
        </w:rPr>
        <w:t>A Legal Labyrinth: Issues Raised by Arizona Senate Bill 1070</w:t>
      </w:r>
      <w:r>
        <w:t xml:space="preserve">, 25 </w:t>
      </w:r>
      <w:r w:rsidRPr="0067098A">
        <w:rPr>
          <w:smallCaps/>
        </w:rPr>
        <w:t>Geo. Immigr. L.J.</w:t>
      </w:r>
      <w:r>
        <w:t xml:space="preserve"> 47 (2010).</w:t>
      </w:r>
    </w:p>
  </w:footnote>
  <w:footnote w:id="382">
    <w:p w14:paraId="4C8B9603" w14:textId="4AF3A330" w:rsidR="00501D78" w:rsidRDefault="00501D78" w:rsidP="0067098A">
      <w:pPr>
        <w:pStyle w:val="FootnoteText"/>
      </w:pPr>
      <w:r>
        <w:rPr>
          <w:rStyle w:val="FootnoteReference"/>
        </w:rPr>
        <w:footnoteRef/>
      </w:r>
      <w:r>
        <w:t xml:space="preserve"> Gabriel J. Chin &amp; Marc L. Miller, </w:t>
      </w:r>
      <w:r w:rsidRPr="002B4F74">
        <w:rPr>
          <w:i/>
        </w:rPr>
        <w:t>The Unconstitutionality of State Regulation of Immigration Through Criminal Law</w:t>
      </w:r>
      <w:r>
        <w:t xml:space="preserve">, 61 </w:t>
      </w:r>
      <w:r w:rsidRPr="002B4F74">
        <w:rPr>
          <w:smallCaps/>
        </w:rPr>
        <w:t xml:space="preserve">Duke L.J. </w:t>
      </w:r>
      <w:r>
        <w:t>251 (2011).</w:t>
      </w:r>
    </w:p>
  </w:footnote>
  <w:footnote w:id="383">
    <w:p w14:paraId="61E8BEB9" w14:textId="7FC83D7A" w:rsidR="00501D78" w:rsidRDefault="00501D78" w:rsidP="005E04E9">
      <w:pPr>
        <w:pStyle w:val="FootnoteText"/>
      </w:pPr>
      <w:r>
        <w:rPr>
          <w:rStyle w:val="FootnoteReference"/>
        </w:rPr>
        <w:footnoteRef/>
      </w:r>
      <w:r>
        <w:t xml:space="preserve"> Arizona v. United States, 132 S. Ct. 2492 (2012).</w:t>
      </w:r>
    </w:p>
  </w:footnote>
  <w:footnote w:id="384">
    <w:p w14:paraId="64E0F245" w14:textId="77777777" w:rsidR="00501D78" w:rsidRDefault="00501D78" w:rsidP="006C3C20">
      <w:pPr>
        <w:pStyle w:val="FootnoteText"/>
      </w:pPr>
      <w:r>
        <w:rPr>
          <w:rStyle w:val="FootnoteReference"/>
        </w:rPr>
        <w:footnoteRef/>
      </w:r>
      <w:r>
        <w:t xml:space="preserve"> Hrishi Karthikeyan &amp; Gabriel J. Chin, </w:t>
      </w:r>
      <w:r w:rsidRPr="00B85970">
        <w:rPr>
          <w:i/>
        </w:rPr>
        <w:t>Preserving Racial Identity: Population Patterns and the Application of Anti-Miscegenation Statutes to Asian Americans</w:t>
      </w:r>
      <w:r>
        <w:t xml:space="preserve">, 1910-1950, 9 </w:t>
      </w:r>
      <w:r w:rsidRPr="00B85970">
        <w:rPr>
          <w:smallCaps/>
        </w:rPr>
        <w:t>Asian L.J.</w:t>
      </w:r>
      <w:r>
        <w:t xml:space="preserve"> 1, 15 (2002).</w:t>
      </w:r>
    </w:p>
  </w:footnote>
  <w:footnote w:id="385">
    <w:p w14:paraId="24BB23C0" w14:textId="77777777" w:rsidR="00501D78" w:rsidRDefault="00501D78" w:rsidP="006C3C20">
      <w:pPr>
        <w:pStyle w:val="FootnoteText"/>
      </w:pPr>
      <w:r>
        <w:rPr>
          <w:rStyle w:val="FootnoteReference"/>
        </w:rPr>
        <w:footnoteRef/>
      </w:r>
      <w:r>
        <w:t xml:space="preserve"> McGovney, </w:t>
      </w:r>
      <w:r w:rsidRPr="005C3D7C">
        <w:rPr>
          <w:i/>
        </w:rPr>
        <w:t>supra</w:t>
      </w:r>
      <w:r>
        <w:t xml:space="preserve"> note </w:t>
      </w:r>
      <w:r>
        <w:fldChar w:fldCharType="begin"/>
      </w:r>
      <w:r>
        <w:instrText xml:space="preserve"> NOTEREF _Ref461984698 \h </w:instrText>
      </w:r>
      <w:r>
        <w:fldChar w:fldCharType="separate"/>
      </w:r>
      <w:r w:rsidR="008A4890">
        <w:t>394</w:t>
      </w:r>
      <w:r>
        <w:fldChar w:fldCharType="end"/>
      </w:r>
      <w:r>
        <w:t>, at 7-8.</w:t>
      </w:r>
    </w:p>
  </w:footnote>
  <w:footnote w:id="386">
    <w:p w14:paraId="077340E7" w14:textId="77777777" w:rsidR="00501D78" w:rsidRDefault="00501D78" w:rsidP="00B93F75">
      <w:pPr>
        <w:pStyle w:val="FootnoteText"/>
      </w:pPr>
      <w:r>
        <w:rPr>
          <w:rStyle w:val="FootnoteReference"/>
        </w:rPr>
        <w:footnoteRef/>
      </w:r>
      <w:r>
        <w:t xml:space="preserve"> </w:t>
      </w:r>
      <w:r w:rsidRPr="0027585D">
        <w:rPr>
          <w:i/>
        </w:rPr>
        <w:t>Claims of Chinese Subjects Residing at Butte, Mont., on Account of Boycott of their Business</w:t>
      </w:r>
      <w:r>
        <w:t xml:space="preserve">, </w:t>
      </w:r>
      <w:r w:rsidRPr="0027585D">
        <w:rPr>
          <w:smallCaps/>
        </w:rPr>
        <w:t xml:space="preserve">Papers Relating to the Foreign Relations of the United States with the Annual </w:t>
      </w:r>
      <w:r>
        <w:rPr>
          <w:smallCaps/>
        </w:rPr>
        <w:t>M</w:t>
      </w:r>
      <w:r w:rsidRPr="0027585D">
        <w:rPr>
          <w:smallCaps/>
        </w:rPr>
        <w:t>essage of the President Transmitted to Congress December 3, 1901</w:t>
      </w:r>
      <w:r>
        <w:t xml:space="preserve"> 100 (1902).</w:t>
      </w:r>
    </w:p>
  </w:footnote>
  <w:footnote w:id="387">
    <w:p w14:paraId="6B8D9789" w14:textId="77777777" w:rsidR="00501D78" w:rsidRPr="00E343EA" w:rsidRDefault="00501D78" w:rsidP="00B93F75">
      <w:pPr>
        <w:pStyle w:val="FootnoteText"/>
      </w:pPr>
      <w:r w:rsidRPr="00E343EA">
        <w:rPr>
          <w:rStyle w:val="FootnoteReference"/>
        </w:rPr>
        <w:footnoteRef/>
      </w:r>
      <w:r w:rsidRPr="00E343EA">
        <w:t xml:space="preserve"> </w:t>
      </w:r>
      <w:r w:rsidRPr="00E343EA">
        <w:rPr>
          <w:i/>
        </w:rPr>
        <w:t>Chop Suey Ordinance Passed</w:t>
      </w:r>
      <w:r w:rsidRPr="00E343EA">
        <w:t xml:space="preserve">, </w:t>
      </w:r>
      <w:r w:rsidRPr="00E343EA">
        <w:rPr>
          <w:smallCaps/>
        </w:rPr>
        <w:t xml:space="preserve">Gazette Times, </w:t>
      </w:r>
      <w:r w:rsidRPr="00E343EA">
        <w:t>Dec. 28, 1910, at 1.</w:t>
      </w:r>
    </w:p>
  </w:footnote>
  <w:footnote w:id="388">
    <w:p w14:paraId="0FFFA236" w14:textId="054F41A7" w:rsidR="00501D78" w:rsidRDefault="00501D78">
      <w:pPr>
        <w:pStyle w:val="FootnoteText"/>
      </w:pPr>
      <w:r>
        <w:rPr>
          <w:rStyle w:val="FootnoteReference"/>
        </w:rPr>
        <w:footnoteRef/>
      </w:r>
      <w:r>
        <w:t xml:space="preserve"> </w:t>
      </w:r>
      <w:r w:rsidRPr="004A261A">
        <w:rPr>
          <w:i/>
        </w:rPr>
        <w:t>See infra</w:t>
      </w:r>
      <w:r>
        <w:t xml:space="preserve"> note </w:t>
      </w:r>
      <w:r>
        <w:fldChar w:fldCharType="begin"/>
      </w:r>
      <w:r>
        <w:instrText xml:space="preserve"> NOTEREF _Ref476063801 \h </w:instrText>
      </w:r>
      <w:r>
        <w:fldChar w:fldCharType="separate"/>
      </w:r>
      <w:r w:rsidR="008A4890">
        <w:t>188</w:t>
      </w:r>
      <w:r>
        <w:fldChar w:fldCharType="end"/>
      </w:r>
      <w:r>
        <w:t>.</w:t>
      </w:r>
    </w:p>
  </w:footnote>
  <w:footnote w:id="389">
    <w:p w14:paraId="123C3136" w14:textId="33888A96" w:rsidR="00501D78" w:rsidRPr="00E343EA" w:rsidRDefault="00501D78" w:rsidP="00B93F75">
      <w:pPr>
        <w:pStyle w:val="FootnoteText"/>
      </w:pPr>
      <w:r w:rsidRPr="00E343EA">
        <w:rPr>
          <w:rStyle w:val="FootnoteReference"/>
        </w:rPr>
        <w:footnoteRef/>
      </w:r>
      <w:r w:rsidRPr="00E343EA">
        <w:t xml:space="preserve"> </w:t>
      </w:r>
      <w:r w:rsidRPr="00E343EA">
        <w:rPr>
          <w:i/>
        </w:rPr>
        <w:t>Chinese Accuse Police</w:t>
      </w:r>
      <w:r w:rsidRPr="00E343EA">
        <w:t xml:space="preserve">, </w:t>
      </w:r>
      <w:r w:rsidRPr="00E343EA">
        <w:rPr>
          <w:smallCaps/>
        </w:rPr>
        <w:t xml:space="preserve">N.Y. Times, </w:t>
      </w:r>
      <w:r w:rsidRPr="00E343EA">
        <w:t>July 6, 1909, at 14</w:t>
      </w:r>
      <w:r>
        <w:t>.</w:t>
      </w:r>
      <w:r w:rsidRPr="00E343EA">
        <w:t xml:space="preserve"> </w:t>
      </w:r>
    </w:p>
  </w:footnote>
  <w:footnote w:id="390">
    <w:p w14:paraId="2F8C2776" w14:textId="77777777" w:rsidR="00501D78" w:rsidRPr="00E343EA" w:rsidRDefault="00501D78" w:rsidP="00AD652D">
      <w:pPr>
        <w:pStyle w:val="FootnoteText"/>
      </w:pPr>
      <w:r w:rsidRPr="00E343EA">
        <w:rPr>
          <w:rStyle w:val="FootnoteReference"/>
        </w:rPr>
        <w:footnoteRef/>
      </w:r>
      <w:r>
        <w:t xml:space="preserve"> “[T]</w:t>
      </w:r>
      <w:r w:rsidRPr="00E343EA">
        <w:t>he original Constitution, candidly considered, not only did not outlaw slavery, but deliberately protected it.</w:t>
      </w:r>
      <w:r>
        <w:t>”</w:t>
      </w:r>
      <w:r w:rsidRPr="00E343EA">
        <w:t xml:space="preserve">  John Hart Ely, </w:t>
      </w:r>
      <w:r w:rsidRPr="00E343EA">
        <w:rPr>
          <w:i/>
        </w:rPr>
        <w:t>Foreword: On Discovering Fundamental Values</w:t>
      </w:r>
      <w:r w:rsidRPr="00E343EA">
        <w:t xml:space="preserve">, 92 </w:t>
      </w:r>
      <w:r w:rsidRPr="00E343EA">
        <w:rPr>
          <w:smallCaps/>
        </w:rPr>
        <w:t>Harv. L. Rev.</w:t>
      </w:r>
      <w:r w:rsidRPr="00E343EA">
        <w:t xml:space="preserve"> 5, 25 (1978).  </w:t>
      </w:r>
      <w:r w:rsidRPr="00E343EA">
        <w:rPr>
          <w:i/>
        </w:rPr>
        <w:t>See also, e.g.,</w:t>
      </w:r>
      <w:r w:rsidRPr="00E343EA">
        <w:t xml:space="preserve"> Jack M. Balkin, </w:t>
      </w:r>
      <w:r w:rsidRPr="00E343EA">
        <w:rPr>
          <w:i/>
        </w:rPr>
        <w:t>Original Meaning and Constitutional Redemption</w:t>
      </w:r>
      <w:r w:rsidRPr="00E343EA">
        <w:t xml:space="preserve">, 24 </w:t>
      </w:r>
      <w:r w:rsidRPr="00E343EA">
        <w:rPr>
          <w:smallCaps/>
        </w:rPr>
        <w:t>Const. Comment.</w:t>
      </w:r>
      <w:r w:rsidRPr="00E343EA">
        <w:t xml:space="preserve"> 427, 468 (2007) (</w:t>
      </w:r>
      <w:r>
        <w:t>“</w:t>
      </w:r>
      <w:r w:rsidRPr="00E343EA">
        <w:t xml:space="preserve">When William Lloyd Garrison famously argued that the United States Constitution was </w:t>
      </w:r>
      <w:r>
        <w:t>‘</w:t>
      </w:r>
      <w:r w:rsidRPr="00E343EA">
        <w:t>a covenant with death, and an agreement with hell,</w:t>
      </w:r>
      <w:r>
        <w:t>’</w:t>
      </w:r>
      <w:r w:rsidRPr="00E343EA">
        <w:t xml:space="preserve"> he meant that the Framers in the North had been forced by those in the South to agree to provisions that recognized and protected slavery.</w:t>
      </w:r>
      <w:r>
        <w:t>”</w:t>
      </w:r>
      <w:r w:rsidRPr="00E343EA">
        <w:t xml:space="preserve">); Richard Delgado, </w:t>
      </w:r>
      <w:r w:rsidRPr="00E343EA">
        <w:rPr>
          <w:i/>
        </w:rPr>
        <w:t>Derrick Bell and the Ideology of Racial Reform: Will We Ever Be Saved?</w:t>
      </w:r>
      <w:r w:rsidRPr="00E343EA">
        <w:t xml:space="preserve">, 97 </w:t>
      </w:r>
      <w:r w:rsidRPr="003366BE">
        <w:rPr>
          <w:smallCaps/>
        </w:rPr>
        <w:t>Yale L.J.</w:t>
      </w:r>
      <w:r w:rsidRPr="00E343EA">
        <w:t xml:space="preserve"> 923, 947 n.42 (1988) (</w:t>
      </w:r>
      <w:r>
        <w:t>“</w:t>
      </w:r>
      <w:r w:rsidRPr="00E343EA">
        <w:t>Ten provisions of the Constitution protected the institution of slavery without overtly sullying the document</w:t>
      </w:r>
      <w:r>
        <w:t>’</w:t>
      </w:r>
      <w:r w:rsidRPr="00E343EA">
        <w:t>s egalitarian appearance by mentioning the ugly word.</w:t>
      </w:r>
      <w:r>
        <w:t>”</w:t>
      </w:r>
      <w:r w:rsidRPr="00E343EA">
        <w:t>).</w:t>
      </w:r>
    </w:p>
  </w:footnote>
  <w:footnote w:id="391">
    <w:p w14:paraId="2ED29FB4" w14:textId="77777777" w:rsidR="00501D78" w:rsidRPr="00E343EA" w:rsidRDefault="00501D78" w:rsidP="00AD652D">
      <w:pPr>
        <w:pStyle w:val="FootnoteText"/>
      </w:pPr>
      <w:r w:rsidRPr="00E343EA">
        <w:rPr>
          <w:rStyle w:val="FootnoteReference"/>
        </w:rPr>
        <w:footnoteRef/>
      </w:r>
      <w:r w:rsidRPr="00E343EA">
        <w:t xml:space="preserve"> </w:t>
      </w:r>
      <w:r w:rsidRPr="00E343EA">
        <w:rPr>
          <w:smallCaps/>
        </w:rPr>
        <w:t>Douglas A. Blackmon, Slavery by Another Name: The Re-Enslavement of Black Americans from the Civil War to World War II</w:t>
      </w:r>
      <w:r w:rsidRPr="00E343EA">
        <w:t xml:space="preserve"> (2008).   </w:t>
      </w:r>
    </w:p>
  </w:footnote>
  <w:footnote w:id="392">
    <w:p w14:paraId="61457AF4" w14:textId="77777777" w:rsidR="00501D78" w:rsidRDefault="00501D78" w:rsidP="00AD652D">
      <w:pPr>
        <w:pStyle w:val="FootnoteText"/>
      </w:pPr>
      <w:r>
        <w:rPr>
          <w:rStyle w:val="FootnoteReference"/>
        </w:rPr>
        <w:footnoteRef/>
      </w:r>
      <w:r>
        <w:t xml:space="preserve"> </w:t>
      </w:r>
      <w:r w:rsidRPr="00B72093">
        <w:rPr>
          <w:i/>
        </w:rPr>
        <w:t>See, e.g.,</w:t>
      </w:r>
      <w:r>
        <w:t xml:space="preserve"> </w:t>
      </w:r>
      <w:r w:rsidRPr="00B72093">
        <w:rPr>
          <w:smallCaps/>
        </w:rPr>
        <w:t>John Weber, From South Texas to the Nation: The Exploitation of Mexican Labor in the Twentieth Century</w:t>
      </w:r>
      <w:r>
        <w:t xml:space="preserve"> (2015); </w:t>
      </w:r>
      <w:r w:rsidRPr="00B72093">
        <w:rPr>
          <w:smallCaps/>
        </w:rPr>
        <w:t>Ronald Mize &amp; Alicia Swords, Consuming Mexican Labor: From the Bracero Program to NAFTA</w:t>
      </w:r>
      <w:r>
        <w:t xml:space="preserve"> (2010).</w:t>
      </w:r>
    </w:p>
  </w:footnote>
  <w:footnote w:id="393">
    <w:p w14:paraId="418AD62E" w14:textId="77777777" w:rsidR="00501D78" w:rsidRPr="00E343EA" w:rsidRDefault="00501D78" w:rsidP="00AD652D">
      <w:pPr>
        <w:pStyle w:val="FootnoteText"/>
      </w:pPr>
      <w:r w:rsidRPr="00E343EA">
        <w:rPr>
          <w:rStyle w:val="FootnoteReference"/>
        </w:rPr>
        <w:footnoteRef/>
      </w:r>
      <w:r w:rsidRPr="00E343EA">
        <w:t xml:space="preserve"> </w:t>
      </w:r>
      <w:r w:rsidRPr="00E343EA">
        <w:rPr>
          <w:smallCaps/>
        </w:rPr>
        <w:t>Stuart Banner How the Indians Lost Their Land: Law and Power on the Frontier</w:t>
      </w:r>
      <w:r w:rsidRPr="00E343EA">
        <w:t xml:space="preserve"> (2005). </w:t>
      </w:r>
    </w:p>
  </w:footnote>
  <w:footnote w:id="394">
    <w:p w14:paraId="06478000" w14:textId="77777777" w:rsidR="00501D78" w:rsidRPr="00E343EA" w:rsidRDefault="00501D78" w:rsidP="00AD652D">
      <w:pPr>
        <w:pStyle w:val="FootnoteText"/>
      </w:pPr>
      <w:r w:rsidRPr="00E343EA">
        <w:rPr>
          <w:rStyle w:val="FootnoteReference"/>
        </w:rPr>
        <w:footnoteRef/>
      </w:r>
      <w:r w:rsidRPr="00E343EA">
        <w:t xml:space="preserve"> Joseph R. Membrino, </w:t>
      </w:r>
      <w:r w:rsidRPr="00E343EA">
        <w:rPr>
          <w:i/>
        </w:rPr>
        <w:t>A Brief History of Indian Trust Administration Reform: Will The Past Be Prologue?</w:t>
      </w:r>
      <w:r w:rsidRPr="00E343EA">
        <w:t xml:space="preserve">, 50 </w:t>
      </w:r>
      <w:r w:rsidRPr="00E343EA">
        <w:rPr>
          <w:smallCaps/>
        </w:rPr>
        <w:t>Tulsa L. Rev.</w:t>
      </w:r>
      <w:r w:rsidRPr="00E343EA">
        <w:t xml:space="preserve"> 227 (2014).  </w:t>
      </w:r>
    </w:p>
  </w:footnote>
  <w:footnote w:id="395">
    <w:p w14:paraId="000638F3" w14:textId="77777777" w:rsidR="00501D78" w:rsidRPr="00E343EA" w:rsidRDefault="00501D78" w:rsidP="00AD652D">
      <w:pPr>
        <w:pStyle w:val="FootnoteText"/>
      </w:pPr>
      <w:r w:rsidRPr="00E343EA">
        <w:rPr>
          <w:rStyle w:val="FootnoteReference"/>
        </w:rPr>
        <w:footnoteRef/>
      </w:r>
      <w:r w:rsidRPr="00E343EA">
        <w:t xml:space="preserve"> </w:t>
      </w:r>
      <w:r w:rsidRPr="00E343EA">
        <w:rPr>
          <w:smallCaps/>
        </w:rPr>
        <w:t>Hugh Thomas, The Slave Trade: The Story of the Atlantic Slave Trade: 1440 - 1870</w:t>
      </w:r>
      <w:r w:rsidRPr="00E343EA">
        <w:t xml:space="preserve"> (1997).</w:t>
      </w:r>
    </w:p>
  </w:footnote>
  <w:footnote w:id="396">
    <w:p w14:paraId="09C3778E" w14:textId="77777777" w:rsidR="00501D78" w:rsidRPr="00E343EA" w:rsidRDefault="00501D78" w:rsidP="00AD652D">
      <w:pPr>
        <w:pStyle w:val="FootnoteText"/>
      </w:pPr>
      <w:r w:rsidRPr="00E343EA">
        <w:rPr>
          <w:rStyle w:val="FootnoteReference"/>
        </w:rPr>
        <w:footnoteRef/>
      </w:r>
      <w:r w:rsidRPr="00E343EA">
        <w:t xml:space="preserve"> </w:t>
      </w:r>
      <w:r w:rsidRPr="00E343EA">
        <w:rPr>
          <w:smallCaps/>
        </w:rPr>
        <w:t>David Bernstein, Only One Place of Redress: African-Americans, Labor Regulations, and the Courts from Reconstruction to the New Deal</w:t>
      </w:r>
      <w:r w:rsidRPr="00E343EA">
        <w:t xml:space="preserve"> (2001).</w:t>
      </w:r>
    </w:p>
  </w:footnote>
  <w:footnote w:id="397">
    <w:p w14:paraId="29F15794" w14:textId="77777777" w:rsidR="00501D78" w:rsidRPr="00E343EA" w:rsidRDefault="00501D78" w:rsidP="006D6906">
      <w:pPr>
        <w:pStyle w:val="FootnoteText"/>
      </w:pPr>
      <w:r w:rsidRPr="00E343EA">
        <w:rPr>
          <w:rStyle w:val="FootnoteReference"/>
        </w:rPr>
        <w:footnoteRef/>
      </w:r>
      <w:r w:rsidRPr="00E343EA">
        <w:t xml:space="preserve"> Dudley O. McGovney, </w:t>
      </w:r>
      <w:r w:rsidRPr="00E343EA">
        <w:rPr>
          <w:i/>
        </w:rPr>
        <w:t>The Anti-Japanese Land Laws of California and Ten Other States</w:t>
      </w:r>
      <w:r w:rsidRPr="00E343EA">
        <w:t xml:space="preserve">, 35 </w:t>
      </w:r>
      <w:r w:rsidRPr="00E343EA">
        <w:rPr>
          <w:smallCaps/>
        </w:rPr>
        <w:t>Cal. L. Rev.</w:t>
      </w:r>
      <w:r w:rsidRPr="00E343EA">
        <w:t xml:space="preserve"> 7, 13 (1947) (quoting </w:t>
      </w:r>
      <w:r w:rsidRPr="00E343EA">
        <w:rPr>
          <w:i/>
        </w:rPr>
        <w:t>In re</w:t>
      </w:r>
      <w:r w:rsidRPr="00E343EA">
        <w:t xml:space="preserve"> Yano, 206 P. 995, 1001 (Cal. 1922)).</w:t>
      </w:r>
    </w:p>
  </w:footnote>
  <w:footnote w:id="398">
    <w:p w14:paraId="2AB98289" w14:textId="77777777" w:rsidR="00501D78" w:rsidRPr="00E343EA" w:rsidRDefault="00501D78" w:rsidP="006D6906">
      <w:pPr>
        <w:pStyle w:val="FootnoteText"/>
      </w:pPr>
      <w:r w:rsidRPr="00E343EA">
        <w:rPr>
          <w:rStyle w:val="FootnoteReference"/>
        </w:rPr>
        <w:footnoteRef/>
      </w:r>
      <w:r w:rsidRPr="00E343EA">
        <w:t xml:space="preserve"> </w:t>
      </w:r>
      <w:r w:rsidRPr="00B92062">
        <w:rPr>
          <w:i/>
        </w:rPr>
        <w:t xml:space="preserve">Id.; </w:t>
      </w:r>
      <w:r w:rsidRPr="00E343EA">
        <w:t xml:space="preserve">Keith Aoki, </w:t>
      </w:r>
      <w:r w:rsidRPr="00E343EA">
        <w:rPr>
          <w:i/>
        </w:rPr>
        <w:t xml:space="preserve">No Right to Own?: The Early Twentieth-Century </w:t>
      </w:r>
      <w:r>
        <w:rPr>
          <w:i/>
        </w:rPr>
        <w:t>“</w:t>
      </w:r>
      <w:r w:rsidRPr="00E343EA">
        <w:rPr>
          <w:i/>
        </w:rPr>
        <w:t>Alien Land Laws</w:t>
      </w:r>
      <w:r>
        <w:rPr>
          <w:i/>
        </w:rPr>
        <w:t>”</w:t>
      </w:r>
      <w:r w:rsidRPr="00E343EA">
        <w:rPr>
          <w:i/>
        </w:rPr>
        <w:t xml:space="preserve"> As A Prelude to Internment</w:t>
      </w:r>
      <w:r w:rsidRPr="00E343EA">
        <w:t xml:space="preserve">, 40 </w:t>
      </w:r>
      <w:r w:rsidRPr="00E343EA">
        <w:rPr>
          <w:smallCaps/>
        </w:rPr>
        <w:t xml:space="preserve">B.C. L. Rev. </w:t>
      </w:r>
      <w:r w:rsidRPr="00E343EA">
        <w:t>37 (1998)</w:t>
      </w:r>
      <w:r>
        <w:t xml:space="preserve">; </w:t>
      </w:r>
      <w:r w:rsidRPr="00B92062">
        <w:rPr>
          <w:i/>
        </w:rPr>
        <w:t>see also</w:t>
      </w:r>
      <w:r w:rsidRPr="00B92062">
        <w:t xml:space="preserve"> </w:t>
      </w:r>
      <w:r w:rsidRPr="00E343EA">
        <w:t xml:space="preserve">Gabriel J. Chin, </w:t>
      </w:r>
      <w:r w:rsidRPr="00E343EA">
        <w:rPr>
          <w:i/>
        </w:rPr>
        <w:t>Unexplainable on Grounds of Race: Doubts About</w:t>
      </w:r>
      <w:r w:rsidRPr="00E343EA">
        <w:t xml:space="preserve"> Yick Wo, 2008 </w:t>
      </w:r>
      <w:r w:rsidRPr="00E343EA">
        <w:rPr>
          <w:smallCaps/>
        </w:rPr>
        <w:t xml:space="preserve">U. Ill. L. Rev. </w:t>
      </w:r>
      <w:r w:rsidRPr="00E343EA">
        <w:t>1359, 1383-84 (2008)</w:t>
      </w:r>
      <w:r>
        <w:t>.</w:t>
      </w:r>
    </w:p>
  </w:footnote>
  <w:footnote w:id="399">
    <w:p w14:paraId="29D19D55" w14:textId="45F3093F" w:rsidR="00501D78" w:rsidRPr="00E343EA" w:rsidRDefault="00501D78" w:rsidP="006D6906">
      <w:pPr>
        <w:pStyle w:val="FootnoteText"/>
      </w:pPr>
      <w:r w:rsidRPr="00E343EA">
        <w:rPr>
          <w:rStyle w:val="FootnoteReference"/>
        </w:rPr>
        <w:footnoteRef/>
      </w:r>
      <w:r w:rsidRPr="00E343EA">
        <w:t xml:space="preserve"> </w:t>
      </w:r>
      <w:r w:rsidRPr="00E343EA">
        <w:rPr>
          <w:smallCaps/>
        </w:rPr>
        <w:t>Lee</w:t>
      </w:r>
      <w:r>
        <w:rPr>
          <w:smallCaps/>
        </w:rPr>
        <w:t>,</w:t>
      </w:r>
      <w:r w:rsidRPr="00007C78">
        <w:t xml:space="preserve"> </w:t>
      </w:r>
      <w:r w:rsidRPr="00007C78">
        <w:rPr>
          <w:i/>
        </w:rPr>
        <w:t>supra</w:t>
      </w:r>
      <w:r w:rsidRPr="00007C78">
        <w:t xml:space="preserve"> note</w:t>
      </w:r>
      <w:r>
        <w:rPr>
          <w:smallCaps/>
        </w:rPr>
        <w:t xml:space="preserve"> </w:t>
      </w:r>
      <w:r>
        <w:rPr>
          <w:smallCaps/>
        </w:rPr>
        <w:fldChar w:fldCharType="begin"/>
      </w:r>
      <w:r>
        <w:rPr>
          <w:smallCaps/>
        </w:rPr>
        <w:instrText xml:space="preserve"> NOTEREF _Ref475451534 \h </w:instrText>
      </w:r>
      <w:r>
        <w:rPr>
          <w:smallCaps/>
        </w:rPr>
      </w:r>
      <w:r>
        <w:rPr>
          <w:smallCaps/>
        </w:rPr>
        <w:fldChar w:fldCharType="separate"/>
      </w:r>
      <w:r w:rsidR="008A4890">
        <w:rPr>
          <w:smallCaps/>
        </w:rPr>
        <w:t>2</w:t>
      </w:r>
      <w:r>
        <w:rPr>
          <w:smallCaps/>
        </w:rPr>
        <w:fldChar w:fldCharType="end"/>
      </w:r>
      <w:r>
        <w:rPr>
          <w:smallCaps/>
        </w:rPr>
        <w:t xml:space="preserve">, </w:t>
      </w:r>
      <w:r w:rsidRPr="00AF03D7">
        <w:t>at</w:t>
      </w:r>
      <w:r>
        <w:rPr>
          <w:smallCaps/>
        </w:rPr>
        <w:t xml:space="preserve"> </w:t>
      </w:r>
      <w:r>
        <w:t>131-33</w:t>
      </w:r>
      <w:r w:rsidRPr="00E343EA">
        <w:t xml:space="preserve"> (discussing methods of economic exclusion)</w:t>
      </w:r>
      <w:r>
        <w:t xml:space="preserve">; </w:t>
      </w:r>
      <w:r w:rsidRPr="00031F56">
        <w:rPr>
          <w:i/>
        </w:rPr>
        <w:t>Against the Chinese</w:t>
      </w:r>
      <w:r>
        <w:t xml:space="preserve">, </w:t>
      </w:r>
      <w:r w:rsidRPr="00031F56">
        <w:rPr>
          <w:smallCaps/>
        </w:rPr>
        <w:t>Anaconda Standard (</w:t>
      </w:r>
      <w:r w:rsidRPr="007B7C6A">
        <w:t>Mont</w:t>
      </w:r>
      <w:r>
        <w:rPr>
          <w:smallCaps/>
        </w:rPr>
        <w:t>.</w:t>
      </w:r>
      <w:r w:rsidRPr="00031F56">
        <w:rPr>
          <w:smallCaps/>
        </w:rPr>
        <w:t>)</w:t>
      </w:r>
      <w:r>
        <w:t>, Jan. 12, 1893, at 2 (“Just as soon as the people of the city cease to patronize Chinese restaurants and laundries and cease to employ Chinese as servants and porters, life in Anaconda will cease to be lucrative to the Chinaman and the exodus will begin.”).</w:t>
      </w:r>
      <w:r w:rsidRPr="00E343EA">
        <w:t xml:space="preserve"> </w:t>
      </w:r>
    </w:p>
  </w:footnote>
  <w:footnote w:id="400">
    <w:p w14:paraId="698D9E5E" w14:textId="77777777" w:rsidR="00501D78" w:rsidRPr="00E343EA" w:rsidRDefault="00501D78" w:rsidP="006D6906">
      <w:pPr>
        <w:pStyle w:val="FootnoteText"/>
      </w:pPr>
      <w:r w:rsidRPr="00E343EA">
        <w:rPr>
          <w:rStyle w:val="FootnoteReference"/>
        </w:rPr>
        <w:footnoteRef/>
      </w:r>
      <w:r w:rsidRPr="00E343EA">
        <w:t xml:space="preserve"> 118 U.S. 356 (1886).</w:t>
      </w:r>
    </w:p>
  </w:footnote>
  <w:footnote w:id="401">
    <w:p w14:paraId="790169D7" w14:textId="0EBB7456" w:rsidR="00501D78" w:rsidRPr="00E343EA" w:rsidRDefault="00501D78" w:rsidP="006D6906">
      <w:pPr>
        <w:pStyle w:val="FootnoteText"/>
      </w:pPr>
      <w:r w:rsidRPr="00E343EA">
        <w:rPr>
          <w:rStyle w:val="FootnoteReference"/>
        </w:rPr>
        <w:footnoteRef/>
      </w:r>
      <w:r w:rsidRPr="00E343EA">
        <w:t xml:space="preserve"> David E. Bernstein, Lochner, </w:t>
      </w:r>
      <w:r w:rsidRPr="00E343EA">
        <w:rPr>
          <w:i/>
        </w:rPr>
        <w:t>Parity, and the Chinese Laundry Cases</w:t>
      </w:r>
      <w:r w:rsidRPr="00E343EA">
        <w:t xml:space="preserve">, 41 </w:t>
      </w:r>
      <w:r w:rsidRPr="00E343EA">
        <w:rPr>
          <w:smallCaps/>
        </w:rPr>
        <w:t>Wm. &amp; Mary L. Rev.</w:t>
      </w:r>
      <w:r w:rsidRPr="00E343EA">
        <w:t xml:space="preserve"> 211 (1999) (</w:t>
      </w:r>
      <w:r>
        <w:t>“</w:t>
      </w:r>
      <w:r w:rsidRPr="00E343EA">
        <w:t>From the 1860s to the early twentieth century, Chinese laundrymen throughout the American West suffered from violence, boycotts, and hostile regulation of their occupation by local governments.</w:t>
      </w:r>
      <w:r>
        <w:t>”</w:t>
      </w:r>
      <w:r w:rsidRPr="00E343EA">
        <w:t xml:space="preserve">).  </w:t>
      </w:r>
      <w:r w:rsidRPr="00E343EA">
        <w:rPr>
          <w:i/>
        </w:rPr>
        <w:t>See generally</w:t>
      </w:r>
      <w:r w:rsidRPr="00E343EA">
        <w:t xml:space="preserve"> Joan S. Wang, </w:t>
      </w:r>
      <w:r w:rsidRPr="00E343EA">
        <w:rPr>
          <w:i/>
        </w:rPr>
        <w:t>Race, Gender, and Laundry Work: The Roles of Chinese Laundrymen and American Women in the United States, 1850-1950</w:t>
      </w:r>
      <w:r w:rsidRPr="00E343EA">
        <w:t>, 24 J</w:t>
      </w:r>
      <w:r w:rsidRPr="00E343EA">
        <w:rPr>
          <w:smallCaps/>
        </w:rPr>
        <w:t>. Am. Ethnic Hist</w:t>
      </w:r>
      <w:r w:rsidRPr="00E343EA">
        <w:t>. No. 1 58 (2004)</w:t>
      </w:r>
      <w:r>
        <w:t>.</w:t>
      </w:r>
    </w:p>
  </w:footnote>
  <w:footnote w:id="402">
    <w:p w14:paraId="19243077" w14:textId="48CBC00E" w:rsidR="00501D78" w:rsidRDefault="00501D78" w:rsidP="00E516D8">
      <w:pPr>
        <w:pStyle w:val="FootnoteText"/>
      </w:pPr>
      <w:r>
        <w:rPr>
          <w:rStyle w:val="FootnoteReference"/>
        </w:rPr>
        <w:footnoteRef/>
      </w:r>
      <w:r>
        <w:t xml:space="preserve"> Kevin R. Johnson, </w:t>
      </w:r>
      <w:r w:rsidRPr="00E516D8">
        <w:rPr>
          <w:i/>
        </w:rPr>
        <w:t>The Forgotten "Repatriation" of Persons of Mexican Ancestry and Lessons for the "War on Terror"</w:t>
      </w:r>
      <w:r>
        <w:t xml:space="preserve">, 26 </w:t>
      </w:r>
      <w:r w:rsidRPr="00E516D8">
        <w:rPr>
          <w:smallCaps/>
        </w:rPr>
        <w:t xml:space="preserve">Pace L. Rev. </w:t>
      </w:r>
      <w:r>
        <w:t>1, 2 (2005).</w:t>
      </w:r>
    </w:p>
  </w:footnote>
  <w:footnote w:id="403">
    <w:p w14:paraId="7FBB7450" w14:textId="6CD907D6" w:rsidR="00501D78" w:rsidRDefault="00501D78" w:rsidP="00B06E49">
      <w:pPr>
        <w:pStyle w:val="FootnoteText"/>
      </w:pPr>
      <w:r>
        <w:rPr>
          <w:rStyle w:val="FootnoteReference"/>
        </w:rPr>
        <w:footnoteRef/>
      </w:r>
      <w:r>
        <w:t xml:space="preserve"> </w:t>
      </w:r>
      <w:r w:rsidRPr="0071448D">
        <w:t xml:space="preserve">Bill Ong Hing, </w:t>
      </w:r>
      <w:r w:rsidRPr="0071448D">
        <w:rPr>
          <w:i/>
        </w:rPr>
        <w:t>Vigilante Racism: The De-Americanization of Immigrant America</w:t>
      </w:r>
      <w:r w:rsidRPr="0071448D">
        <w:t xml:space="preserve">, 7 </w:t>
      </w:r>
      <w:r w:rsidRPr="0071448D">
        <w:rPr>
          <w:smallCaps/>
        </w:rPr>
        <w:t>Mich. J. Race &amp; L.</w:t>
      </w:r>
      <w:r w:rsidRPr="0071448D">
        <w:t xml:space="preserve"> 441, 447 (2002)</w:t>
      </w:r>
      <w:r>
        <w:t xml:space="preserve">. </w:t>
      </w:r>
    </w:p>
  </w:footnote>
  <w:footnote w:id="404">
    <w:p w14:paraId="0C5AD33F" w14:textId="556A2AC8" w:rsidR="00501D78" w:rsidRDefault="00501D78" w:rsidP="00B06E49">
      <w:pPr>
        <w:pStyle w:val="FootnoteText"/>
      </w:pPr>
      <w:r>
        <w:rPr>
          <w:rStyle w:val="FootnoteReference"/>
        </w:rPr>
        <w:footnoteRef/>
      </w:r>
      <w:r>
        <w:t xml:space="preserve"> </w:t>
      </w:r>
      <w:r w:rsidRPr="009B74CC">
        <w:t xml:space="preserve">Miriam Kim, Note, </w:t>
      </w:r>
      <w:r w:rsidRPr="009B74CC">
        <w:rPr>
          <w:i/>
        </w:rPr>
        <w:t>Discrimination in the Wen Ho Lee Case: Reinterpreting the Intent Requirement in Constitutional and Statutory Race Discrimination Cases</w:t>
      </w:r>
      <w:r w:rsidRPr="009B74CC">
        <w:t xml:space="preserve">, 9 </w:t>
      </w:r>
      <w:r w:rsidRPr="009B74CC">
        <w:rPr>
          <w:smallCaps/>
        </w:rPr>
        <w:t>Asian L.J.</w:t>
      </w:r>
      <w:r w:rsidRPr="009B74CC">
        <w:t xml:space="preserve"> 117, 131–32 (2002)</w:t>
      </w:r>
      <w:r>
        <w:t>.</w:t>
      </w:r>
    </w:p>
  </w:footnote>
  <w:footnote w:id="405">
    <w:p w14:paraId="2AA34A94" w14:textId="69FDF414" w:rsidR="00501D78" w:rsidRDefault="00501D78">
      <w:pPr>
        <w:pStyle w:val="FootnoteText"/>
      </w:pPr>
      <w:r>
        <w:rPr>
          <w:rStyle w:val="FootnoteReference"/>
        </w:rPr>
        <w:footnoteRef/>
      </w:r>
      <w:r>
        <w:t xml:space="preserve"> </w:t>
      </w:r>
      <w:r w:rsidRPr="00D906DD">
        <w:rPr>
          <w:i/>
        </w:rPr>
        <w:t>Agency Information Collection Activities: Electronic Visa Update System</w:t>
      </w:r>
      <w:r>
        <w:t xml:space="preserve">, 73 </w:t>
      </w:r>
      <w:r w:rsidRPr="00590C19">
        <w:rPr>
          <w:smallCaps/>
        </w:rPr>
        <w:t>Fed. Reg.</w:t>
      </w:r>
      <w:r>
        <w:t xml:space="preserve"> 11237 (Feb. 15, 2017).</w:t>
      </w:r>
    </w:p>
  </w:footnote>
  <w:footnote w:id="406">
    <w:p w14:paraId="060D5481" w14:textId="4B93AC7B" w:rsidR="00501D78" w:rsidRDefault="00501D78">
      <w:pPr>
        <w:pStyle w:val="FootnoteText"/>
      </w:pPr>
      <w:r>
        <w:rPr>
          <w:rStyle w:val="FootnoteReference"/>
        </w:rPr>
        <w:footnoteRef/>
      </w:r>
      <w:r>
        <w:t xml:space="preserve"> Philip Bump, </w:t>
      </w:r>
      <w:r w:rsidRPr="004871F0">
        <w:rPr>
          <w:i/>
        </w:rPr>
        <w:t>Steve Bannon once complained that 20 percent of the country is made up of immigrants. It isn’t</w:t>
      </w:r>
      <w:r>
        <w:t xml:space="preserve">, </w:t>
      </w:r>
      <w:r w:rsidRPr="007B7C6A">
        <w:rPr>
          <w:smallCaps/>
        </w:rPr>
        <w:t>Wash. Post</w:t>
      </w:r>
      <w:r>
        <w:t xml:space="preserve">, Feb. 1, 2017 </w:t>
      </w:r>
      <w:r w:rsidRPr="003D5521">
        <w:t>https://www.washingtonpost.com/news/politics/wp/2017/02/01/steve-bannon-once-complained-that-20-percent-of-the-country-is-made-up-of-immigrants-it-isnt/?utm_term=.8829fdfd5656</w:t>
      </w:r>
      <w:r>
        <w:t>.</w:t>
      </w:r>
    </w:p>
  </w:footnote>
  <w:footnote w:id="407">
    <w:p w14:paraId="01DC37EA" w14:textId="7B4CCAE3" w:rsidR="00501D78" w:rsidRDefault="00501D78" w:rsidP="000E10C7">
      <w:pPr>
        <w:pStyle w:val="FootnoteText"/>
      </w:pPr>
      <w:r>
        <w:rPr>
          <w:rStyle w:val="FootnoteReference"/>
        </w:rPr>
        <w:footnoteRef/>
      </w:r>
      <w:r>
        <w:t xml:space="preserve"> Willa Frej, </w:t>
      </w:r>
      <w:r w:rsidRPr="007B7C6A">
        <w:rPr>
          <w:i/>
        </w:rPr>
        <w:t>Steve Bannon Suggests There Are Too Many Asian CEOs In Silicon Valley</w:t>
      </w:r>
      <w:r>
        <w:t xml:space="preserve">, </w:t>
      </w:r>
      <w:r w:rsidRPr="007B7C6A">
        <w:rPr>
          <w:smallCaps/>
        </w:rPr>
        <w:t>Huffington Post</w:t>
      </w:r>
      <w:r>
        <w:t xml:space="preserve">, Nov. 16, 2016 </w:t>
      </w:r>
      <w:r w:rsidRPr="00D675D6">
        <w:t>http://www.huffingtonpost.com/entry/steve-bannon-disgusted-asian-ceos-silicon-valley_us_582c5d19e4b0e39c1fa71e48</w:t>
      </w:r>
      <w:r>
        <w:t>.</w:t>
      </w:r>
    </w:p>
  </w:footnote>
  <w:footnote w:id="408">
    <w:p w14:paraId="7F18D33A" w14:textId="4C106F5C" w:rsidR="00501D78" w:rsidRDefault="00501D78" w:rsidP="00590C19">
      <w:pPr>
        <w:pStyle w:val="FootnoteText"/>
      </w:pPr>
      <w:r>
        <w:rPr>
          <w:rStyle w:val="FootnoteReference"/>
        </w:rPr>
        <w:footnoteRef/>
      </w:r>
      <w:r>
        <w:t xml:space="preserve"> </w:t>
      </w:r>
      <w:r w:rsidRPr="00590C19">
        <w:rPr>
          <w:i/>
        </w:rPr>
        <w:t>Cf</w:t>
      </w:r>
      <w:r>
        <w:t xml:space="preserve">. Brian F. Schaffner et al., </w:t>
      </w:r>
      <w:r w:rsidRPr="00590C19">
        <w:rPr>
          <w:i/>
        </w:rPr>
        <w:t>Explaining White Polarization in the 2016 Vote for President: The Sobering Role of Racism and Sexism</w:t>
      </w:r>
      <w:r>
        <w:t xml:space="preserve"> </w:t>
      </w:r>
      <w:r w:rsidRPr="00C146A3">
        <w:t>http://people.umass.edu/schaffne/schaffner_et_al_IDC_conference.pdf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1BEB5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12F75"/>
    <w:multiLevelType w:val="hybridMultilevel"/>
    <w:tmpl w:val="F544EEDE"/>
    <w:lvl w:ilvl="0" w:tplc="94E0BEE6">
      <w:start w:val="1"/>
      <w:numFmt w:val="upperLetter"/>
      <w:pStyle w:val="Heading2"/>
      <w:lvlText w:val="%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C4E57"/>
    <w:multiLevelType w:val="hybridMultilevel"/>
    <w:tmpl w:val="22487EBE"/>
    <w:lvl w:ilvl="0" w:tplc="BC268998">
      <w:start w:val="1"/>
      <w:numFmt w:val="upperLetter"/>
      <w:pStyle w:val="Heading4"/>
      <w:lvlText w:val="%1."/>
      <w:lvlJc w:val="left"/>
      <w:pPr>
        <w:ind w:left="3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A238D"/>
    <w:multiLevelType w:val="hybridMultilevel"/>
    <w:tmpl w:val="96CC9800"/>
    <w:lvl w:ilvl="0" w:tplc="D0ACD57E">
      <w:start w:val="1"/>
      <w:numFmt w:val="upperLetter"/>
      <w:lvlText w:val="%1."/>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267555"/>
    <w:multiLevelType w:val="hybridMultilevel"/>
    <w:tmpl w:val="E452BC3A"/>
    <w:lvl w:ilvl="0" w:tplc="AC9C7980">
      <w:start w:val="1"/>
      <w:numFmt w:val="upperRoman"/>
      <w:pStyle w:val="Heading1"/>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F6C42"/>
    <w:multiLevelType w:val="hybridMultilevel"/>
    <w:tmpl w:val="85C2FD96"/>
    <w:lvl w:ilvl="0" w:tplc="BE487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9A4037"/>
    <w:multiLevelType w:val="hybridMultilevel"/>
    <w:tmpl w:val="5CC6B504"/>
    <w:lvl w:ilvl="0" w:tplc="B498BE2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3209A"/>
    <w:multiLevelType w:val="hybridMultilevel"/>
    <w:tmpl w:val="E24C2F52"/>
    <w:lvl w:ilvl="0" w:tplc="647EB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A7459"/>
    <w:multiLevelType w:val="hybridMultilevel"/>
    <w:tmpl w:val="49B88204"/>
    <w:lvl w:ilvl="0" w:tplc="69789F4C">
      <w:start w:val="1"/>
      <w:numFmt w:val="upperLetter"/>
      <w:lvlText w:val="%1."/>
      <w:lvlJc w:val="left"/>
      <w:pPr>
        <w:ind w:left="1350" w:hanging="360"/>
      </w:pPr>
      <w:rPr>
        <w:rFonts w:hint="default"/>
        <w:i/>
        <w:color w:val="auto"/>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C542739"/>
    <w:multiLevelType w:val="hybridMultilevel"/>
    <w:tmpl w:val="1B7A797C"/>
    <w:lvl w:ilvl="0" w:tplc="E894FF76">
      <w:start w:val="1"/>
      <w:numFmt w:val="upperLetter"/>
      <w:lvlText w:val="%1."/>
      <w:lvlJc w:val="left"/>
      <w:pPr>
        <w:ind w:left="1800" w:hanging="360"/>
      </w:pPr>
      <w:rPr>
        <w:rFonts w:hint="default"/>
        <w:color w:val="0563C1" w:themeColor="hyperlink"/>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54072F"/>
    <w:multiLevelType w:val="hybridMultilevel"/>
    <w:tmpl w:val="4B42BC34"/>
    <w:lvl w:ilvl="0" w:tplc="A4BC4014">
      <w:start w:val="1"/>
      <w:numFmt w:val="decimal"/>
      <w:pStyle w:val="Heading3"/>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3"/>
    <w:lvlOverride w:ilvl="0">
      <w:startOverride w:val="1"/>
    </w:lvlOverride>
  </w:num>
  <w:num w:numId="5">
    <w:abstractNumId w:val="10"/>
  </w:num>
  <w:num w:numId="6">
    <w:abstractNumId w:val="5"/>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num>
  <w:num w:numId="16">
    <w:abstractNumId w:val="1"/>
  </w:num>
  <w:num w:numId="17">
    <w:abstractNumId w:val="1"/>
    <w:lvlOverride w:ilvl="0">
      <w:startOverride w:val="1"/>
    </w:lvlOverride>
  </w:num>
  <w:num w:numId="18">
    <w:abstractNumId w:val="7"/>
  </w:num>
  <w:num w:numId="19">
    <w:abstractNumId w:val="1"/>
    <w:lvlOverride w:ilvl="0">
      <w:startOverride w:val="1"/>
    </w:lvlOverride>
  </w:num>
  <w:num w:numId="20">
    <w:abstractNumId w:val="4"/>
  </w:num>
  <w:num w:numId="21">
    <w:abstractNumId w:val="2"/>
  </w:num>
  <w:num w:numId="22">
    <w:abstractNumId w:val="2"/>
    <w:lvlOverride w:ilvl="0">
      <w:startOverride w:val="1"/>
    </w:lvlOverride>
  </w:num>
  <w:num w:numId="23">
    <w:abstractNumId w:val="2"/>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10"/>
    <w:lvlOverride w:ilvl="0">
      <w:startOverride w:val="1"/>
    </w:lvlOverride>
  </w:num>
  <w:num w:numId="30">
    <w:abstractNumId w:val="2"/>
  </w:num>
  <w:num w:numId="31">
    <w:abstractNumId w:val="2"/>
    <w:lvlOverride w:ilvl="0">
      <w:startOverride w:val="1"/>
    </w:lvlOverride>
  </w:num>
  <w:num w:numId="32">
    <w:abstractNumId w:val="4"/>
    <w:lvlOverride w:ilvl="0">
      <w:startOverride w:val="1"/>
    </w:lvlOverride>
  </w:num>
  <w:num w:numId="33">
    <w:abstractNumId w:val="2"/>
    <w:lvlOverride w:ilvl="0">
      <w:startOverride w:val="1"/>
    </w:lvlOverride>
  </w:num>
  <w:num w:numId="34">
    <w:abstractNumId w:val="9"/>
  </w:num>
  <w:num w:numId="35">
    <w:abstractNumId w:val="8"/>
  </w:num>
  <w:num w:numId="3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D7"/>
    <w:rsid w:val="00001D7E"/>
    <w:rsid w:val="000048D3"/>
    <w:rsid w:val="00006207"/>
    <w:rsid w:val="000071A0"/>
    <w:rsid w:val="00007C78"/>
    <w:rsid w:val="0001127C"/>
    <w:rsid w:val="000119AD"/>
    <w:rsid w:val="00012183"/>
    <w:rsid w:val="000123D3"/>
    <w:rsid w:val="00013515"/>
    <w:rsid w:val="000145D2"/>
    <w:rsid w:val="00014D1A"/>
    <w:rsid w:val="00014D27"/>
    <w:rsid w:val="00014EB7"/>
    <w:rsid w:val="00015FDD"/>
    <w:rsid w:val="00017852"/>
    <w:rsid w:val="00017D3E"/>
    <w:rsid w:val="0002034F"/>
    <w:rsid w:val="00020E87"/>
    <w:rsid w:val="00020EC2"/>
    <w:rsid w:val="00021AD3"/>
    <w:rsid w:val="00021B73"/>
    <w:rsid w:val="00021D0A"/>
    <w:rsid w:val="00021E47"/>
    <w:rsid w:val="00021F25"/>
    <w:rsid w:val="0002249A"/>
    <w:rsid w:val="00023695"/>
    <w:rsid w:val="00023FEA"/>
    <w:rsid w:val="000240AD"/>
    <w:rsid w:val="00025064"/>
    <w:rsid w:val="00025841"/>
    <w:rsid w:val="00025B6E"/>
    <w:rsid w:val="00025D20"/>
    <w:rsid w:val="000260B5"/>
    <w:rsid w:val="000260BE"/>
    <w:rsid w:val="000268AD"/>
    <w:rsid w:val="00026BC0"/>
    <w:rsid w:val="000272C4"/>
    <w:rsid w:val="000273C2"/>
    <w:rsid w:val="00027419"/>
    <w:rsid w:val="00027606"/>
    <w:rsid w:val="000276E9"/>
    <w:rsid w:val="00030622"/>
    <w:rsid w:val="00031A2C"/>
    <w:rsid w:val="00031AB5"/>
    <w:rsid w:val="00031B91"/>
    <w:rsid w:val="00031E05"/>
    <w:rsid w:val="00031EDE"/>
    <w:rsid w:val="00031F56"/>
    <w:rsid w:val="00032C0A"/>
    <w:rsid w:val="00033186"/>
    <w:rsid w:val="000331FC"/>
    <w:rsid w:val="000337CA"/>
    <w:rsid w:val="0003512F"/>
    <w:rsid w:val="00041959"/>
    <w:rsid w:val="00042A30"/>
    <w:rsid w:val="0004363C"/>
    <w:rsid w:val="00045EEF"/>
    <w:rsid w:val="00046089"/>
    <w:rsid w:val="0005010A"/>
    <w:rsid w:val="00050242"/>
    <w:rsid w:val="0005075B"/>
    <w:rsid w:val="000517F5"/>
    <w:rsid w:val="0005243C"/>
    <w:rsid w:val="000532B4"/>
    <w:rsid w:val="000535A4"/>
    <w:rsid w:val="000552DA"/>
    <w:rsid w:val="00055AC6"/>
    <w:rsid w:val="00056B06"/>
    <w:rsid w:val="00056BE9"/>
    <w:rsid w:val="0006145A"/>
    <w:rsid w:val="00062190"/>
    <w:rsid w:val="000639C3"/>
    <w:rsid w:val="00066020"/>
    <w:rsid w:val="0006669F"/>
    <w:rsid w:val="000673E1"/>
    <w:rsid w:val="0006789D"/>
    <w:rsid w:val="00070158"/>
    <w:rsid w:val="00070640"/>
    <w:rsid w:val="000717EA"/>
    <w:rsid w:val="0007220D"/>
    <w:rsid w:val="000723AD"/>
    <w:rsid w:val="00073604"/>
    <w:rsid w:val="000740F7"/>
    <w:rsid w:val="00074808"/>
    <w:rsid w:val="00074A91"/>
    <w:rsid w:val="00074F93"/>
    <w:rsid w:val="00075120"/>
    <w:rsid w:val="00075680"/>
    <w:rsid w:val="0007573E"/>
    <w:rsid w:val="0007647F"/>
    <w:rsid w:val="00076B23"/>
    <w:rsid w:val="00076EA2"/>
    <w:rsid w:val="0007775D"/>
    <w:rsid w:val="000779FE"/>
    <w:rsid w:val="00077A55"/>
    <w:rsid w:val="00077A60"/>
    <w:rsid w:val="000809BD"/>
    <w:rsid w:val="000818D1"/>
    <w:rsid w:val="0008252B"/>
    <w:rsid w:val="0008337B"/>
    <w:rsid w:val="000846A7"/>
    <w:rsid w:val="0008470D"/>
    <w:rsid w:val="00085046"/>
    <w:rsid w:val="0008504E"/>
    <w:rsid w:val="00085ACB"/>
    <w:rsid w:val="00085CAF"/>
    <w:rsid w:val="00085D21"/>
    <w:rsid w:val="00086666"/>
    <w:rsid w:val="0008702E"/>
    <w:rsid w:val="00087D94"/>
    <w:rsid w:val="00090174"/>
    <w:rsid w:val="00090667"/>
    <w:rsid w:val="00092530"/>
    <w:rsid w:val="00092ADD"/>
    <w:rsid w:val="00092F4C"/>
    <w:rsid w:val="000937AE"/>
    <w:rsid w:val="000944AA"/>
    <w:rsid w:val="00094F9B"/>
    <w:rsid w:val="000950B4"/>
    <w:rsid w:val="0009575F"/>
    <w:rsid w:val="00096A17"/>
    <w:rsid w:val="00096B8C"/>
    <w:rsid w:val="00097781"/>
    <w:rsid w:val="00097DDE"/>
    <w:rsid w:val="000A02F8"/>
    <w:rsid w:val="000A03DB"/>
    <w:rsid w:val="000A0881"/>
    <w:rsid w:val="000A0CAE"/>
    <w:rsid w:val="000A113F"/>
    <w:rsid w:val="000A26B7"/>
    <w:rsid w:val="000A2A38"/>
    <w:rsid w:val="000A2F2D"/>
    <w:rsid w:val="000A331A"/>
    <w:rsid w:val="000A3465"/>
    <w:rsid w:val="000A3578"/>
    <w:rsid w:val="000A3951"/>
    <w:rsid w:val="000A3E35"/>
    <w:rsid w:val="000A43A4"/>
    <w:rsid w:val="000A4709"/>
    <w:rsid w:val="000A5953"/>
    <w:rsid w:val="000A607A"/>
    <w:rsid w:val="000A6302"/>
    <w:rsid w:val="000A7111"/>
    <w:rsid w:val="000A7DCF"/>
    <w:rsid w:val="000B0356"/>
    <w:rsid w:val="000B11D8"/>
    <w:rsid w:val="000B1E9E"/>
    <w:rsid w:val="000B3380"/>
    <w:rsid w:val="000B3CA0"/>
    <w:rsid w:val="000B3E27"/>
    <w:rsid w:val="000B4F47"/>
    <w:rsid w:val="000B588A"/>
    <w:rsid w:val="000B79A7"/>
    <w:rsid w:val="000B7FDB"/>
    <w:rsid w:val="000C0109"/>
    <w:rsid w:val="000C0586"/>
    <w:rsid w:val="000C0D53"/>
    <w:rsid w:val="000C18ED"/>
    <w:rsid w:val="000C1982"/>
    <w:rsid w:val="000C1F13"/>
    <w:rsid w:val="000C21D2"/>
    <w:rsid w:val="000C2566"/>
    <w:rsid w:val="000C2616"/>
    <w:rsid w:val="000C273D"/>
    <w:rsid w:val="000C3321"/>
    <w:rsid w:val="000C6FA3"/>
    <w:rsid w:val="000C7719"/>
    <w:rsid w:val="000C7DB0"/>
    <w:rsid w:val="000D0AE7"/>
    <w:rsid w:val="000D1195"/>
    <w:rsid w:val="000D1610"/>
    <w:rsid w:val="000D358A"/>
    <w:rsid w:val="000D47EF"/>
    <w:rsid w:val="000D485D"/>
    <w:rsid w:val="000D5AA3"/>
    <w:rsid w:val="000D5F60"/>
    <w:rsid w:val="000D5FEF"/>
    <w:rsid w:val="000D6661"/>
    <w:rsid w:val="000D6EE5"/>
    <w:rsid w:val="000D7A8E"/>
    <w:rsid w:val="000E0E96"/>
    <w:rsid w:val="000E10C7"/>
    <w:rsid w:val="000E17B6"/>
    <w:rsid w:val="000E24BE"/>
    <w:rsid w:val="000E280E"/>
    <w:rsid w:val="000E2932"/>
    <w:rsid w:val="000E2F3A"/>
    <w:rsid w:val="000E31B4"/>
    <w:rsid w:val="000E3B6B"/>
    <w:rsid w:val="000E466B"/>
    <w:rsid w:val="000E5B0E"/>
    <w:rsid w:val="000E608D"/>
    <w:rsid w:val="000E6FAA"/>
    <w:rsid w:val="000E7422"/>
    <w:rsid w:val="000E74A4"/>
    <w:rsid w:val="000F15AB"/>
    <w:rsid w:val="000F15C3"/>
    <w:rsid w:val="000F185A"/>
    <w:rsid w:val="000F23D7"/>
    <w:rsid w:val="000F25CB"/>
    <w:rsid w:val="000F2669"/>
    <w:rsid w:val="000F26D0"/>
    <w:rsid w:val="000F2815"/>
    <w:rsid w:val="000F28AE"/>
    <w:rsid w:val="000F30AF"/>
    <w:rsid w:val="000F4134"/>
    <w:rsid w:val="000F609C"/>
    <w:rsid w:val="000F720F"/>
    <w:rsid w:val="000F7595"/>
    <w:rsid w:val="000F7F7C"/>
    <w:rsid w:val="00100B0D"/>
    <w:rsid w:val="001012AF"/>
    <w:rsid w:val="001014AB"/>
    <w:rsid w:val="00101DBC"/>
    <w:rsid w:val="00103D4D"/>
    <w:rsid w:val="00104AD9"/>
    <w:rsid w:val="00105451"/>
    <w:rsid w:val="001058BE"/>
    <w:rsid w:val="00106258"/>
    <w:rsid w:val="00107043"/>
    <w:rsid w:val="00110462"/>
    <w:rsid w:val="00111380"/>
    <w:rsid w:val="00111696"/>
    <w:rsid w:val="00111D5A"/>
    <w:rsid w:val="00112005"/>
    <w:rsid w:val="00112E4F"/>
    <w:rsid w:val="00113E8A"/>
    <w:rsid w:val="00114BC0"/>
    <w:rsid w:val="00114E56"/>
    <w:rsid w:val="00115BF4"/>
    <w:rsid w:val="00116E0C"/>
    <w:rsid w:val="00117ACA"/>
    <w:rsid w:val="001205BD"/>
    <w:rsid w:val="00120610"/>
    <w:rsid w:val="00120DDD"/>
    <w:rsid w:val="001216C9"/>
    <w:rsid w:val="00121D77"/>
    <w:rsid w:val="00122601"/>
    <w:rsid w:val="00122ADC"/>
    <w:rsid w:val="00123A0D"/>
    <w:rsid w:val="00123A54"/>
    <w:rsid w:val="00123A57"/>
    <w:rsid w:val="001261C6"/>
    <w:rsid w:val="00126671"/>
    <w:rsid w:val="001266B8"/>
    <w:rsid w:val="00126E4E"/>
    <w:rsid w:val="001272B6"/>
    <w:rsid w:val="001273B4"/>
    <w:rsid w:val="00127AFB"/>
    <w:rsid w:val="00127BE7"/>
    <w:rsid w:val="0013069B"/>
    <w:rsid w:val="00130BCF"/>
    <w:rsid w:val="00132166"/>
    <w:rsid w:val="00132849"/>
    <w:rsid w:val="00133253"/>
    <w:rsid w:val="0013363C"/>
    <w:rsid w:val="00133773"/>
    <w:rsid w:val="00133A63"/>
    <w:rsid w:val="00134E37"/>
    <w:rsid w:val="00134E89"/>
    <w:rsid w:val="00134FC8"/>
    <w:rsid w:val="001350C6"/>
    <w:rsid w:val="001355B6"/>
    <w:rsid w:val="00135AD3"/>
    <w:rsid w:val="001360B2"/>
    <w:rsid w:val="001364F5"/>
    <w:rsid w:val="0013713E"/>
    <w:rsid w:val="00137255"/>
    <w:rsid w:val="00140339"/>
    <w:rsid w:val="00140A1E"/>
    <w:rsid w:val="00141A71"/>
    <w:rsid w:val="00141D7E"/>
    <w:rsid w:val="00141F66"/>
    <w:rsid w:val="0014208D"/>
    <w:rsid w:val="00142261"/>
    <w:rsid w:val="00142761"/>
    <w:rsid w:val="00142AB0"/>
    <w:rsid w:val="00143942"/>
    <w:rsid w:val="00143A1D"/>
    <w:rsid w:val="001457B3"/>
    <w:rsid w:val="00145B19"/>
    <w:rsid w:val="00147081"/>
    <w:rsid w:val="00147278"/>
    <w:rsid w:val="00150453"/>
    <w:rsid w:val="0015085E"/>
    <w:rsid w:val="0015127D"/>
    <w:rsid w:val="0015130E"/>
    <w:rsid w:val="00151365"/>
    <w:rsid w:val="00151B47"/>
    <w:rsid w:val="00152FB6"/>
    <w:rsid w:val="0015338B"/>
    <w:rsid w:val="00153E7D"/>
    <w:rsid w:val="00154EED"/>
    <w:rsid w:val="00155762"/>
    <w:rsid w:val="00155C69"/>
    <w:rsid w:val="001569B2"/>
    <w:rsid w:val="00156A5F"/>
    <w:rsid w:val="00156C92"/>
    <w:rsid w:val="00156F9A"/>
    <w:rsid w:val="00157567"/>
    <w:rsid w:val="001606BC"/>
    <w:rsid w:val="0016076E"/>
    <w:rsid w:val="001622BB"/>
    <w:rsid w:val="00162865"/>
    <w:rsid w:val="0016297A"/>
    <w:rsid w:val="0016361E"/>
    <w:rsid w:val="001638EF"/>
    <w:rsid w:val="0016392A"/>
    <w:rsid w:val="00163BAB"/>
    <w:rsid w:val="00164305"/>
    <w:rsid w:val="0016444C"/>
    <w:rsid w:val="00164487"/>
    <w:rsid w:val="001647BA"/>
    <w:rsid w:val="00164E60"/>
    <w:rsid w:val="001653F2"/>
    <w:rsid w:val="00165BC5"/>
    <w:rsid w:val="00165DF6"/>
    <w:rsid w:val="001663D7"/>
    <w:rsid w:val="00166749"/>
    <w:rsid w:val="0016704F"/>
    <w:rsid w:val="001676A5"/>
    <w:rsid w:val="001704FB"/>
    <w:rsid w:val="00170B9C"/>
    <w:rsid w:val="00171320"/>
    <w:rsid w:val="00171B4B"/>
    <w:rsid w:val="00171E3D"/>
    <w:rsid w:val="0017267D"/>
    <w:rsid w:val="00173B9E"/>
    <w:rsid w:val="001743DA"/>
    <w:rsid w:val="00174749"/>
    <w:rsid w:val="00174A12"/>
    <w:rsid w:val="001753F4"/>
    <w:rsid w:val="00175BEB"/>
    <w:rsid w:val="0017650D"/>
    <w:rsid w:val="00176921"/>
    <w:rsid w:val="00176AB8"/>
    <w:rsid w:val="0017705D"/>
    <w:rsid w:val="001776A9"/>
    <w:rsid w:val="0018067D"/>
    <w:rsid w:val="00180867"/>
    <w:rsid w:val="00180975"/>
    <w:rsid w:val="001823A5"/>
    <w:rsid w:val="00182B99"/>
    <w:rsid w:val="001833D0"/>
    <w:rsid w:val="00183E0E"/>
    <w:rsid w:val="00184597"/>
    <w:rsid w:val="00185FA4"/>
    <w:rsid w:val="001868B4"/>
    <w:rsid w:val="00186983"/>
    <w:rsid w:val="001874FB"/>
    <w:rsid w:val="0018773A"/>
    <w:rsid w:val="001878E0"/>
    <w:rsid w:val="0019008B"/>
    <w:rsid w:val="00190445"/>
    <w:rsid w:val="001906D8"/>
    <w:rsid w:val="00191185"/>
    <w:rsid w:val="001917E8"/>
    <w:rsid w:val="00191E4A"/>
    <w:rsid w:val="00192AB6"/>
    <w:rsid w:val="00192D00"/>
    <w:rsid w:val="00192DCB"/>
    <w:rsid w:val="0019340E"/>
    <w:rsid w:val="0019380B"/>
    <w:rsid w:val="00193A9C"/>
    <w:rsid w:val="00193AE8"/>
    <w:rsid w:val="0019413B"/>
    <w:rsid w:val="00194D11"/>
    <w:rsid w:val="00195169"/>
    <w:rsid w:val="001966DB"/>
    <w:rsid w:val="001971DD"/>
    <w:rsid w:val="001975E6"/>
    <w:rsid w:val="00197943"/>
    <w:rsid w:val="001A0535"/>
    <w:rsid w:val="001A06A8"/>
    <w:rsid w:val="001A0B2F"/>
    <w:rsid w:val="001A1012"/>
    <w:rsid w:val="001A1738"/>
    <w:rsid w:val="001A261B"/>
    <w:rsid w:val="001A2DBC"/>
    <w:rsid w:val="001A2F33"/>
    <w:rsid w:val="001A2F69"/>
    <w:rsid w:val="001A390D"/>
    <w:rsid w:val="001A51EA"/>
    <w:rsid w:val="001A51EF"/>
    <w:rsid w:val="001A54BB"/>
    <w:rsid w:val="001A5B7D"/>
    <w:rsid w:val="001A5D88"/>
    <w:rsid w:val="001A6EF4"/>
    <w:rsid w:val="001A7848"/>
    <w:rsid w:val="001B2262"/>
    <w:rsid w:val="001B284E"/>
    <w:rsid w:val="001B2F5B"/>
    <w:rsid w:val="001B35C8"/>
    <w:rsid w:val="001B35FC"/>
    <w:rsid w:val="001B399A"/>
    <w:rsid w:val="001B3F2A"/>
    <w:rsid w:val="001B61BC"/>
    <w:rsid w:val="001B739B"/>
    <w:rsid w:val="001C0754"/>
    <w:rsid w:val="001C0B50"/>
    <w:rsid w:val="001C1B6A"/>
    <w:rsid w:val="001C1DCC"/>
    <w:rsid w:val="001C227A"/>
    <w:rsid w:val="001C2688"/>
    <w:rsid w:val="001C3F3A"/>
    <w:rsid w:val="001C4563"/>
    <w:rsid w:val="001C4984"/>
    <w:rsid w:val="001C5069"/>
    <w:rsid w:val="001C524A"/>
    <w:rsid w:val="001C5E14"/>
    <w:rsid w:val="001C64C2"/>
    <w:rsid w:val="001C73A6"/>
    <w:rsid w:val="001C7935"/>
    <w:rsid w:val="001C7D71"/>
    <w:rsid w:val="001D06F3"/>
    <w:rsid w:val="001D0D65"/>
    <w:rsid w:val="001D18E4"/>
    <w:rsid w:val="001D2692"/>
    <w:rsid w:val="001D2B14"/>
    <w:rsid w:val="001D2C89"/>
    <w:rsid w:val="001D2E4E"/>
    <w:rsid w:val="001D3125"/>
    <w:rsid w:val="001D31D1"/>
    <w:rsid w:val="001D3767"/>
    <w:rsid w:val="001D4024"/>
    <w:rsid w:val="001D6386"/>
    <w:rsid w:val="001D657F"/>
    <w:rsid w:val="001D6B1D"/>
    <w:rsid w:val="001D7D54"/>
    <w:rsid w:val="001D7D7A"/>
    <w:rsid w:val="001D7EC5"/>
    <w:rsid w:val="001E01C2"/>
    <w:rsid w:val="001E0C82"/>
    <w:rsid w:val="001E10E3"/>
    <w:rsid w:val="001E1453"/>
    <w:rsid w:val="001E19DD"/>
    <w:rsid w:val="001E1E2B"/>
    <w:rsid w:val="001E2432"/>
    <w:rsid w:val="001E27A9"/>
    <w:rsid w:val="001E348E"/>
    <w:rsid w:val="001E38C0"/>
    <w:rsid w:val="001E4968"/>
    <w:rsid w:val="001E4F72"/>
    <w:rsid w:val="001E5611"/>
    <w:rsid w:val="001E5635"/>
    <w:rsid w:val="001E5BFD"/>
    <w:rsid w:val="001E62F6"/>
    <w:rsid w:val="001E6341"/>
    <w:rsid w:val="001E6B33"/>
    <w:rsid w:val="001E6CCF"/>
    <w:rsid w:val="001E77EA"/>
    <w:rsid w:val="001E7AA0"/>
    <w:rsid w:val="001F0A74"/>
    <w:rsid w:val="001F1153"/>
    <w:rsid w:val="001F145D"/>
    <w:rsid w:val="001F21C2"/>
    <w:rsid w:val="001F3071"/>
    <w:rsid w:val="001F324E"/>
    <w:rsid w:val="001F368F"/>
    <w:rsid w:val="001F3D9F"/>
    <w:rsid w:val="001F4084"/>
    <w:rsid w:val="001F568D"/>
    <w:rsid w:val="001F5917"/>
    <w:rsid w:val="001F69D0"/>
    <w:rsid w:val="001F6C4C"/>
    <w:rsid w:val="001F747D"/>
    <w:rsid w:val="00200B05"/>
    <w:rsid w:val="00200E07"/>
    <w:rsid w:val="00201477"/>
    <w:rsid w:val="00202825"/>
    <w:rsid w:val="002033BC"/>
    <w:rsid w:val="002039AB"/>
    <w:rsid w:val="00203F69"/>
    <w:rsid w:val="002050A9"/>
    <w:rsid w:val="0020548D"/>
    <w:rsid w:val="00205AB8"/>
    <w:rsid w:val="00206E5D"/>
    <w:rsid w:val="0020781D"/>
    <w:rsid w:val="00207C3F"/>
    <w:rsid w:val="00207D55"/>
    <w:rsid w:val="00207EF8"/>
    <w:rsid w:val="00207F5B"/>
    <w:rsid w:val="00210CC4"/>
    <w:rsid w:val="0021144C"/>
    <w:rsid w:val="0021157C"/>
    <w:rsid w:val="002118A0"/>
    <w:rsid w:val="002128B6"/>
    <w:rsid w:val="00212AB5"/>
    <w:rsid w:val="00213B85"/>
    <w:rsid w:val="00213E11"/>
    <w:rsid w:val="0021436D"/>
    <w:rsid w:val="002145F1"/>
    <w:rsid w:val="002146DC"/>
    <w:rsid w:val="00214AB8"/>
    <w:rsid w:val="00215B25"/>
    <w:rsid w:val="002168D1"/>
    <w:rsid w:val="0021710E"/>
    <w:rsid w:val="002173B5"/>
    <w:rsid w:val="0021761E"/>
    <w:rsid w:val="00217BA7"/>
    <w:rsid w:val="00217C51"/>
    <w:rsid w:val="002207F7"/>
    <w:rsid w:val="00220B94"/>
    <w:rsid w:val="002210B9"/>
    <w:rsid w:val="00221188"/>
    <w:rsid w:val="0022192E"/>
    <w:rsid w:val="0022252F"/>
    <w:rsid w:val="002233E0"/>
    <w:rsid w:val="0022369B"/>
    <w:rsid w:val="00223B82"/>
    <w:rsid w:val="00223FA7"/>
    <w:rsid w:val="00224451"/>
    <w:rsid w:val="002245C1"/>
    <w:rsid w:val="002247FC"/>
    <w:rsid w:val="0022605C"/>
    <w:rsid w:val="00226432"/>
    <w:rsid w:val="002265B5"/>
    <w:rsid w:val="002269C6"/>
    <w:rsid w:val="00226AD2"/>
    <w:rsid w:val="002271B2"/>
    <w:rsid w:val="0022735C"/>
    <w:rsid w:val="0022794E"/>
    <w:rsid w:val="00227F4C"/>
    <w:rsid w:val="002302AB"/>
    <w:rsid w:val="00230896"/>
    <w:rsid w:val="00231298"/>
    <w:rsid w:val="00231BE0"/>
    <w:rsid w:val="00232740"/>
    <w:rsid w:val="0023360B"/>
    <w:rsid w:val="0023497D"/>
    <w:rsid w:val="002351CF"/>
    <w:rsid w:val="00235268"/>
    <w:rsid w:val="002357E2"/>
    <w:rsid w:val="0023594A"/>
    <w:rsid w:val="002363F2"/>
    <w:rsid w:val="0023728F"/>
    <w:rsid w:val="00237377"/>
    <w:rsid w:val="002376C4"/>
    <w:rsid w:val="00240061"/>
    <w:rsid w:val="00240316"/>
    <w:rsid w:val="00240394"/>
    <w:rsid w:val="002403CC"/>
    <w:rsid w:val="00240524"/>
    <w:rsid w:val="002409C3"/>
    <w:rsid w:val="00240E04"/>
    <w:rsid w:val="0024141A"/>
    <w:rsid w:val="00241702"/>
    <w:rsid w:val="002429FE"/>
    <w:rsid w:val="00243D3F"/>
    <w:rsid w:val="002448EB"/>
    <w:rsid w:val="00244C9E"/>
    <w:rsid w:val="00244D1F"/>
    <w:rsid w:val="00245697"/>
    <w:rsid w:val="00245C78"/>
    <w:rsid w:val="00245F51"/>
    <w:rsid w:val="002460CF"/>
    <w:rsid w:val="002460FE"/>
    <w:rsid w:val="002466DD"/>
    <w:rsid w:val="002470A1"/>
    <w:rsid w:val="00247781"/>
    <w:rsid w:val="00247A87"/>
    <w:rsid w:val="00250102"/>
    <w:rsid w:val="002507DC"/>
    <w:rsid w:val="0025093E"/>
    <w:rsid w:val="00250AB6"/>
    <w:rsid w:val="00250B02"/>
    <w:rsid w:val="00251136"/>
    <w:rsid w:val="00252816"/>
    <w:rsid w:val="00252F2C"/>
    <w:rsid w:val="002536AD"/>
    <w:rsid w:val="00254958"/>
    <w:rsid w:val="00256183"/>
    <w:rsid w:val="0025787E"/>
    <w:rsid w:val="00260D89"/>
    <w:rsid w:val="00260F7E"/>
    <w:rsid w:val="002610C3"/>
    <w:rsid w:val="0026188B"/>
    <w:rsid w:val="00262636"/>
    <w:rsid w:val="00262D0D"/>
    <w:rsid w:val="00263401"/>
    <w:rsid w:val="0026396C"/>
    <w:rsid w:val="0026414F"/>
    <w:rsid w:val="002646BB"/>
    <w:rsid w:val="002646E3"/>
    <w:rsid w:val="00264E66"/>
    <w:rsid w:val="0026501E"/>
    <w:rsid w:val="00265681"/>
    <w:rsid w:val="00266CAB"/>
    <w:rsid w:val="00266FC5"/>
    <w:rsid w:val="0027039E"/>
    <w:rsid w:val="00271C61"/>
    <w:rsid w:val="00272441"/>
    <w:rsid w:val="00272900"/>
    <w:rsid w:val="00272B2E"/>
    <w:rsid w:val="00273A22"/>
    <w:rsid w:val="00274081"/>
    <w:rsid w:val="00274A09"/>
    <w:rsid w:val="00274BF0"/>
    <w:rsid w:val="00275566"/>
    <w:rsid w:val="0027585D"/>
    <w:rsid w:val="002760D1"/>
    <w:rsid w:val="00276122"/>
    <w:rsid w:val="0027776B"/>
    <w:rsid w:val="002777C3"/>
    <w:rsid w:val="00277D04"/>
    <w:rsid w:val="002803C9"/>
    <w:rsid w:val="00280648"/>
    <w:rsid w:val="00280BA5"/>
    <w:rsid w:val="00281519"/>
    <w:rsid w:val="0028161C"/>
    <w:rsid w:val="0028178F"/>
    <w:rsid w:val="002818D1"/>
    <w:rsid w:val="00282054"/>
    <w:rsid w:val="00282E92"/>
    <w:rsid w:val="00283854"/>
    <w:rsid w:val="00283CD4"/>
    <w:rsid w:val="00283F26"/>
    <w:rsid w:val="00284245"/>
    <w:rsid w:val="002842E6"/>
    <w:rsid w:val="00284D47"/>
    <w:rsid w:val="0028565B"/>
    <w:rsid w:val="002859F8"/>
    <w:rsid w:val="00285B17"/>
    <w:rsid w:val="00285CBB"/>
    <w:rsid w:val="00285D1B"/>
    <w:rsid w:val="00286056"/>
    <w:rsid w:val="002865AB"/>
    <w:rsid w:val="00286A18"/>
    <w:rsid w:val="00286E1D"/>
    <w:rsid w:val="00287395"/>
    <w:rsid w:val="00290840"/>
    <w:rsid w:val="00290DBD"/>
    <w:rsid w:val="002914D9"/>
    <w:rsid w:val="00291B35"/>
    <w:rsid w:val="0029285F"/>
    <w:rsid w:val="002928CB"/>
    <w:rsid w:val="00293043"/>
    <w:rsid w:val="00294350"/>
    <w:rsid w:val="002945BF"/>
    <w:rsid w:val="0029477A"/>
    <w:rsid w:val="00294E79"/>
    <w:rsid w:val="00294EF6"/>
    <w:rsid w:val="00295476"/>
    <w:rsid w:val="00295777"/>
    <w:rsid w:val="00296033"/>
    <w:rsid w:val="00296034"/>
    <w:rsid w:val="0029677C"/>
    <w:rsid w:val="00296929"/>
    <w:rsid w:val="0029714B"/>
    <w:rsid w:val="002974EB"/>
    <w:rsid w:val="002A0B02"/>
    <w:rsid w:val="002A0C35"/>
    <w:rsid w:val="002A0E00"/>
    <w:rsid w:val="002A1F65"/>
    <w:rsid w:val="002A2186"/>
    <w:rsid w:val="002A2F49"/>
    <w:rsid w:val="002A3064"/>
    <w:rsid w:val="002A36F3"/>
    <w:rsid w:val="002A40AB"/>
    <w:rsid w:val="002A4D01"/>
    <w:rsid w:val="002A4DC1"/>
    <w:rsid w:val="002A52FA"/>
    <w:rsid w:val="002A5EA2"/>
    <w:rsid w:val="002A6B2B"/>
    <w:rsid w:val="002A7EC4"/>
    <w:rsid w:val="002A7FD7"/>
    <w:rsid w:val="002B0A85"/>
    <w:rsid w:val="002B0ACB"/>
    <w:rsid w:val="002B116D"/>
    <w:rsid w:val="002B157E"/>
    <w:rsid w:val="002B1D25"/>
    <w:rsid w:val="002B4226"/>
    <w:rsid w:val="002B4E07"/>
    <w:rsid w:val="002B4F74"/>
    <w:rsid w:val="002B7796"/>
    <w:rsid w:val="002B78D3"/>
    <w:rsid w:val="002C030C"/>
    <w:rsid w:val="002C069B"/>
    <w:rsid w:val="002C0D21"/>
    <w:rsid w:val="002C164E"/>
    <w:rsid w:val="002C2621"/>
    <w:rsid w:val="002C27FA"/>
    <w:rsid w:val="002C2982"/>
    <w:rsid w:val="002C2E26"/>
    <w:rsid w:val="002C36C6"/>
    <w:rsid w:val="002C3B6D"/>
    <w:rsid w:val="002C3CF8"/>
    <w:rsid w:val="002C4202"/>
    <w:rsid w:val="002C4461"/>
    <w:rsid w:val="002C5256"/>
    <w:rsid w:val="002C5F4C"/>
    <w:rsid w:val="002C616E"/>
    <w:rsid w:val="002C62AE"/>
    <w:rsid w:val="002C675D"/>
    <w:rsid w:val="002C6F61"/>
    <w:rsid w:val="002D0BA0"/>
    <w:rsid w:val="002D1358"/>
    <w:rsid w:val="002D1D3C"/>
    <w:rsid w:val="002D1EF3"/>
    <w:rsid w:val="002D2A42"/>
    <w:rsid w:val="002D2B53"/>
    <w:rsid w:val="002D34EA"/>
    <w:rsid w:val="002D3576"/>
    <w:rsid w:val="002D3B2E"/>
    <w:rsid w:val="002D4C1D"/>
    <w:rsid w:val="002D51F2"/>
    <w:rsid w:val="002D58DA"/>
    <w:rsid w:val="002D7CB5"/>
    <w:rsid w:val="002D7D01"/>
    <w:rsid w:val="002D7DE5"/>
    <w:rsid w:val="002D7F45"/>
    <w:rsid w:val="002E0701"/>
    <w:rsid w:val="002E08E8"/>
    <w:rsid w:val="002E1671"/>
    <w:rsid w:val="002E2202"/>
    <w:rsid w:val="002E24FF"/>
    <w:rsid w:val="002E2617"/>
    <w:rsid w:val="002E3891"/>
    <w:rsid w:val="002E468C"/>
    <w:rsid w:val="002E4B58"/>
    <w:rsid w:val="002E51D5"/>
    <w:rsid w:val="002E5390"/>
    <w:rsid w:val="002E5F4C"/>
    <w:rsid w:val="002E6574"/>
    <w:rsid w:val="002E66B3"/>
    <w:rsid w:val="002E78DB"/>
    <w:rsid w:val="002E7D24"/>
    <w:rsid w:val="002E7D6F"/>
    <w:rsid w:val="002E7EC8"/>
    <w:rsid w:val="002F0669"/>
    <w:rsid w:val="002F0A69"/>
    <w:rsid w:val="002F18CA"/>
    <w:rsid w:val="002F1C71"/>
    <w:rsid w:val="002F1D17"/>
    <w:rsid w:val="002F207A"/>
    <w:rsid w:val="002F21A9"/>
    <w:rsid w:val="002F2F91"/>
    <w:rsid w:val="002F33DA"/>
    <w:rsid w:val="002F37B8"/>
    <w:rsid w:val="002F3CA3"/>
    <w:rsid w:val="002F40AA"/>
    <w:rsid w:val="002F4603"/>
    <w:rsid w:val="002F4DCB"/>
    <w:rsid w:val="002F5D49"/>
    <w:rsid w:val="002F62CD"/>
    <w:rsid w:val="002F6A73"/>
    <w:rsid w:val="002F6DD4"/>
    <w:rsid w:val="002F6EF1"/>
    <w:rsid w:val="002F7367"/>
    <w:rsid w:val="002F7A9C"/>
    <w:rsid w:val="00300761"/>
    <w:rsid w:val="00301826"/>
    <w:rsid w:val="00301CDD"/>
    <w:rsid w:val="00301FE9"/>
    <w:rsid w:val="00302126"/>
    <w:rsid w:val="003027AD"/>
    <w:rsid w:val="003030BB"/>
    <w:rsid w:val="00303408"/>
    <w:rsid w:val="00303686"/>
    <w:rsid w:val="003038E4"/>
    <w:rsid w:val="00303CE5"/>
    <w:rsid w:val="00303FC7"/>
    <w:rsid w:val="00304AEB"/>
    <w:rsid w:val="00304C1B"/>
    <w:rsid w:val="00304E65"/>
    <w:rsid w:val="00304E6D"/>
    <w:rsid w:val="00305245"/>
    <w:rsid w:val="0030524F"/>
    <w:rsid w:val="003052B7"/>
    <w:rsid w:val="00305319"/>
    <w:rsid w:val="003057D1"/>
    <w:rsid w:val="00305E0E"/>
    <w:rsid w:val="00305F39"/>
    <w:rsid w:val="00306389"/>
    <w:rsid w:val="0030670E"/>
    <w:rsid w:val="00306AC2"/>
    <w:rsid w:val="00306D85"/>
    <w:rsid w:val="003071C2"/>
    <w:rsid w:val="003073FB"/>
    <w:rsid w:val="003076E9"/>
    <w:rsid w:val="003101FE"/>
    <w:rsid w:val="00310386"/>
    <w:rsid w:val="00310508"/>
    <w:rsid w:val="003106F2"/>
    <w:rsid w:val="003107D5"/>
    <w:rsid w:val="00312213"/>
    <w:rsid w:val="0031288C"/>
    <w:rsid w:val="003131E1"/>
    <w:rsid w:val="00313668"/>
    <w:rsid w:val="0031393A"/>
    <w:rsid w:val="00314469"/>
    <w:rsid w:val="003158DF"/>
    <w:rsid w:val="0031597E"/>
    <w:rsid w:val="00315CE7"/>
    <w:rsid w:val="00316ACD"/>
    <w:rsid w:val="00316E0B"/>
    <w:rsid w:val="0032050D"/>
    <w:rsid w:val="00320849"/>
    <w:rsid w:val="003211BB"/>
    <w:rsid w:val="00321651"/>
    <w:rsid w:val="003218EF"/>
    <w:rsid w:val="00321A6B"/>
    <w:rsid w:val="00321B53"/>
    <w:rsid w:val="003226F6"/>
    <w:rsid w:val="00322C33"/>
    <w:rsid w:val="00322D9A"/>
    <w:rsid w:val="00322E5B"/>
    <w:rsid w:val="00323577"/>
    <w:rsid w:val="003239EB"/>
    <w:rsid w:val="003242F2"/>
    <w:rsid w:val="003247F0"/>
    <w:rsid w:val="00325A3A"/>
    <w:rsid w:val="0032619F"/>
    <w:rsid w:val="003265A7"/>
    <w:rsid w:val="00330794"/>
    <w:rsid w:val="00330E35"/>
    <w:rsid w:val="00331EB1"/>
    <w:rsid w:val="00331F93"/>
    <w:rsid w:val="0033224F"/>
    <w:rsid w:val="003324C3"/>
    <w:rsid w:val="00332A07"/>
    <w:rsid w:val="003330D8"/>
    <w:rsid w:val="003338B1"/>
    <w:rsid w:val="00334774"/>
    <w:rsid w:val="00334EAE"/>
    <w:rsid w:val="00335695"/>
    <w:rsid w:val="003360C4"/>
    <w:rsid w:val="003366BE"/>
    <w:rsid w:val="00336E58"/>
    <w:rsid w:val="0033760E"/>
    <w:rsid w:val="00337849"/>
    <w:rsid w:val="003379A3"/>
    <w:rsid w:val="00340BFA"/>
    <w:rsid w:val="003410A5"/>
    <w:rsid w:val="003418FC"/>
    <w:rsid w:val="00341B14"/>
    <w:rsid w:val="003426EB"/>
    <w:rsid w:val="0034351A"/>
    <w:rsid w:val="00344180"/>
    <w:rsid w:val="00344226"/>
    <w:rsid w:val="00344331"/>
    <w:rsid w:val="00346435"/>
    <w:rsid w:val="00346516"/>
    <w:rsid w:val="0034686B"/>
    <w:rsid w:val="00346C4D"/>
    <w:rsid w:val="00346C76"/>
    <w:rsid w:val="003505F0"/>
    <w:rsid w:val="0035067D"/>
    <w:rsid w:val="00350F52"/>
    <w:rsid w:val="003516FE"/>
    <w:rsid w:val="00351736"/>
    <w:rsid w:val="0035206A"/>
    <w:rsid w:val="00352136"/>
    <w:rsid w:val="00353000"/>
    <w:rsid w:val="00353174"/>
    <w:rsid w:val="00354B50"/>
    <w:rsid w:val="00354C0F"/>
    <w:rsid w:val="00355FFC"/>
    <w:rsid w:val="00356F36"/>
    <w:rsid w:val="00357091"/>
    <w:rsid w:val="0035739F"/>
    <w:rsid w:val="00357C59"/>
    <w:rsid w:val="0036098F"/>
    <w:rsid w:val="00361EB6"/>
    <w:rsid w:val="0036260B"/>
    <w:rsid w:val="0036286A"/>
    <w:rsid w:val="0036300C"/>
    <w:rsid w:val="00363C52"/>
    <w:rsid w:val="00364289"/>
    <w:rsid w:val="00364F4F"/>
    <w:rsid w:val="00366CFF"/>
    <w:rsid w:val="00366F45"/>
    <w:rsid w:val="00367BC4"/>
    <w:rsid w:val="00367C83"/>
    <w:rsid w:val="00370205"/>
    <w:rsid w:val="00370A88"/>
    <w:rsid w:val="003714C5"/>
    <w:rsid w:val="00371F8D"/>
    <w:rsid w:val="00372648"/>
    <w:rsid w:val="00372C38"/>
    <w:rsid w:val="00372FB9"/>
    <w:rsid w:val="003731E9"/>
    <w:rsid w:val="00373442"/>
    <w:rsid w:val="00373A96"/>
    <w:rsid w:val="00373B6F"/>
    <w:rsid w:val="00374567"/>
    <w:rsid w:val="003749F0"/>
    <w:rsid w:val="00374E0C"/>
    <w:rsid w:val="00375979"/>
    <w:rsid w:val="00375B3B"/>
    <w:rsid w:val="00375C5B"/>
    <w:rsid w:val="0037609C"/>
    <w:rsid w:val="003766D1"/>
    <w:rsid w:val="00376E06"/>
    <w:rsid w:val="00377309"/>
    <w:rsid w:val="00377EE4"/>
    <w:rsid w:val="0038038B"/>
    <w:rsid w:val="00380A20"/>
    <w:rsid w:val="00381B81"/>
    <w:rsid w:val="00381F4A"/>
    <w:rsid w:val="0038280E"/>
    <w:rsid w:val="003831CA"/>
    <w:rsid w:val="00384A78"/>
    <w:rsid w:val="00384BCF"/>
    <w:rsid w:val="00384F85"/>
    <w:rsid w:val="0038503C"/>
    <w:rsid w:val="00385296"/>
    <w:rsid w:val="003852B8"/>
    <w:rsid w:val="00385761"/>
    <w:rsid w:val="00385C91"/>
    <w:rsid w:val="00385E78"/>
    <w:rsid w:val="00385EDF"/>
    <w:rsid w:val="0038686E"/>
    <w:rsid w:val="00386C3E"/>
    <w:rsid w:val="0038731F"/>
    <w:rsid w:val="00387A21"/>
    <w:rsid w:val="00387A36"/>
    <w:rsid w:val="00387F8B"/>
    <w:rsid w:val="0039008B"/>
    <w:rsid w:val="00390BF1"/>
    <w:rsid w:val="003910B4"/>
    <w:rsid w:val="003912EF"/>
    <w:rsid w:val="003913BB"/>
    <w:rsid w:val="003914FB"/>
    <w:rsid w:val="00391554"/>
    <w:rsid w:val="00391DAC"/>
    <w:rsid w:val="003921E2"/>
    <w:rsid w:val="003936F5"/>
    <w:rsid w:val="0039388B"/>
    <w:rsid w:val="00394BB4"/>
    <w:rsid w:val="00394E26"/>
    <w:rsid w:val="00395034"/>
    <w:rsid w:val="00395440"/>
    <w:rsid w:val="003954A0"/>
    <w:rsid w:val="00395A65"/>
    <w:rsid w:val="0039688A"/>
    <w:rsid w:val="003969F2"/>
    <w:rsid w:val="00397701"/>
    <w:rsid w:val="00397BE5"/>
    <w:rsid w:val="00397D76"/>
    <w:rsid w:val="00397F31"/>
    <w:rsid w:val="003A1B68"/>
    <w:rsid w:val="003A3B60"/>
    <w:rsid w:val="003A4496"/>
    <w:rsid w:val="003A53DC"/>
    <w:rsid w:val="003A552B"/>
    <w:rsid w:val="003A5782"/>
    <w:rsid w:val="003A59DE"/>
    <w:rsid w:val="003A6910"/>
    <w:rsid w:val="003A6E87"/>
    <w:rsid w:val="003A7016"/>
    <w:rsid w:val="003A7BFA"/>
    <w:rsid w:val="003B0073"/>
    <w:rsid w:val="003B0BA2"/>
    <w:rsid w:val="003B0EB4"/>
    <w:rsid w:val="003B18E4"/>
    <w:rsid w:val="003B1E84"/>
    <w:rsid w:val="003B2E74"/>
    <w:rsid w:val="003B3421"/>
    <w:rsid w:val="003B3A8A"/>
    <w:rsid w:val="003B3B55"/>
    <w:rsid w:val="003B3CF6"/>
    <w:rsid w:val="003B3E05"/>
    <w:rsid w:val="003B47CE"/>
    <w:rsid w:val="003B4B6A"/>
    <w:rsid w:val="003B4E69"/>
    <w:rsid w:val="003B51BC"/>
    <w:rsid w:val="003B52A0"/>
    <w:rsid w:val="003B535E"/>
    <w:rsid w:val="003B69B4"/>
    <w:rsid w:val="003B726C"/>
    <w:rsid w:val="003C0453"/>
    <w:rsid w:val="003C0863"/>
    <w:rsid w:val="003C0E17"/>
    <w:rsid w:val="003C1A25"/>
    <w:rsid w:val="003C1EB9"/>
    <w:rsid w:val="003C4C8B"/>
    <w:rsid w:val="003C580B"/>
    <w:rsid w:val="003C626E"/>
    <w:rsid w:val="003C7534"/>
    <w:rsid w:val="003C756B"/>
    <w:rsid w:val="003D0826"/>
    <w:rsid w:val="003D0C0C"/>
    <w:rsid w:val="003D1827"/>
    <w:rsid w:val="003D2168"/>
    <w:rsid w:val="003D2C1B"/>
    <w:rsid w:val="003D39C1"/>
    <w:rsid w:val="003D53AA"/>
    <w:rsid w:val="003D5521"/>
    <w:rsid w:val="003D5980"/>
    <w:rsid w:val="003D5C4D"/>
    <w:rsid w:val="003D68F4"/>
    <w:rsid w:val="003D696B"/>
    <w:rsid w:val="003D6E7A"/>
    <w:rsid w:val="003D72A3"/>
    <w:rsid w:val="003D7C8F"/>
    <w:rsid w:val="003E021D"/>
    <w:rsid w:val="003E0FF2"/>
    <w:rsid w:val="003E1D83"/>
    <w:rsid w:val="003E20A8"/>
    <w:rsid w:val="003E23A0"/>
    <w:rsid w:val="003E2CA6"/>
    <w:rsid w:val="003E3247"/>
    <w:rsid w:val="003E40AA"/>
    <w:rsid w:val="003E481E"/>
    <w:rsid w:val="003E4F95"/>
    <w:rsid w:val="003E5AF0"/>
    <w:rsid w:val="003E6507"/>
    <w:rsid w:val="003E66D8"/>
    <w:rsid w:val="003E7CA8"/>
    <w:rsid w:val="003E7EF4"/>
    <w:rsid w:val="003F0012"/>
    <w:rsid w:val="003F0A48"/>
    <w:rsid w:val="003F1633"/>
    <w:rsid w:val="003F1A21"/>
    <w:rsid w:val="003F1A98"/>
    <w:rsid w:val="003F2BA8"/>
    <w:rsid w:val="003F4891"/>
    <w:rsid w:val="003F494B"/>
    <w:rsid w:val="003F4A0F"/>
    <w:rsid w:val="003F4A46"/>
    <w:rsid w:val="003F61B3"/>
    <w:rsid w:val="003F633A"/>
    <w:rsid w:val="003F714C"/>
    <w:rsid w:val="003F7859"/>
    <w:rsid w:val="003F7B2A"/>
    <w:rsid w:val="00401533"/>
    <w:rsid w:val="004022AC"/>
    <w:rsid w:val="004036E2"/>
    <w:rsid w:val="0040373E"/>
    <w:rsid w:val="00403AFC"/>
    <w:rsid w:val="00403BDB"/>
    <w:rsid w:val="00403D76"/>
    <w:rsid w:val="004041D3"/>
    <w:rsid w:val="004049DF"/>
    <w:rsid w:val="004058E4"/>
    <w:rsid w:val="004061B5"/>
    <w:rsid w:val="004064CF"/>
    <w:rsid w:val="00406E77"/>
    <w:rsid w:val="00406EB1"/>
    <w:rsid w:val="00407B03"/>
    <w:rsid w:val="00410084"/>
    <w:rsid w:val="004103D1"/>
    <w:rsid w:val="0041078E"/>
    <w:rsid w:val="00411228"/>
    <w:rsid w:val="00411619"/>
    <w:rsid w:val="00411C63"/>
    <w:rsid w:val="0041291D"/>
    <w:rsid w:val="00412B40"/>
    <w:rsid w:val="00412B9D"/>
    <w:rsid w:val="00413942"/>
    <w:rsid w:val="00413E19"/>
    <w:rsid w:val="00414181"/>
    <w:rsid w:val="00414739"/>
    <w:rsid w:val="00414C5A"/>
    <w:rsid w:val="00414CC9"/>
    <w:rsid w:val="00414E9F"/>
    <w:rsid w:val="00415117"/>
    <w:rsid w:val="004153AE"/>
    <w:rsid w:val="004154D0"/>
    <w:rsid w:val="00415802"/>
    <w:rsid w:val="00415B06"/>
    <w:rsid w:val="00416095"/>
    <w:rsid w:val="004204B5"/>
    <w:rsid w:val="00420707"/>
    <w:rsid w:val="00421823"/>
    <w:rsid w:val="00421842"/>
    <w:rsid w:val="00421F25"/>
    <w:rsid w:val="00421FD6"/>
    <w:rsid w:val="00422161"/>
    <w:rsid w:val="00423A5F"/>
    <w:rsid w:val="00423B7C"/>
    <w:rsid w:val="00424870"/>
    <w:rsid w:val="00424DB1"/>
    <w:rsid w:val="00425E80"/>
    <w:rsid w:val="00425FFB"/>
    <w:rsid w:val="0042610D"/>
    <w:rsid w:val="00427458"/>
    <w:rsid w:val="004274F3"/>
    <w:rsid w:val="004276E6"/>
    <w:rsid w:val="0042791A"/>
    <w:rsid w:val="00427BD2"/>
    <w:rsid w:val="00427F23"/>
    <w:rsid w:val="00430248"/>
    <w:rsid w:val="00430858"/>
    <w:rsid w:val="004313E8"/>
    <w:rsid w:val="004318F5"/>
    <w:rsid w:val="00431C1F"/>
    <w:rsid w:val="00431D61"/>
    <w:rsid w:val="0043293E"/>
    <w:rsid w:val="00432EC4"/>
    <w:rsid w:val="0043393B"/>
    <w:rsid w:val="00433CD6"/>
    <w:rsid w:val="00434539"/>
    <w:rsid w:val="00434FE3"/>
    <w:rsid w:val="00435E3C"/>
    <w:rsid w:val="004361DC"/>
    <w:rsid w:val="00436C11"/>
    <w:rsid w:val="00436C83"/>
    <w:rsid w:val="00440718"/>
    <w:rsid w:val="00440ECE"/>
    <w:rsid w:val="004410E6"/>
    <w:rsid w:val="004415EE"/>
    <w:rsid w:val="00441B69"/>
    <w:rsid w:val="0044381F"/>
    <w:rsid w:val="004438A7"/>
    <w:rsid w:val="0044390F"/>
    <w:rsid w:val="00443B89"/>
    <w:rsid w:val="00444330"/>
    <w:rsid w:val="00444BC8"/>
    <w:rsid w:val="00445E65"/>
    <w:rsid w:val="0044612C"/>
    <w:rsid w:val="0044637A"/>
    <w:rsid w:val="00446720"/>
    <w:rsid w:val="00447000"/>
    <w:rsid w:val="004477FF"/>
    <w:rsid w:val="0044784F"/>
    <w:rsid w:val="004478CE"/>
    <w:rsid w:val="00450118"/>
    <w:rsid w:val="00450754"/>
    <w:rsid w:val="00450D8C"/>
    <w:rsid w:val="00451761"/>
    <w:rsid w:val="00451E8E"/>
    <w:rsid w:val="00452F29"/>
    <w:rsid w:val="00453C17"/>
    <w:rsid w:val="004544E2"/>
    <w:rsid w:val="00454795"/>
    <w:rsid w:val="00455139"/>
    <w:rsid w:val="00455E0D"/>
    <w:rsid w:val="00456643"/>
    <w:rsid w:val="00456C56"/>
    <w:rsid w:val="00457A38"/>
    <w:rsid w:val="00460A2A"/>
    <w:rsid w:val="00460D23"/>
    <w:rsid w:val="00460F4E"/>
    <w:rsid w:val="004613FD"/>
    <w:rsid w:val="0046165A"/>
    <w:rsid w:val="00461815"/>
    <w:rsid w:val="00462E3A"/>
    <w:rsid w:val="00462E5B"/>
    <w:rsid w:val="004630ED"/>
    <w:rsid w:val="00464763"/>
    <w:rsid w:val="00465F9C"/>
    <w:rsid w:val="00466974"/>
    <w:rsid w:val="00466DE9"/>
    <w:rsid w:val="004674BE"/>
    <w:rsid w:val="0046751C"/>
    <w:rsid w:val="004675AA"/>
    <w:rsid w:val="0046797A"/>
    <w:rsid w:val="0046797F"/>
    <w:rsid w:val="00467D4E"/>
    <w:rsid w:val="0047028F"/>
    <w:rsid w:val="00470F8E"/>
    <w:rsid w:val="00471B99"/>
    <w:rsid w:val="00471D5C"/>
    <w:rsid w:val="00471EB6"/>
    <w:rsid w:val="00472BDA"/>
    <w:rsid w:val="00473BE3"/>
    <w:rsid w:val="00473F3A"/>
    <w:rsid w:val="00474275"/>
    <w:rsid w:val="00474787"/>
    <w:rsid w:val="00474DB9"/>
    <w:rsid w:val="0047505E"/>
    <w:rsid w:val="00475D3F"/>
    <w:rsid w:val="00475F8F"/>
    <w:rsid w:val="004766B6"/>
    <w:rsid w:val="00476C52"/>
    <w:rsid w:val="00476DA9"/>
    <w:rsid w:val="004773BF"/>
    <w:rsid w:val="004801CB"/>
    <w:rsid w:val="00480644"/>
    <w:rsid w:val="004808C3"/>
    <w:rsid w:val="00480EE1"/>
    <w:rsid w:val="004810F1"/>
    <w:rsid w:val="0048127F"/>
    <w:rsid w:val="00481E93"/>
    <w:rsid w:val="0048213F"/>
    <w:rsid w:val="004826AD"/>
    <w:rsid w:val="00483BDE"/>
    <w:rsid w:val="00484520"/>
    <w:rsid w:val="0048560A"/>
    <w:rsid w:val="00485821"/>
    <w:rsid w:val="00486B31"/>
    <w:rsid w:val="004871F0"/>
    <w:rsid w:val="0049093A"/>
    <w:rsid w:val="00490B34"/>
    <w:rsid w:val="00490E52"/>
    <w:rsid w:val="00491BF6"/>
    <w:rsid w:val="00492115"/>
    <w:rsid w:val="0049268E"/>
    <w:rsid w:val="00492AB6"/>
    <w:rsid w:val="00492E3E"/>
    <w:rsid w:val="0049321A"/>
    <w:rsid w:val="00493D4E"/>
    <w:rsid w:val="00493F5F"/>
    <w:rsid w:val="004940E5"/>
    <w:rsid w:val="004944AB"/>
    <w:rsid w:val="00494DBB"/>
    <w:rsid w:val="00494ED7"/>
    <w:rsid w:val="00494F31"/>
    <w:rsid w:val="004953A8"/>
    <w:rsid w:val="00495E7A"/>
    <w:rsid w:val="00495F10"/>
    <w:rsid w:val="0049642F"/>
    <w:rsid w:val="00496E21"/>
    <w:rsid w:val="00496E66"/>
    <w:rsid w:val="00497BA0"/>
    <w:rsid w:val="00497F0C"/>
    <w:rsid w:val="004A034F"/>
    <w:rsid w:val="004A08B2"/>
    <w:rsid w:val="004A0B39"/>
    <w:rsid w:val="004A0F16"/>
    <w:rsid w:val="004A12B9"/>
    <w:rsid w:val="004A261A"/>
    <w:rsid w:val="004A2703"/>
    <w:rsid w:val="004A309E"/>
    <w:rsid w:val="004A344D"/>
    <w:rsid w:val="004A34F8"/>
    <w:rsid w:val="004A3556"/>
    <w:rsid w:val="004A3CEE"/>
    <w:rsid w:val="004A45C6"/>
    <w:rsid w:val="004A4EA5"/>
    <w:rsid w:val="004A4F49"/>
    <w:rsid w:val="004A5291"/>
    <w:rsid w:val="004A5934"/>
    <w:rsid w:val="004A5ED1"/>
    <w:rsid w:val="004A5F1E"/>
    <w:rsid w:val="004A7DA0"/>
    <w:rsid w:val="004B01C1"/>
    <w:rsid w:val="004B094A"/>
    <w:rsid w:val="004B0C46"/>
    <w:rsid w:val="004B167E"/>
    <w:rsid w:val="004B1975"/>
    <w:rsid w:val="004B31B2"/>
    <w:rsid w:val="004B422A"/>
    <w:rsid w:val="004B453A"/>
    <w:rsid w:val="004B5696"/>
    <w:rsid w:val="004B5984"/>
    <w:rsid w:val="004B6653"/>
    <w:rsid w:val="004B6CC8"/>
    <w:rsid w:val="004C033D"/>
    <w:rsid w:val="004C05D7"/>
    <w:rsid w:val="004C0DE4"/>
    <w:rsid w:val="004C16E9"/>
    <w:rsid w:val="004C1C29"/>
    <w:rsid w:val="004C1EEA"/>
    <w:rsid w:val="004C257F"/>
    <w:rsid w:val="004C25CA"/>
    <w:rsid w:val="004C2A3E"/>
    <w:rsid w:val="004C3EBD"/>
    <w:rsid w:val="004C438E"/>
    <w:rsid w:val="004C4AC2"/>
    <w:rsid w:val="004C4B6E"/>
    <w:rsid w:val="004C4BD3"/>
    <w:rsid w:val="004C52C9"/>
    <w:rsid w:val="004C6516"/>
    <w:rsid w:val="004C68A5"/>
    <w:rsid w:val="004C6988"/>
    <w:rsid w:val="004C6CC7"/>
    <w:rsid w:val="004C7976"/>
    <w:rsid w:val="004C7C5A"/>
    <w:rsid w:val="004C7E4F"/>
    <w:rsid w:val="004D0251"/>
    <w:rsid w:val="004D033D"/>
    <w:rsid w:val="004D04DC"/>
    <w:rsid w:val="004D0F77"/>
    <w:rsid w:val="004D10F7"/>
    <w:rsid w:val="004D1E90"/>
    <w:rsid w:val="004D1F0A"/>
    <w:rsid w:val="004D24EF"/>
    <w:rsid w:val="004D2BE7"/>
    <w:rsid w:val="004D3497"/>
    <w:rsid w:val="004D3713"/>
    <w:rsid w:val="004D4A4B"/>
    <w:rsid w:val="004D50AE"/>
    <w:rsid w:val="004D567A"/>
    <w:rsid w:val="004D7094"/>
    <w:rsid w:val="004D7989"/>
    <w:rsid w:val="004E0AB2"/>
    <w:rsid w:val="004E15A7"/>
    <w:rsid w:val="004E1638"/>
    <w:rsid w:val="004E1A88"/>
    <w:rsid w:val="004E26E7"/>
    <w:rsid w:val="004E27D9"/>
    <w:rsid w:val="004E292E"/>
    <w:rsid w:val="004E3022"/>
    <w:rsid w:val="004E3AB7"/>
    <w:rsid w:val="004E4E58"/>
    <w:rsid w:val="004E7150"/>
    <w:rsid w:val="004E7191"/>
    <w:rsid w:val="004E7853"/>
    <w:rsid w:val="004F047A"/>
    <w:rsid w:val="004F05D1"/>
    <w:rsid w:val="004F1571"/>
    <w:rsid w:val="004F1E83"/>
    <w:rsid w:val="004F33D5"/>
    <w:rsid w:val="004F41F5"/>
    <w:rsid w:val="004F47FA"/>
    <w:rsid w:val="004F49DE"/>
    <w:rsid w:val="004F5003"/>
    <w:rsid w:val="004F649E"/>
    <w:rsid w:val="004F6A53"/>
    <w:rsid w:val="00500FA2"/>
    <w:rsid w:val="005012E9"/>
    <w:rsid w:val="00501A2C"/>
    <w:rsid w:val="00501D07"/>
    <w:rsid w:val="00501D78"/>
    <w:rsid w:val="00502874"/>
    <w:rsid w:val="00502B40"/>
    <w:rsid w:val="00504105"/>
    <w:rsid w:val="0050462C"/>
    <w:rsid w:val="0050473A"/>
    <w:rsid w:val="00504D05"/>
    <w:rsid w:val="00504FA4"/>
    <w:rsid w:val="0050510B"/>
    <w:rsid w:val="0050512E"/>
    <w:rsid w:val="005051A2"/>
    <w:rsid w:val="00505489"/>
    <w:rsid w:val="005056B2"/>
    <w:rsid w:val="00505817"/>
    <w:rsid w:val="00506659"/>
    <w:rsid w:val="00506987"/>
    <w:rsid w:val="0050780C"/>
    <w:rsid w:val="0050789B"/>
    <w:rsid w:val="00507D4D"/>
    <w:rsid w:val="00510037"/>
    <w:rsid w:val="005100D2"/>
    <w:rsid w:val="00510F36"/>
    <w:rsid w:val="00511220"/>
    <w:rsid w:val="0051216D"/>
    <w:rsid w:val="00512173"/>
    <w:rsid w:val="005124E9"/>
    <w:rsid w:val="00513190"/>
    <w:rsid w:val="0051431E"/>
    <w:rsid w:val="00514908"/>
    <w:rsid w:val="005160CA"/>
    <w:rsid w:val="00516418"/>
    <w:rsid w:val="0051685D"/>
    <w:rsid w:val="00517664"/>
    <w:rsid w:val="00520315"/>
    <w:rsid w:val="00521367"/>
    <w:rsid w:val="00522F4D"/>
    <w:rsid w:val="0052375C"/>
    <w:rsid w:val="0052477E"/>
    <w:rsid w:val="00524CBB"/>
    <w:rsid w:val="005252C6"/>
    <w:rsid w:val="00525E09"/>
    <w:rsid w:val="005260BE"/>
    <w:rsid w:val="00526C40"/>
    <w:rsid w:val="00527E4F"/>
    <w:rsid w:val="00530516"/>
    <w:rsid w:val="00530B72"/>
    <w:rsid w:val="00530D69"/>
    <w:rsid w:val="005311CF"/>
    <w:rsid w:val="005317E7"/>
    <w:rsid w:val="005331EA"/>
    <w:rsid w:val="00533911"/>
    <w:rsid w:val="005344A9"/>
    <w:rsid w:val="0053481D"/>
    <w:rsid w:val="00534DC0"/>
    <w:rsid w:val="005358BA"/>
    <w:rsid w:val="0053590D"/>
    <w:rsid w:val="005366D7"/>
    <w:rsid w:val="0053688B"/>
    <w:rsid w:val="00536DE8"/>
    <w:rsid w:val="00537B5D"/>
    <w:rsid w:val="00537D2E"/>
    <w:rsid w:val="005401F7"/>
    <w:rsid w:val="005405AD"/>
    <w:rsid w:val="0054155C"/>
    <w:rsid w:val="00541802"/>
    <w:rsid w:val="00541A4F"/>
    <w:rsid w:val="005427CF"/>
    <w:rsid w:val="00543566"/>
    <w:rsid w:val="00544D36"/>
    <w:rsid w:val="005465F2"/>
    <w:rsid w:val="00546DE4"/>
    <w:rsid w:val="00547613"/>
    <w:rsid w:val="00550FA1"/>
    <w:rsid w:val="005510A3"/>
    <w:rsid w:val="005512FA"/>
    <w:rsid w:val="00551801"/>
    <w:rsid w:val="00551BEE"/>
    <w:rsid w:val="00552B4D"/>
    <w:rsid w:val="005533F0"/>
    <w:rsid w:val="00553768"/>
    <w:rsid w:val="005538C5"/>
    <w:rsid w:val="005539D7"/>
    <w:rsid w:val="00554E75"/>
    <w:rsid w:val="00555268"/>
    <w:rsid w:val="0055533B"/>
    <w:rsid w:val="00555906"/>
    <w:rsid w:val="00555AC6"/>
    <w:rsid w:val="00555B6F"/>
    <w:rsid w:val="00555DF3"/>
    <w:rsid w:val="0055646A"/>
    <w:rsid w:val="005565D7"/>
    <w:rsid w:val="00557C44"/>
    <w:rsid w:val="00560E70"/>
    <w:rsid w:val="00561278"/>
    <w:rsid w:val="00561D52"/>
    <w:rsid w:val="00561E07"/>
    <w:rsid w:val="005626AB"/>
    <w:rsid w:val="0056312E"/>
    <w:rsid w:val="00563F1E"/>
    <w:rsid w:val="00564011"/>
    <w:rsid w:val="00564B2A"/>
    <w:rsid w:val="00564C89"/>
    <w:rsid w:val="00565046"/>
    <w:rsid w:val="00565411"/>
    <w:rsid w:val="005656C6"/>
    <w:rsid w:val="00565DFB"/>
    <w:rsid w:val="00566156"/>
    <w:rsid w:val="005662FF"/>
    <w:rsid w:val="0056690C"/>
    <w:rsid w:val="00567B16"/>
    <w:rsid w:val="0057122F"/>
    <w:rsid w:val="005715FF"/>
    <w:rsid w:val="00571BB6"/>
    <w:rsid w:val="00571D6E"/>
    <w:rsid w:val="0057396D"/>
    <w:rsid w:val="0057447C"/>
    <w:rsid w:val="005754B9"/>
    <w:rsid w:val="00575572"/>
    <w:rsid w:val="00575853"/>
    <w:rsid w:val="00575C93"/>
    <w:rsid w:val="005760FD"/>
    <w:rsid w:val="00576197"/>
    <w:rsid w:val="00576430"/>
    <w:rsid w:val="00576C16"/>
    <w:rsid w:val="0057760B"/>
    <w:rsid w:val="00577F04"/>
    <w:rsid w:val="00580368"/>
    <w:rsid w:val="00581278"/>
    <w:rsid w:val="005816A1"/>
    <w:rsid w:val="00581DE0"/>
    <w:rsid w:val="00583461"/>
    <w:rsid w:val="00583612"/>
    <w:rsid w:val="005838E2"/>
    <w:rsid w:val="0058395F"/>
    <w:rsid w:val="00583EB7"/>
    <w:rsid w:val="00584925"/>
    <w:rsid w:val="00585757"/>
    <w:rsid w:val="0058632C"/>
    <w:rsid w:val="00587041"/>
    <w:rsid w:val="005871FC"/>
    <w:rsid w:val="005874B9"/>
    <w:rsid w:val="005902BE"/>
    <w:rsid w:val="00590550"/>
    <w:rsid w:val="00590AAD"/>
    <w:rsid w:val="00590C19"/>
    <w:rsid w:val="00590CEE"/>
    <w:rsid w:val="00590F2B"/>
    <w:rsid w:val="00594AD7"/>
    <w:rsid w:val="00595154"/>
    <w:rsid w:val="00595A13"/>
    <w:rsid w:val="005A031C"/>
    <w:rsid w:val="005A0644"/>
    <w:rsid w:val="005A121E"/>
    <w:rsid w:val="005A1BBA"/>
    <w:rsid w:val="005A1BDE"/>
    <w:rsid w:val="005A225B"/>
    <w:rsid w:val="005A2403"/>
    <w:rsid w:val="005A30C7"/>
    <w:rsid w:val="005A3AD5"/>
    <w:rsid w:val="005A422A"/>
    <w:rsid w:val="005A4EF7"/>
    <w:rsid w:val="005A4EFB"/>
    <w:rsid w:val="005A5868"/>
    <w:rsid w:val="005A5D2E"/>
    <w:rsid w:val="005A6F26"/>
    <w:rsid w:val="005A73DB"/>
    <w:rsid w:val="005A7F4F"/>
    <w:rsid w:val="005B0000"/>
    <w:rsid w:val="005B0312"/>
    <w:rsid w:val="005B0936"/>
    <w:rsid w:val="005B0B28"/>
    <w:rsid w:val="005B145D"/>
    <w:rsid w:val="005B15CA"/>
    <w:rsid w:val="005B220A"/>
    <w:rsid w:val="005B23C7"/>
    <w:rsid w:val="005B2439"/>
    <w:rsid w:val="005B2C93"/>
    <w:rsid w:val="005B4A00"/>
    <w:rsid w:val="005B5010"/>
    <w:rsid w:val="005B5ACB"/>
    <w:rsid w:val="005B661D"/>
    <w:rsid w:val="005B6C51"/>
    <w:rsid w:val="005B78D6"/>
    <w:rsid w:val="005B796F"/>
    <w:rsid w:val="005B7A89"/>
    <w:rsid w:val="005B7DFD"/>
    <w:rsid w:val="005B7E59"/>
    <w:rsid w:val="005C0305"/>
    <w:rsid w:val="005C0AC1"/>
    <w:rsid w:val="005C0CF1"/>
    <w:rsid w:val="005C26EE"/>
    <w:rsid w:val="005C357B"/>
    <w:rsid w:val="005C396A"/>
    <w:rsid w:val="005C39E7"/>
    <w:rsid w:val="005C3B26"/>
    <w:rsid w:val="005C3D7C"/>
    <w:rsid w:val="005C42AB"/>
    <w:rsid w:val="005C439F"/>
    <w:rsid w:val="005C4BD0"/>
    <w:rsid w:val="005C5844"/>
    <w:rsid w:val="005C5A64"/>
    <w:rsid w:val="005C61C0"/>
    <w:rsid w:val="005C71F8"/>
    <w:rsid w:val="005C721A"/>
    <w:rsid w:val="005C7B69"/>
    <w:rsid w:val="005D066A"/>
    <w:rsid w:val="005D109A"/>
    <w:rsid w:val="005D12BD"/>
    <w:rsid w:val="005D136A"/>
    <w:rsid w:val="005D1A94"/>
    <w:rsid w:val="005D29E0"/>
    <w:rsid w:val="005D2AAA"/>
    <w:rsid w:val="005D2E4F"/>
    <w:rsid w:val="005D32A4"/>
    <w:rsid w:val="005D3835"/>
    <w:rsid w:val="005D3EE6"/>
    <w:rsid w:val="005D3FAF"/>
    <w:rsid w:val="005D58CC"/>
    <w:rsid w:val="005D5AF5"/>
    <w:rsid w:val="005D684B"/>
    <w:rsid w:val="005D68C0"/>
    <w:rsid w:val="005D6EA3"/>
    <w:rsid w:val="005D761B"/>
    <w:rsid w:val="005D7717"/>
    <w:rsid w:val="005E04E9"/>
    <w:rsid w:val="005E197E"/>
    <w:rsid w:val="005E252F"/>
    <w:rsid w:val="005E2982"/>
    <w:rsid w:val="005E2997"/>
    <w:rsid w:val="005E2F52"/>
    <w:rsid w:val="005E39FA"/>
    <w:rsid w:val="005E3C61"/>
    <w:rsid w:val="005E4E7A"/>
    <w:rsid w:val="005E4ED9"/>
    <w:rsid w:val="005E5DDD"/>
    <w:rsid w:val="005E6253"/>
    <w:rsid w:val="005E64BC"/>
    <w:rsid w:val="005E6C06"/>
    <w:rsid w:val="005F0491"/>
    <w:rsid w:val="005F0C6D"/>
    <w:rsid w:val="005F159D"/>
    <w:rsid w:val="005F2370"/>
    <w:rsid w:val="005F261F"/>
    <w:rsid w:val="005F3986"/>
    <w:rsid w:val="005F3C0F"/>
    <w:rsid w:val="005F3C9D"/>
    <w:rsid w:val="005F3D24"/>
    <w:rsid w:val="005F456B"/>
    <w:rsid w:val="005F46CE"/>
    <w:rsid w:val="005F4C8D"/>
    <w:rsid w:val="005F53FF"/>
    <w:rsid w:val="005F7A5E"/>
    <w:rsid w:val="00600422"/>
    <w:rsid w:val="00600808"/>
    <w:rsid w:val="0060150D"/>
    <w:rsid w:val="00601976"/>
    <w:rsid w:val="006029E2"/>
    <w:rsid w:val="00603F16"/>
    <w:rsid w:val="006046C4"/>
    <w:rsid w:val="0060485B"/>
    <w:rsid w:val="0060607E"/>
    <w:rsid w:val="006064D1"/>
    <w:rsid w:val="00606998"/>
    <w:rsid w:val="00610A02"/>
    <w:rsid w:val="00610CCB"/>
    <w:rsid w:val="00610E4D"/>
    <w:rsid w:val="006118C7"/>
    <w:rsid w:val="00611EB9"/>
    <w:rsid w:val="00612F0E"/>
    <w:rsid w:val="00613F7A"/>
    <w:rsid w:val="00613F90"/>
    <w:rsid w:val="006143DA"/>
    <w:rsid w:val="00614EE8"/>
    <w:rsid w:val="00615242"/>
    <w:rsid w:val="00615AE8"/>
    <w:rsid w:val="00615C28"/>
    <w:rsid w:val="0061613D"/>
    <w:rsid w:val="00617188"/>
    <w:rsid w:val="006171C6"/>
    <w:rsid w:val="00617829"/>
    <w:rsid w:val="00617AAF"/>
    <w:rsid w:val="006211B8"/>
    <w:rsid w:val="0062131C"/>
    <w:rsid w:val="00621F86"/>
    <w:rsid w:val="00622DD7"/>
    <w:rsid w:val="0062339A"/>
    <w:rsid w:val="00623BCA"/>
    <w:rsid w:val="006245F0"/>
    <w:rsid w:val="00624D33"/>
    <w:rsid w:val="00625125"/>
    <w:rsid w:val="00625152"/>
    <w:rsid w:val="00625B70"/>
    <w:rsid w:val="006270BF"/>
    <w:rsid w:val="00627C28"/>
    <w:rsid w:val="00630070"/>
    <w:rsid w:val="00630FEB"/>
    <w:rsid w:val="006314A3"/>
    <w:rsid w:val="006317BE"/>
    <w:rsid w:val="00632086"/>
    <w:rsid w:val="006322E2"/>
    <w:rsid w:val="00633398"/>
    <w:rsid w:val="0063358C"/>
    <w:rsid w:val="0063588D"/>
    <w:rsid w:val="00635B4F"/>
    <w:rsid w:val="0064068D"/>
    <w:rsid w:val="006413E2"/>
    <w:rsid w:val="00641407"/>
    <w:rsid w:val="00641C63"/>
    <w:rsid w:val="006422F6"/>
    <w:rsid w:val="00642DA6"/>
    <w:rsid w:val="00642E69"/>
    <w:rsid w:val="00642F8B"/>
    <w:rsid w:val="006435CF"/>
    <w:rsid w:val="0064511E"/>
    <w:rsid w:val="00645491"/>
    <w:rsid w:val="00645813"/>
    <w:rsid w:val="006464E1"/>
    <w:rsid w:val="00646BFC"/>
    <w:rsid w:val="00646C8F"/>
    <w:rsid w:val="00647448"/>
    <w:rsid w:val="0064799B"/>
    <w:rsid w:val="00650A34"/>
    <w:rsid w:val="00650EF7"/>
    <w:rsid w:val="00650F6F"/>
    <w:rsid w:val="006513B4"/>
    <w:rsid w:val="00651C79"/>
    <w:rsid w:val="00652335"/>
    <w:rsid w:val="006532F1"/>
    <w:rsid w:val="00653E4D"/>
    <w:rsid w:val="0065426B"/>
    <w:rsid w:val="0065516B"/>
    <w:rsid w:val="006560C6"/>
    <w:rsid w:val="006560DC"/>
    <w:rsid w:val="00656B7B"/>
    <w:rsid w:val="00656E78"/>
    <w:rsid w:val="0065782C"/>
    <w:rsid w:val="00657A57"/>
    <w:rsid w:val="00660143"/>
    <w:rsid w:val="006605F9"/>
    <w:rsid w:val="00660FAA"/>
    <w:rsid w:val="00661FF5"/>
    <w:rsid w:val="006624C2"/>
    <w:rsid w:val="006629A3"/>
    <w:rsid w:val="00662C15"/>
    <w:rsid w:val="00662C4F"/>
    <w:rsid w:val="00663204"/>
    <w:rsid w:val="00663602"/>
    <w:rsid w:val="00664341"/>
    <w:rsid w:val="006647E3"/>
    <w:rsid w:val="00665E30"/>
    <w:rsid w:val="00666348"/>
    <w:rsid w:val="0066648D"/>
    <w:rsid w:val="00667794"/>
    <w:rsid w:val="00667EB3"/>
    <w:rsid w:val="0067046C"/>
    <w:rsid w:val="0067098A"/>
    <w:rsid w:val="00671138"/>
    <w:rsid w:val="00671422"/>
    <w:rsid w:val="0067143A"/>
    <w:rsid w:val="0067281E"/>
    <w:rsid w:val="00672FF8"/>
    <w:rsid w:val="00673499"/>
    <w:rsid w:val="0067353C"/>
    <w:rsid w:val="00673588"/>
    <w:rsid w:val="00674810"/>
    <w:rsid w:val="00674B5A"/>
    <w:rsid w:val="00675968"/>
    <w:rsid w:val="00675CD1"/>
    <w:rsid w:val="006761B7"/>
    <w:rsid w:val="0067664D"/>
    <w:rsid w:val="00677568"/>
    <w:rsid w:val="006776CC"/>
    <w:rsid w:val="00677B4C"/>
    <w:rsid w:val="00677BDF"/>
    <w:rsid w:val="0068054B"/>
    <w:rsid w:val="00680D34"/>
    <w:rsid w:val="00681CE6"/>
    <w:rsid w:val="00681E79"/>
    <w:rsid w:val="006825D4"/>
    <w:rsid w:val="0068267E"/>
    <w:rsid w:val="006827E0"/>
    <w:rsid w:val="00682CCD"/>
    <w:rsid w:val="00682E82"/>
    <w:rsid w:val="00682E91"/>
    <w:rsid w:val="00682F62"/>
    <w:rsid w:val="00683658"/>
    <w:rsid w:val="006837C2"/>
    <w:rsid w:val="00684349"/>
    <w:rsid w:val="00685136"/>
    <w:rsid w:val="006854B4"/>
    <w:rsid w:val="00685E78"/>
    <w:rsid w:val="00686250"/>
    <w:rsid w:val="0068674F"/>
    <w:rsid w:val="00690073"/>
    <w:rsid w:val="00690336"/>
    <w:rsid w:val="00690507"/>
    <w:rsid w:val="006906EB"/>
    <w:rsid w:val="006916F2"/>
    <w:rsid w:val="00691B0C"/>
    <w:rsid w:val="0069203C"/>
    <w:rsid w:val="00692367"/>
    <w:rsid w:val="00692459"/>
    <w:rsid w:val="00693119"/>
    <w:rsid w:val="0069400A"/>
    <w:rsid w:val="006940DD"/>
    <w:rsid w:val="00694922"/>
    <w:rsid w:val="00694BA1"/>
    <w:rsid w:val="0069541B"/>
    <w:rsid w:val="00695B9D"/>
    <w:rsid w:val="00696585"/>
    <w:rsid w:val="00696A1F"/>
    <w:rsid w:val="00696DCF"/>
    <w:rsid w:val="006A0F23"/>
    <w:rsid w:val="006A21BB"/>
    <w:rsid w:val="006A2227"/>
    <w:rsid w:val="006A2600"/>
    <w:rsid w:val="006A3424"/>
    <w:rsid w:val="006A36B3"/>
    <w:rsid w:val="006A383A"/>
    <w:rsid w:val="006A43AE"/>
    <w:rsid w:val="006A4A81"/>
    <w:rsid w:val="006A4BCD"/>
    <w:rsid w:val="006A4BDD"/>
    <w:rsid w:val="006A5A8A"/>
    <w:rsid w:val="006A5F7C"/>
    <w:rsid w:val="006B1129"/>
    <w:rsid w:val="006B172C"/>
    <w:rsid w:val="006B1904"/>
    <w:rsid w:val="006B19FE"/>
    <w:rsid w:val="006B1CC1"/>
    <w:rsid w:val="006B232C"/>
    <w:rsid w:val="006B2363"/>
    <w:rsid w:val="006B276C"/>
    <w:rsid w:val="006B2A1D"/>
    <w:rsid w:val="006B2DED"/>
    <w:rsid w:val="006B3FAD"/>
    <w:rsid w:val="006B4D0E"/>
    <w:rsid w:val="006B61CF"/>
    <w:rsid w:val="006B6453"/>
    <w:rsid w:val="006B6F6F"/>
    <w:rsid w:val="006B7E24"/>
    <w:rsid w:val="006C0AA7"/>
    <w:rsid w:val="006C256C"/>
    <w:rsid w:val="006C2E30"/>
    <w:rsid w:val="006C39AF"/>
    <w:rsid w:val="006C3C20"/>
    <w:rsid w:val="006C4563"/>
    <w:rsid w:val="006C492F"/>
    <w:rsid w:val="006C4AED"/>
    <w:rsid w:val="006C559C"/>
    <w:rsid w:val="006C563E"/>
    <w:rsid w:val="006C6FB4"/>
    <w:rsid w:val="006C76D1"/>
    <w:rsid w:val="006D0B98"/>
    <w:rsid w:val="006D210F"/>
    <w:rsid w:val="006D4291"/>
    <w:rsid w:val="006D4C2C"/>
    <w:rsid w:val="006D4CB9"/>
    <w:rsid w:val="006D53B5"/>
    <w:rsid w:val="006D5C85"/>
    <w:rsid w:val="006D62A2"/>
    <w:rsid w:val="006D6607"/>
    <w:rsid w:val="006D6906"/>
    <w:rsid w:val="006D6E14"/>
    <w:rsid w:val="006D6F2D"/>
    <w:rsid w:val="006D74AE"/>
    <w:rsid w:val="006D7BA3"/>
    <w:rsid w:val="006E01CD"/>
    <w:rsid w:val="006E03E9"/>
    <w:rsid w:val="006E23B3"/>
    <w:rsid w:val="006E2478"/>
    <w:rsid w:val="006E25CA"/>
    <w:rsid w:val="006E4E26"/>
    <w:rsid w:val="006E4FB1"/>
    <w:rsid w:val="006E5481"/>
    <w:rsid w:val="006E6996"/>
    <w:rsid w:val="006E6B8E"/>
    <w:rsid w:val="006E7D59"/>
    <w:rsid w:val="006F03EF"/>
    <w:rsid w:val="006F085A"/>
    <w:rsid w:val="006F0B20"/>
    <w:rsid w:val="006F0BD7"/>
    <w:rsid w:val="006F0E09"/>
    <w:rsid w:val="006F1718"/>
    <w:rsid w:val="006F1BEC"/>
    <w:rsid w:val="006F1DA1"/>
    <w:rsid w:val="006F2B01"/>
    <w:rsid w:val="006F2D42"/>
    <w:rsid w:val="006F356B"/>
    <w:rsid w:val="006F3C17"/>
    <w:rsid w:val="006F404C"/>
    <w:rsid w:val="006F4D75"/>
    <w:rsid w:val="006F52C6"/>
    <w:rsid w:val="006F5A36"/>
    <w:rsid w:val="006F6562"/>
    <w:rsid w:val="006F68AD"/>
    <w:rsid w:val="006F7DB9"/>
    <w:rsid w:val="00701201"/>
    <w:rsid w:val="007017D4"/>
    <w:rsid w:val="00701B70"/>
    <w:rsid w:val="00701C79"/>
    <w:rsid w:val="00702248"/>
    <w:rsid w:val="00702328"/>
    <w:rsid w:val="00702AA3"/>
    <w:rsid w:val="007037A6"/>
    <w:rsid w:val="00703C67"/>
    <w:rsid w:val="00704B6F"/>
    <w:rsid w:val="00705A1E"/>
    <w:rsid w:val="007069BF"/>
    <w:rsid w:val="00707340"/>
    <w:rsid w:val="007076B1"/>
    <w:rsid w:val="00707764"/>
    <w:rsid w:val="00707844"/>
    <w:rsid w:val="0071035E"/>
    <w:rsid w:val="007113D1"/>
    <w:rsid w:val="00711D82"/>
    <w:rsid w:val="00712AC8"/>
    <w:rsid w:val="0071388D"/>
    <w:rsid w:val="007142A3"/>
    <w:rsid w:val="0071448D"/>
    <w:rsid w:val="0071490F"/>
    <w:rsid w:val="0071561E"/>
    <w:rsid w:val="00715994"/>
    <w:rsid w:val="00715A10"/>
    <w:rsid w:val="00715DD0"/>
    <w:rsid w:val="00715EFD"/>
    <w:rsid w:val="00716499"/>
    <w:rsid w:val="007171B5"/>
    <w:rsid w:val="00717602"/>
    <w:rsid w:val="00717C15"/>
    <w:rsid w:val="007200A8"/>
    <w:rsid w:val="00720EC2"/>
    <w:rsid w:val="00721C8B"/>
    <w:rsid w:val="00722B6C"/>
    <w:rsid w:val="00722BB4"/>
    <w:rsid w:val="00723A7E"/>
    <w:rsid w:val="00723DF3"/>
    <w:rsid w:val="00724143"/>
    <w:rsid w:val="00724CD0"/>
    <w:rsid w:val="007257AC"/>
    <w:rsid w:val="00725DF1"/>
    <w:rsid w:val="00726085"/>
    <w:rsid w:val="00726E42"/>
    <w:rsid w:val="00726ECF"/>
    <w:rsid w:val="007272BF"/>
    <w:rsid w:val="00727854"/>
    <w:rsid w:val="00727E7F"/>
    <w:rsid w:val="007312EF"/>
    <w:rsid w:val="00731E12"/>
    <w:rsid w:val="007327B6"/>
    <w:rsid w:val="00734A18"/>
    <w:rsid w:val="00736271"/>
    <w:rsid w:val="007369D3"/>
    <w:rsid w:val="0073724F"/>
    <w:rsid w:val="00737944"/>
    <w:rsid w:val="00740AF2"/>
    <w:rsid w:val="007414C5"/>
    <w:rsid w:val="007419E2"/>
    <w:rsid w:val="00741EF5"/>
    <w:rsid w:val="0074205F"/>
    <w:rsid w:val="007427C7"/>
    <w:rsid w:val="00742A92"/>
    <w:rsid w:val="007434E8"/>
    <w:rsid w:val="00743F72"/>
    <w:rsid w:val="00743FF7"/>
    <w:rsid w:val="007443B9"/>
    <w:rsid w:val="007446B9"/>
    <w:rsid w:val="00744FBA"/>
    <w:rsid w:val="007451D2"/>
    <w:rsid w:val="00745EE4"/>
    <w:rsid w:val="0074650E"/>
    <w:rsid w:val="00746DEC"/>
    <w:rsid w:val="007471A8"/>
    <w:rsid w:val="00751406"/>
    <w:rsid w:val="00752B8A"/>
    <w:rsid w:val="007535FB"/>
    <w:rsid w:val="00753897"/>
    <w:rsid w:val="00753BAA"/>
    <w:rsid w:val="00753BC5"/>
    <w:rsid w:val="00753DFF"/>
    <w:rsid w:val="007540EA"/>
    <w:rsid w:val="007543D4"/>
    <w:rsid w:val="007544AA"/>
    <w:rsid w:val="00754FAD"/>
    <w:rsid w:val="00755F6C"/>
    <w:rsid w:val="007564B4"/>
    <w:rsid w:val="007569E3"/>
    <w:rsid w:val="00757FC9"/>
    <w:rsid w:val="007604CA"/>
    <w:rsid w:val="007604CF"/>
    <w:rsid w:val="00760752"/>
    <w:rsid w:val="00761439"/>
    <w:rsid w:val="00761BC6"/>
    <w:rsid w:val="00762134"/>
    <w:rsid w:val="007626A7"/>
    <w:rsid w:val="0076335A"/>
    <w:rsid w:val="00763381"/>
    <w:rsid w:val="00763F11"/>
    <w:rsid w:val="00764D23"/>
    <w:rsid w:val="0076509D"/>
    <w:rsid w:val="0076591C"/>
    <w:rsid w:val="0076670F"/>
    <w:rsid w:val="00766E6A"/>
    <w:rsid w:val="00767274"/>
    <w:rsid w:val="0077009F"/>
    <w:rsid w:val="007705CA"/>
    <w:rsid w:val="00770646"/>
    <w:rsid w:val="00770C48"/>
    <w:rsid w:val="00771E32"/>
    <w:rsid w:val="00773CFD"/>
    <w:rsid w:val="00774016"/>
    <w:rsid w:val="00774033"/>
    <w:rsid w:val="0077491D"/>
    <w:rsid w:val="0077585F"/>
    <w:rsid w:val="00775EDE"/>
    <w:rsid w:val="00775FCC"/>
    <w:rsid w:val="00776253"/>
    <w:rsid w:val="00776EEA"/>
    <w:rsid w:val="00777257"/>
    <w:rsid w:val="007777DD"/>
    <w:rsid w:val="00777C60"/>
    <w:rsid w:val="00780028"/>
    <w:rsid w:val="007805F0"/>
    <w:rsid w:val="00780631"/>
    <w:rsid w:val="007807A2"/>
    <w:rsid w:val="00780874"/>
    <w:rsid w:val="007811BE"/>
    <w:rsid w:val="007824D3"/>
    <w:rsid w:val="00782CC4"/>
    <w:rsid w:val="00782F99"/>
    <w:rsid w:val="007848F1"/>
    <w:rsid w:val="00784A73"/>
    <w:rsid w:val="00784D27"/>
    <w:rsid w:val="00784D49"/>
    <w:rsid w:val="00785129"/>
    <w:rsid w:val="007858A6"/>
    <w:rsid w:val="007868E9"/>
    <w:rsid w:val="007876FF"/>
    <w:rsid w:val="007877EA"/>
    <w:rsid w:val="00787C0D"/>
    <w:rsid w:val="007903DC"/>
    <w:rsid w:val="0079162D"/>
    <w:rsid w:val="00792434"/>
    <w:rsid w:val="0079274A"/>
    <w:rsid w:val="00792BF7"/>
    <w:rsid w:val="00792CEE"/>
    <w:rsid w:val="00792CF5"/>
    <w:rsid w:val="007933E6"/>
    <w:rsid w:val="007944BB"/>
    <w:rsid w:val="007948B6"/>
    <w:rsid w:val="00794A70"/>
    <w:rsid w:val="00796148"/>
    <w:rsid w:val="00796ADB"/>
    <w:rsid w:val="007A059C"/>
    <w:rsid w:val="007A1AA8"/>
    <w:rsid w:val="007A1D59"/>
    <w:rsid w:val="007A20C8"/>
    <w:rsid w:val="007A29C0"/>
    <w:rsid w:val="007A2F70"/>
    <w:rsid w:val="007A334B"/>
    <w:rsid w:val="007A363A"/>
    <w:rsid w:val="007A3890"/>
    <w:rsid w:val="007A43D4"/>
    <w:rsid w:val="007A56AA"/>
    <w:rsid w:val="007A5BDA"/>
    <w:rsid w:val="007B0358"/>
    <w:rsid w:val="007B0DC0"/>
    <w:rsid w:val="007B1023"/>
    <w:rsid w:val="007B1623"/>
    <w:rsid w:val="007B18FD"/>
    <w:rsid w:val="007B1953"/>
    <w:rsid w:val="007B2C31"/>
    <w:rsid w:val="007B3475"/>
    <w:rsid w:val="007B3B3D"/>
    <w:rsid w:val="007B459D"/>
    <w:rsid w:val="007B4DF9"/>
    <w:rsid w:val="007B521F"/>
    <w:rsid w:val="007B5538"/>
    <w:rsid w:val="007B5EDE"/>
    <w:rsid w:val="007B68FB"/>
    <w:rsid w:val="007B726C"/>
    <w:rsid w:val="007B7C6A"/>
    <w:rsid w:val="007C0275"/>
    <w:rsid w:val="007C03FA"/>
    <w:rsid w:val="007C1293"/>
    <w:rsid w:val="007C186D"/>
    <w:rsid w:val="007C2F60"/>
    <w:rsid w:val="007C3364"/>
    <w:rsid w:val="007C39B9"/>
    <w:rsid w:val="007C4907"/>
    <w:rsid w:val="007C5043"/>
    <w:rsid w:val="007C5E83"/>
    <w:rsid w:val="007C6325"/>
    <w:rsid w:val="007C6333"/>
    <w:rsid w:val="007C69CD"/>
    <w:rsid w:val="007C71FB"/>
    <w:rsid w:val="007C7829"/>
    <w:rsid w:val="007C7AE5"/>
    <w:rsid w:val="007C7F41"/>
    <w:rsid w:val="007D06CF"/>
    <w:rsid w:val="007D14F4"/>
    <w:rsid w:val="007D1C7B"/>
    <w:rsid w:val="007D1CD0"/>
    <w:rsid w:val="007D218C"/>
    <w:rsid w:val="007D2CB8"/>
    <w:rsid w:val="007D32D5"/>
    <w:rsid w:val="007D3414"/>
    <w:rsid w:val="007D3807"/>
    <w:rsid w:val="007D44DF"/>
    <w:rsid w:val="007D52D7"/>
    <w:rsid w:val="007D5892"/>
    <w:rsid w:val="007D5EAC"/>
    <w:rsid w:val="007D6506"/>
    <w:rsid w:val="007D771C"/>
    <w:rsid w:val="007D77EF"/>
    <w:rsid w:val="007D77F0"/>
    <w:rsid w:val="007D7FD7"/>
    <w:rsid w:val="007E07B0"/>
    <w:rsid w:val="007E1372"/>
    <w:rsid w:val="007E1387"/>
    <w:rsid w:val="007E181D"/>
    <w:rsid w:val="007E2A37"/>
    <w:rsid w:val="007E316B"/>
    <w:rsid w:val="007E340A"/>
    <w:rsid w:val="007E3CAA"/>
    <w:rsid w:val="007E3F09"/>
    <w:rsid w:val="007E5A83"/>
    <w:rsid w:val="007E5C67"/>
    <w:rsid w:val="007E74C9"/>
    <w:rsid w:val="007F06D0"/>
    <w:rsid w:val="007F0AD7"/>
    <w:rsid w:val="007F0C33"/>
    <w:rsid w:val="007F0EBD"/>
    <w:rsid w:val="007F188A"/>
    <w:rsid w:val="007F2C73"/>
    <w:rsid w:val="007F486B"/>
    <w:rsid w:val="007F49DA"/>
    <w:rsid w:val="007F51CB"/>
    <w:rsid w:val="007F6179"/>
    <w:rsid w:val="007F6F7F"/>
    <w:rsid w:val="007F7162"/>
    <w:rsid w:val="007F75D0"/>
    <w:rsid w:val="007F798B"/>
    <w:rsid w:val="0080071B"/>
    <w:rsid w:val="00800A48"/>
    <w:rsid w:val="008018DD"/>
    <w:rsid w:val="0080197D"/>
    <w:rsid w:val="00802107"/>
    <w:rsid w:val="00802187"/>
    <w:rsid w:val="00803D1C"/>
    <w:rsid w:val="00805884"/>
    <w:rsid w:val="0080658C"/>
    <w:rsid w:val="00806F82"/>
    <w:rsid w:val="00807B0A"/>
    <w:rsid w:val="00807C0E"/>
    <w:rsid w:val="00810213"/>
    <w:rsid w:val="00810F9E"/>
    <w:rsid w:val="008110AF"/>
    <w:rsid w:val="0081127B"/>
    <w:rsid w:val="008114A3"/>
    <w:rsid w:val="00811C5F"/>
    <w:rsid w:val="00811F3B"/>
    <w:rsid w:val="008124B9"/>
    <w:rsid w:val="00812DEE"/>
    <w:rsid w:val="008132D9"/>
    <w:rsid w:val="008149D7"/>
    <w:rsid w:val="00814A10"/>
    <w:rsid w:val="0081528C"/>
    <w:rsid w:val="008154F8"/>
    <w:rsid w:val="00815FE9"/>
    <w:rsid w:val="00816C82"/>
    <w:rsid w:val="00816CC4"/>
    <w:rsid w:val="00820A52"/>
    <w:rsid w:val="008212B1"/>
    <w:rsid w:val="008218A3"/>
    <w:rsid w:val="0082196C"/>
    <w:rsid w:val="00821C25"/>
    <w:rsid w:val="00821EC0"/>
    <w:rsid w:val="008220CE"/>
    <w:rsid w:val="00822AF7"/>
    <w:rsid w:val="00822DA4"/>
    <w:rsid w:val="008231A2"/>
    <w:rsid w:val="00823E86"/>
    <w:rsid w:val="00824AAC"/>
    <w:rsid w:val="00824D7B"/>
    <w:rsid w:val="00825D4B"/>
    <w:rsid w:val="0082647F"/>
    <w:rsid w:val="00826A68"/>
    <w:rsid w:val="00826D52"/>
    <w:rsid w:val="008271EC"/>
    <w:rsid w:val="0082765F"/>
    <w:rsid w:val="008276FB"/>
    <w:rsid w:val="00830185"/>
    <w:rsid w:val="0083084B"/>
    <w:rsid w:val="008316C4"/>
    <w:rsid w:val="00831A0D"/>
    <w:rsid w:val="00831A78"/>
    <w:rsid w:val="008332C6"/>
    <w:rsid w:val="008341F6"/>
    <w:rsid w:val="00834AC0"/>
    <w:rsid w:val="00835424"/>
    <w:rsid w:val="008354F1"/>
    <w:rsid w:val="008354FD"/>
    <w:rsid w:val="00835516"/>
    <w:rsid w:val="00835896"/>
    <w:rsid w:val="00835A95"/>
    <w:rsid w:val="00835E93"/>
    <w:rsid w:val="008364CA"/>
    <w:rsid w:val="0083686E"/>
    <w:rsid w:val="00837345"/>
    <w:rsid w:val="0083766F"/>
    <w:rsid w:val="00837773"/>
    <w:rsid w:val="00837940"/>
    <w:rsid w:val="0084068D"/>
    <w:rsid w:val="008406D0"/>
    <w:rsid w:val="00840943"/>
    <w:rsid w:val="008409E5"/>
    <w:rsid w:val="00840AD5"/>
    <w:rsid w:val="00840EED"/>
    <w:rsid w:val="008432A0"/>
    <w:rsid w:val="00843D2C"/>
    <w:rsid w:val="0084477A"/>
    <w:rsid w:val="008448A0"/>
    <w:rsid w:val="0084548A"/>
    <w:rsid w:val="0084685B"/>
    <w:rsid w:val="008468D1"/>
    <w:rsid w:val="00846BEF"/>
    <w:rsid w:val="00846C03"/>
    <w:rsid w:val="00847173"/>
    <w:rsid w:val="00847198"/>
    <w:rsid w:val="0085024F"/>
    <w:rsid w:val="00850C34"/>
    <w:rsid w:val="0085118E"/>
    <w:rsid w:val="00852729"/>
    <w:rsid w:val="00852B91"/>
    <w:rsid w:val="00852D0F"/>
    <w:rsid w:val="008557E4"/>
    <w:rsid w:val="00855C93"/>
    <w:rsid w:val="00855FEC"/>
    <w:rsid w:val="008562E2"/>
    <w:rsid w:val="00856441"/>
    <w:rsid w:val="0085733D"/>
    <w:rsid w:val="00860066"/>
    <w:rsid w:val="0086152F"/>
    <w:rsid w:val="00861582"/>
    <w:rsid w:val="00861625"/>
    <w:rsid w:val="00861C88"/>
    <w:rsid w:val="00861DD9"/>
    <w:rsid w:val="00861FA6"/>
    <w:rsid w:val="00862521"/>
    <w:rsid w:val="00862C50"/>
    <w:rsid w:val="00862C6A"/>
    <w:rsid w:val="00863D0C"/>
    <w:rsid w:val="00864AAC"/>
    <w:rsid w:val="00864B0A"/>
    <w:rsid w:val="0086612A"/>
    <w:rsid w:val="00866808"/>
    <w:rsid w:val="00866AAA"/>
    <w:rsid w:val="008676AD"/>
    <w:rsid w:val="0087043D"/>
    <w:rsid w:val="0087105F"/>
    <w:rsid w:val="008712D8"/>
    <w:rsid w:val="00872793"/>
    <w:rsid w:val="008727F3"/>
    <w:rsid w:val="00872DEB"/>
    <w:rsid w:val="008733F0"/>
    <w:rsid w:val="00874008"/>
    <w:rsid w:val="008751DA"/>
    <w:rsid w:val="00875E70"/>
    <w:rsid w:val="00876025"/>
    <w:rsid w:val="00876A51"/>
    <w:rsid w:val="00876C55"/>
    <w:rsid w:val="008774FC"/>
    <w:rsid w:val="0088007B"/>
    <w:rsid w:val="00881228"/>
    <w:rsid w:val="00882112"/>
    <w:rsid w:val="00882BFF"/>
    <w:rsid w:val="00883FA8"/>
    <w:rsid w:val="00884246"/>
    <w:rsid w:val="00884F5D"/>
    <w:rsid w:val="00885A59"/>
    <w:rsid w:val="008866EC"/>
    <w:rsid w:val="00886893"/>
    <w:rsid w:val="0088700B"/>
    <w:rsid w:val="00887503"/>
    <w:rsid w:val="00887FDB"/>
    <w:rsid w:val="008908C1"/>
    <w:rsid w:val="008916F4"/>
    <w:rsid w:val="0089189D"/>
    <w:rsid w:val="00891FD3"/>
    <w:rsid w:val="00892288"/>
    <w:rsid w:val="008924F3"/>
    <w:rsid w:val="008925D1"/>
    <w:rsid w:val="00892862"/>
    <w:rsid w:val="00892D80"/>
    <w:rsid w:val="008935E4"/>
    <w:rsid w:val="008935F0"/>
    <w:rsid w:val="00893B02"/>
    <w:rsid w:val="00896D45"/>
    <w:rsid w:val="00897290"/>
    <w:rsid w:val="00897F6E"/>
    <w:rsid w:val="008A038F"/>
    <w:rsid w:val="008A0ED0"/>
    <w:rsid w:val="008A1F15"/>
    <w:rsid w:val="008A1F8C"/>
    <w:rsid w:val="008A27DF"/>
    <w:rsid w:val="008A2846"/>
    <w:rsid w:val="008A2CE1"/>
    <w:rsid w:val="008A2F4A"/>
    <w:rsid w:val="008A348B"/>
    <w:rsid w:val="008A39DC"/>
    <w:rsid w:val="008A3D7E"/>
    <w:rsid w:val="008A3DA9"/>
    <w:rsid w:val="008A3F5B"/>
    <w:rsid w:val="008A4890"/>
    <w:rsid w:val="008A4E63"/>
    <w:rsid w:val="008A59FA"/>
    <w:rsid w:val="008A634E"/>
    <w:rsid w:val="008A6905"/>
    <w:rsid w:val="008A6BC1"/>
    <w:rsid w:val="008A6EBE"/>
    <w:rsid w:val="008A7450"/>
    <w:rsid w:val="008A7697"/>
    <w:rsid w:val="008A7A2D"/>
    <w:rsid w:val="008B01A7"/>
    <w:rsid w:val="008B05EC"/>
    <w:rsid w:val="008B08AA"/>
    <w:rsid w:val="008B1222"/>
    <w:rsid w:val="008B15A9"/>
    <w:rsid w:val="008B191E"/>
    <w:rsid w:val="008B195C"/>
    <w:rsid w:val="008B1F43"/>
    <w:rsid w:val="008B29C8"/>
    <w:rsid w:val="008B4147"/>
    <w:rsid w:val="008B4A31"/>
    <w:rsid w:val="008B57EF"/>
    <w:rsid w:val="008B5D55"/>
    <w:rsid w:val="008B67F7"/>
    <w:rsid w:val="008B6CDC"/>
    <w:rsid w:val="008C0B81"/>
    <w:rsid w:val="008C10AA"/>
    <w:rsid w:val="008C1D02"/>
    <w:rsid w:val="008C2218"/>
    <w:rsid w:val="008C33DC"/>
    <w:rsid w:val="008C3580"/>
    <w:rsid w:val="008C3864"/>
    <w:rsid w:val="008C3D51"/>
    <w:rsid w:val="008C3DD6"/>
    <w:rsid w:val="008C4616"/>
    <w:rsid w:val="008C5123"/>
    <w:rsid w:val="008C52CA"/>
    <w:rsid w:val="008C6F08"/>
    <w:rsid w:val="008C7185"/>
    <w:rsid w:val="008D0A26"/>
    <w:rsid w:val="008D17D4"/>
    <w:rsid w:val="008D1B78"/>
    <w:rsid w:val="008D2A56"/>
    <w:rsid w:val="008D3B9E"/>
    <w:rsid w:val="008D542A"/>
    <w:rsid w:val="008D6907"/>
    <w:rsid w:val="008D696B"/>
    <w:rsid w:val="008D6B27"/>
    <w:rsid w:val="008D7CA8"/>
    <w:rsid w:val="008E0363"/>
    <w:rsid w:val="008E04F6"/>
    <w:rsid w:val="008E06F0"/>
    <w:rsid w:val="008E0953"/>
    <w:rsid w:val="008E0DDF"/>
    <w:rsid w:val="008E143D"/>
    <w:rsid w:val="008E2731"/>
    <w:rsid w:val="008E389C"/>
    <w:rsid w:val="008E5328"/>
    <w:rsid w:val="008E5B72"/>
    <w:rsid w:val="008E5D7E"/>
    <w:rsid w:val="008E616C"/>
    <w:rsid w:val="008E6738"/>
    <w:rsid w:val="008E69BE"/>
    <w:rsid w:val="008E76B1"/>
    <w:rsid w:val="008E76E7"/>
    <w:rsid w:val="008E7C6D"/>
    <w:rsid w:val="008F02C7"/>
    <w:rsid w:val="008F0696"/>
    <w:rsid w:val="008F0874"/>
    <w:rsid w:val="008F0E0A"/>
    <w:rsid w:val="008F0F22"/>
    <w:rsid w:val="008F22D4"/>
    <w:rsid w:val="008F248E"/>
    <w:rsid w:val="008F2C84"/>
    <w:rsid w:val="008F41C1"/>
    <w:rsid w:val="008F4624"/>
    <w:rsid w:val="008F4E30"/>
    <w:rsid w:val="008F5B82"/>
    <w:rsid w:val="008F626C"/>
    <w:rsid w:val="008F646D"/>
    <w:rsid w:val="008F6E36"/>
    <w:rsid w:val="008F6E49"/>
    <w:rsid w:val="009007B3"/>
    <w:rsid w:val="00901164"/>
    <w:rsid w:val="00901DB7"/>
    <w:rsid w:val="00903724"/>
    <w:rsid w:val="009039BE"/>
    <w:rsid w:val="00903D7D"/>
    <w:rsid w:val="00904098"/>
    <w:rsid w:val="00904189"/>
    <w:rsid w:val="0090495E"/>
    <w:rsid w:val="00905591"/>
    <w:rsid w:val="009067E0"/>
    <w:rsid w:val="00906BBD"/>
    <w:rsid w:val="009072E7"/>
    <w:rsid w:val="009073BF"/>
    <w:rsid w:val="00907AD3"/>
    <w:rsid w:val="0091036D"/>
    <w:rsid w:val="009106EA"/>
    <w:rsid w:val="00910D30"/>
    <w:rsid w:val="009110BB"/>
    <w:rsid w:val="0091156C"/>
    <w:rsid w:val="00912752"/>
    <w:rsid w:val="009129C7"/>
    <w:rsid w:val="00912B15"/>
    <w:rsid w:val="00913508"/>
    <w:rsid w:val="0091427F"/>
    <w:rsid w:val="00915116"/>
    <w:rsid w:val="0091547D"/>
    <w:rsid w:val="00915D91"/>
    <w:rsid w:val="0091634C"/>
    <w:rsid w:val="009163B4"/>
    <w:rsid w:val="0091693B"/>
    <w:rsid w:val="00917276"/>
    <w:rsid w:val="00920369"/>
    <w:rsid w:val="00920EAF"/>
    <w:rsid w:val="009210A2"/>
    <w:rsid w:val="009211F0"/>
    <w:rsid w:val="00921975"/>
    <w:rsid w:val="00921AC8"/>
    <w:rsid w:val="00922BE7"/>
    <w:rsid w:val="00922D78"/>
    <w:rsid w:val="009235F0"/>
    <w:rsid w:val="00923E95"/>
    <w:rsid w:val="009245F9"/>
    <w:rsid w:val="00924BC3"/>
    <w:rsid w:val="00925233"/>
    <w:rsid w:val="00926AED"/>
    <w:rsid w:val="00927A02"/>
    <w:rsid w:val="00927C91"/>
    <w:rsid w:val="00930823"/>
    <w:rsid w:val="00930A5B"/>
    <w:rsid w:val="00931111"/>
    <w:rsid w:val="00931156"/>
    <w:rsid w:val="009318E8"/>
    <w:rsid w:val="00932363"/>
    <w:rsid w:val="009328A9"/>
    <w:rsid w:val="00932E3D"/>
    <w:rsid w:val="00933061"/>
    <w:rsid w:val="00933283"/>
    <w:rsid w:val="00933499"/>
    <w:rsid w:val="00933987"/>
    <w:rsid w:val="00933A44"/>
    <w:rsid w:val="009342A4"/>
    <w:rsid w:val="00934F16"/>
    <w:rsid w:val="0093527C"/>
    <w:rsid w:val="00935456"/>
    <w:rsid w:val="00935798"/>
    <w:rsid w:val="00935989"/>
    <w:rsid w:val="00936216"/>
    <w:rsid w:val="00936537"/>
    <w:rsid w:val="00937866"/>
    <w:rsid w:val="00937CE9"/>
    <w:rsid w:val="0094022F"/>
    <w:rsid w:val="00940311"/>
    <w:rsid w:val="00940C6F"/>
    <w:rsid w:val="0094118E"/>
    <w:rsid w:val="00941278"/>
    <w:rsid w:val="00941825"/>
    <w:rsid w:val="00941D49"/>
    <w:rsid w:val="00942BFE"/>
    <w:rsid w:val="00942C78"/>
    <w:rsid w:val="00943398"/>
    <w:rsid w:val="009434D1"/>
    <w:rsid w:val="009437FC"/>
    <w:rsid w:val="00943A4D"/>
    <w:rsid w:val="00944101"/>
    <w:rsid w:val="009446B0"/>
    <w:rsid w:val="00944CA1"/>
    <w:rsid w:val="00944E13"/>
    <w:rsid w:val="00944FBD"/>
    <w:rsid w:val="00945802"/>
    <w:rsid w:val="00945E4B"/>
    <w:rsid w:val="00946008"/>
    <w:rsid w:val="009460D4"/>
    <w:rsid w:val="009467B8"/>
    <w:rsid w:val="00946EB1"/>
    <w:rsid w:val="00947796"/>
    <w:rsid w:val="0095088B"/>
    <w:rsid w:val="0095088E"/>
    <w:rsid w:val="009509BF"/>
    <w:rsid w:val="00950B4F"/>
    <w:rsid w:val="00951035"/>
    <w:rsid w:val="0095123C"/>
    <w:rsid w:val="0095189F"/>
    <w:rsid w:val="00951D8D"/>
    <w:rsid w:val="009520EB"/>
    <w:rsid w:val="009524F5"/>
    <w:rsid w:val="009526D3"/>
    <w:rsid w:val="00952D1E"/>
    <w:rsid w:val="009530C6"/>
    <w:rsid w:val="00953233"/>
    <w:rsid w:val="0095384C"/>
    <w:rsid w:val="00953BE5"/>
    <w:rsid w:val="0095401D"/>
    <w:rsid w:val="0095419C"/>
    <w:rsid w:val="0095440C"/>
    <w:rsid w:val="00954A48"/>
    <w:rsid w:val="009550BC"/>
    <w:rsid w:val="009550FF"/>
    <w:rsid w:val="00955146"/>
    <w:rsid w:val="0095520E"/>
    <w:rsid w:val="00955B89"/>
    <w:rsid w:val="0095644A"/>
    <w:rsid w:val="00957313"/>
    <w:rsid w:val="009575E6"/>
    <w:rsid w:val="00957ACC"/>
    <w:rsid w:val="00960488"/>
    <w:rsid w:val="00960820"/>
    <w:rsid w:val="009609F3"/>
    <w:rsid w:val="00961FA1"/>
    <w:rsid w:val="0096235A"/>
    <w:rsid w:val="00962E5B"/>
    <w:rsid w:val="00966C22"/>
    <w:rsid w:val="00970365"/>
    <w:rsid w:val="009703E5"/>
    <w:rsid w:val="009708B9"/>
    <w:rsid w:val="00970B50"/>
    <w:rsid w:val="00970E51"/>
    <w:rsid w:val="00972481"/>
    <w:rsid w:val="00972895"/>
    <w:rsid w:val="00972B90"/>
    <w:rsid w:val="00973EC1"/>
    <w:rsid w:val="00974DEC"/>
    <w:rsid w:val="0097501C"/>
    <w:rsid w:val="009760FA"/>
    <w:rsid w:val="00976D04"/>
    <w:rsid w:val="00976EE4"/>
    <w:rsid w:val="00977244"/>
    <w:rsid w:val="0098084A"/>
    <w:rsid w:val="0098114C"/>
    <w:rsid w:val="00981658"/>
    <w:rsid w:val="00981C75"/>
    <w:rsid w:val="00982E32"/>
    <w:rsid w:val="00982F21"/>
    <w:rsid w:val="009832FC"/>
    <w:rsid w:val="00983CF5"/>
    <w:rsid w:val="00983F62"/>
    <w:rsid w:val="00983F66"/>
    <w:rsid w:val="0098439C"/>
    <w:rsid w:val="0098529D"/>
    <w:rsid w:val="009853C4"/>
    <w:rsid w:val="0098637E"/>
    <w:rsid w:val="0098641A"/>
    <w:rsid w:val="00986706"/>
    <w:rsid w:val="009870B9"/>
    <w:rsid w:val="00987E01"/>
    <w:rsid w:val="00987E2B"/>
    <w:rsid w:val="0099078E"/>
    <w:rsid w:val="00991335"/>
    <w:rsid w:val="0099195F"/>
    <w:rsid w:val="0099216E"/>
    <w:rsid w:val="0099269E"/>
    <w:rsid w:val="0099270C"/>
    <w:rsid w:val="0099300F"/>
    <w:rsid w:val="00993920"/>
    <w:rsid w:val="00993986"/>
    <w:rsid w:val="00993C40"/>
    <w:rsid w:val="00993D45"/>
    <w:rsid w:val="009953E1"/>
    <w:rsid w:val="00995F7B"/>
    <w:rsid w:val="00996EDC"/>
    <w:rsid w:val="00997843"/>
    <w:rsid w:val="00997EE2"/>
    <w:rsid w:val="009A04FC"/>
    <w:rsid w:val="009A193B"/>
    <w:rsid w:val="009A284A"/>
    <w:rsid w:val="009A47F0"/>
    <w:rsid w:val="009A4A67"/>
    <w:rsid w:val="009A4A80"/>
    <w:rsid w:val="009A4CD8"/>
    <w:rsid w:val="009A75A4"/>
    <w:rsid w:val="009A7CBE"/>
    <w:rsid w:val="009B0DE5"/>
    <w:rsid w:val="009B136F"/>
    <w:rsid w:val="009B22EC"/>
    <w:rsid w:val="009B247E"/>
    <w:rsid w:val="009B24F6"/>
    <w:rsid w:val="009B321E"/>
    <w:rsid w:val="009B325C"/>
    <w:rsid w:val="009B48C9"/>
    <w:rsid w:val="009B57E2"/>
    <w:rsid w:val="009B5DFA"/>
    <w:rsid w:val="009B66DE"/>
    <w:rsid w:val="009B730F"/>
    <w:rsid w:val="009B74CC"/>
    <w:rsid w:val="009B7E83"/>
    <w:rsid w:val="009B7EEE"/>
    <w:rsid w:val="009C0618"/>
    <w:rsid w:val="009C0729"/>
    <w:rsid w:val="009C17B8"/>
    <w:rsid w:val="009C1A72"/>
    <w:rsid w:val="009C1B42"/>
    <w:rsid w:val="009C1D18"/>
    <w:rsid w:val="009C301C"/>
    <w:rsid w:val="009C31C0"/>
    <w:rsid w:val="009C3296"/>
    <w:rsid w:val="009C412E"/>
    <w:rsid w:val="009C4184"/>
    <w:rsid w:val="009C450C"/>
    <w:rsid w:val="009C46FC"/>
    <w:rsid w:val="009C5962"/>
    <w:rsid w:val="009C677F"/>
    <w:rsid w:val="009C6E1C"/>
    <w:rsid w:val="009C715C"/>
    <w:rsid w:val="009C7253"/>
    <w:rsid w:val="009C73FF"/>
    <w:rsid w:val="009C7876"/>
    <w:rsid w:val="009C799F"/>
    <w:rsid w:val="009C7D8A"/>
    <w:rsid w:val="009C7DFA"/>
    <w:rsid w:val="009D06BC"/>
    <w:rsid w:val="009D07F0"/>
    <w:rsid w:val="009D0A48"/>
    <w:rsid w:val="009D0FD9"/>
    <w:rsid w:val="009D2D1E"/>
    <w:rsid w:val="009D3A3C"/>
    <w:rsid w:val="009D4101"/>
    <w:rsid w:val="009D52C2"/>
    <w:rsid w:val="009D5813"/>
    <w:rsid w:val="009D5B1E"/>
    <w:rsid w:val="009D5B3A"/>
    <w:rsid w:val="009D5D82"/>
    <w:rsid w:val="009D61D2"/>
    <w:rsid w:val="009D6A62"/>
    <w:rsid w:val="009D730B"/>
    <w:rsid w:val="009D7FBF"/>
    <w:rsid w:val="009E09C1"/>
    <w:rsid w:val="009E13E6"/>
    <w:rsid w:val="009E38C3"/>
    <w:rsid w:val="009E3C2A"/>
    <w:rsid w:val="009E51B5"/>
    <w:rsid w:val="009E52DF"/>
    <w:rsid w:val="009E545B"/>
    <w:rsid w:val="009E58ED"/>
    <w:rsid w:val="009E5B94"/>
    <w:rsid w:val="009E5D07"/>
    <w:rsid w:val="009E798A"/>
    <w:rsid w:val="009E7DF1"/>
    <w:rsid w:val="009E7E91"/>
    <w:rsid w:val="009F0040"/>
    <w:rsid w:val="009F01A0"/>
    <w:rsid w:val="009F05B1"/>
    <w:rsid w:val="009F3809"/>
    <w:rsid w:val="009F4265"/>
    <w:rsid w:val="009F441A"/>
    <w:rsid w:val="009F470A"/>
    <w:rsid w:val="009F5161"/>
    <w:rsid w:val="009F604D"/>
    <w:rsid w:val="009F60E3"/>
    <w:rsid w:val="00A004B7"/>
    <w:rsid w:val="00A0101F"/>
    <w:rsid w:val="00A01152"/>
    <w:rsid w:val="00A0190B"/>
    <w:rsid w:val="00A01A47"/>
    <w:rsid w:val="00A01A85"/>
    <w:rsid w:val="00A02A96"/>
    <w:rsid w:val="00A03046"/>
    <w:rsid w:val="00A031C8"/>
    <w:rsid w:val="00A03F74"/>
    <w:rsid w:val="00A04021"/>
    <w:rsid w:val="00A04EE3"/>
    <w:rsid w:val="00A058CA"/>
    <w:rsid w:val="00A05CFF"/>
    <w:rsid w:val="00A0641D"/>
    <w:rsid w:val="00A068CE"/>
    <w:rsid w:val="00A0747B"/>
    <w:rsid w:val="00A074D5"/>
    <w:rsid w:val="00A102EF"/>
    <w:rsid w:val="00A10A25"/>
    <w:rsid w:val="00A10C6D"/>
    <w:rsid w:val="00A11303"/>
    <w:rsid w:val="00A11A05"/>
    <w:rsid w:val="00A11DF9"/>
    <w:rsid w:val="00A120C7"/>
    <w:rsid w:val="00A12EBC"/>
    <w:rsid w:val="00A150D4"/>
    <w:rsid w:val="00A17C0B"/>
    <w:rsid w:val="00A17F98"/>
    <w:rsid w:val="00A206E2"/>
    <w:rsid w:val="00A20733"/>
    <w:rsid w:val="00A21299"/>
    <w:rsid w:val="00A23171"/>
    <w:rsid w:val="00A25458"/>
    <w:rsid w:val="00A25D9F"/>
    <w:rsid w:val="00A271A5"/>
    <w:rsid w:val="00A273C8"/>
    <w:rsid w:val="00A278B9"/>
    <w:rsid w:val="00A27E63"/>
    <w:rsid w:val="00A30807"/>
    <w:rsid w:val="00A30A77"/>
    <w:rsid w:val="00A30E8D"/>
    <w:rsid w:val="00A31E15"/>
    <w:rsid w:val="00A330C2"/>
    <w:rsid w:val="00A33688"/>
    <w:rsid w:val="00A34256"/>
    <w:rsid w:val="00A35CA5"/>
    <w:rsid w:val="00A36133"/>
    <w:rsid w:val="00A36732"/>
    <w:rsid w:val="00A36F1B"/>
    <w:rsid w:val="00A37003"/>
    <w:rsid w:val="00A3786E"/>
    <w:rsid w:val="00A37D51"/>
    <w:rsid w:val="00A37D94"/>
    <w:rsid w:val="00A40D4A"/>
    <w:rsid w:val="00A4170C"/>
    <w:rsid w:val="00A4184B"/>
    <w:rsid w:val="00A4283F"/>
    <w:rsid w:val="00A428BC"/>
    <w:rsid w:val="00A42F03"/>
    <w:rsid w:val="00A43395"/>
    <w:rsid w:val="00A433A2"/>
    <w:rsid w:val="00A43E08"/>
    <w:rsid w:val="00A44453"/>
    <w:rsid w:val="00A445C4"/>
    <w:rsid w:val="00A44E66"/>
    <w:rsid w:val="00A451CE"/>
    <w:rsid w:val="00A4607C"/>
    <w:rsid w:val="00A4683C"/>
    <w:rsid w:val="00A46A88"/>
    <w:rsid w:val="00A47964"/>
    <w:rsid w:val="00A47E3E"/>
    <w:rsid w:val="00A50028"/>
    <w:rsid w:val="00A50037"/>
    <w:rsid w:val="00A50571"/>
    <w:rsid w:val="00A50F14"/>
    <w:rsid w:val="00A51017"/>
    <w:rsid w:val="00A51C6C"/>
    <w:rsid w:val="00A51D6F"/>
    <w:rsid w:val="00A53225"/>
    <w:rsid w:val="00A5411C"/>
    <w:rsid w:val="00A546F3"/>
    <w:rsid w:val="00A54870"/>
    <w:rsid w:val="00A552FA"/>
    <w:rsid w:val="00A556C9"/>
    <w:rsid w:val="00A55C0C"/>
    <w:rsid w:val="00A55E07"/>
    <w:rsid w:val="00A561E1"/>
    <w:rsid w:val="00A563F2"/>
    <w:rsid w:val="00A5642F"/>
    <w:rsid w:val="00A568A7"/>
    <w:rsid w:val="00A5745A"/>
    <w:rsid w:val="00A60609"/>
    <w:rsid w:val="00A606DF"/>
    <w:rsid w:val="00A607C2"/>
    <w:rsid w:val="00A60A75"/>
    <w:rsid w:val="00A6159B"/>
    <w:rsid w:val="00A617F1"/>
    <w:rsid w:val="00A6240C"/>
    <w:rsid w:val="00A62838"/>
    <w:rsid w:val="00A62980"/>
    <w:rsid w:val="00A62BA9"/>
    <w:rsid w:val="00A62BFA"/>
    <w:rsid w:val="00A62D0F"/>
    <w:rsid w:val="00A6304B"/>
    <w:rsid w:val="00A630BF"/>
    <w:rsid w:val="00A6388D"/>
    <w:rsid w:val="00A64229"/>
    <w:rsid w:val="00A64740"/>
    <w:rsid w:val="00A64766"/>
    <w:rsid w:val="00A64E8A"/>
    <w:rsid w:val="00A65215"/>
    <w:rsid w:val="00A657C3"/>
    <w:rsid w:val="00A660DE"/>
    <w:rsid w:val="00A66B82"/>
    <w:rsid w:val="00A672DF"/>
    <w:rsid w:val="00A67784"/>
    <w:rsid w:val="00A7177E"/>
    <w:rsid w:val="00A72073"/>
    <w:rsid w:val="00A72A0A"/>
    <w:rsid w:val="00A73915"/>
    <w:rsid w:val="00A73C45"/>
    <w:rsid w:val="00A74554"/>
    <w:rsid w:val="00A7465E"/>
    <w:rsid w:val="00A74C01"/>
    <w:rsid w:val="00A74FF9"/>
    <w:rsid w:val="00A75DBA"/>
    <w:rsid w:val="00A763CE"/>
    <w:rsid w:val="00A76718"/>
    <w:rsid w:val="00A7697D"/>
    <w:rsid w:val="00A76B36"/>
    <w:rsid w:val="00A770A9"/>
    <w:rsid w:val="00A7799A"/>
    <w:rsid w:val="00A77CAA"/>
    <w:rsid w:val="00A80CFA"/>
    <w:rsid w:val="00A8149E"/>
    <w:rsid w:val="00A823F3"/>
    <w:rsid w:val="00A82A04"/>
    <w:rsid w:val="00A836E5"/>
    <w:rsid w:val="00A843E0"/>
    <w:rsid w:val="00A84B5A"/>
    <w:rsid w:val="00A85295"/>
    <w:rsid w:val="00A86BEC"/>
    <w:rsid w:val="00A87888"/>
    <w:rsid w:val="00A87951"/>
    <w:rsid w:val="00A91C76"/>
    <w:rsid w:val="00A922E1"/>
    <w:rsid w:val="00A9254B"/>
    <w:rsid w:val="00A935D2"/>
    <w:rsid w:val="00A93BC0"/>
    <w:rsid w:val="00A942B5"/>
    <w:rsid w:val="00A949F7"/>
    <w:rsid w:val="00A94E62"/>
    <w:rsid w:val="00A9540A"/>
    <w:rsid w:val="00A9551C"/>
    <w:rsid w:val="00A963A5"/>
    <w:rsid w:val="00A968E1"/>
    <w:rsid w:val="00A97574"/>
    <w:rsid w:val="00A975F4"/>
    <w:rsid w:val="00A977FC"/>
    <w:rsid w:val="00A978E9"/>
    <w:rsid w:val="00AA02EA"/>
    <w:rsid w:val="00AA0AB0"/>
    <w:rsid w:val="00AA0E00"/>
    <w:rsid w:val="00AA0E16"/>
    <w:rsid w:val="00AA1B46"/>
    <w:rsid w:val="00AA1CBB"/>
    <w:rsid w:val="00AA1FBA"/>
    <w:rsid w:val="00AA20F2"/>
    <w:rsid w:val="00AA32A9"/>
    <w:rsid w:val="00AA43CE"/>
    <w:rsid w:val="00AA4E84"/>
    <w:rsid w:val="00AA5AD1"/>
    <w:rsid w:val="00AA63DA"/>
    <w:rsid w:val="00AA735F"/>
    <w:rsid w:val="00AA76DB"/>
    <w:rsid w:val="00AA7A79"/>
    <w:rsid w:val="00AA7DFD"/>
    <w:rsid w:val="00AB0487"/>
    <w:rsid w:val="00AB0E80"/>
    <w:rsid w:val="00AB1B4B"/>
    <w:rsid w:val="00AB232B"/>
    <w:rsid w:val="00AB23C9"/>
    <w:rsid w:val="00AB26C4"/>
    <w:rsid w:val="00AB2CD6"/>
    <w:rsid w:val="00AB37BD"/>
    <w:rsid w:val="00AB3B3F"/>
    <w:rsid w:val="00AB3C47"/>
    <w:rsid w:val="00AB3E97"/>
    <w:rsid w:val="00AB4090"/>
    <w:rsid w:val="00AB415B"/>
    <w:rsid w:val="00AB4491"/>
    <w:rsid w:val="00AB47D3"/>
    <w:rsid w:val="00AB4C0B"/>
    <w:rsid w:val="00AB4C68"/>
    <w:rsid w:val="00AB5059"/>
    <w:rsid w:val="00AB58B8"/>
    <w:rsid w:val="00AB5CC3"/>
    <w:rsid w:val="00AB5CDB"/>
    <w:rsid w:val="00AB651B"/>
    <w:rsid w:val="00AB7190"/>
    <w:rsid w:val="00AB72EF"/>
    <w:rsid w:val="00AC0968"/>
    <w:rsid w:val="00AC0B87"/>
    <w:rsid w:val="00AC198E"/>
    <w:rsid w:val="00AC3E0D"/>
    <w:rsid w:val="00AC3FEB"/>
    <w:rsid w:val="00AC4361"/>
    <w:rsid w:val="00AC4CD4"/>
    <w:rsid w:val="00AC5081"/>
    <w:rsid w:val="00AC532D"/>
    <w:rsid w:val="00AC5BAE"/>
    <w:rsid w:val="00AC5EE0"/>
    <w:rsid w:val="00AC5F08"/>
    <w:rsid w:val="00AC6693"/>
    <w:rsid w:val="00AC685F"/>
    <w:rsid w:val="00AC71FB"/>
    <w:rsid w:val="00AC7451"/>
    <w:rsid w:val="00AC7BCC"/>
    <w:rsid w:val="00AD1201"/>
    <w:rsid w:val="00AD14B5"/>
    <w:rsid w:val="00AD1D33"/>
    <w:rsid w:val="00AD2203"/>
    <w:rsid w:val="00AD238D"/>
    <w:rsid w:val="00AD2AC3"/>
    <w:rsid w:val="00AD2C25"/>
    <w:rsid w:val="00AD327A"/>
    <w:rsid w:val="00AD3924"/>
    <w:rsid w:val="00AD438A"/>
    <w:rsid w:val="00AD5126"/>
    <w:rsid w:val="00AD5AB5"/>
    <w:rsid w:val="00AD614F"/>
    <w:rsid w:val="00AD652D"/>
    <w:rsid w:val="00AD6825"/>
    <w:rsid w:val="00AD6866"/>
    <w:rsid w:val="00AD686A"/>
    <w:rsid w:val="00AD6E09"/>
    <w:rsid w:val="00AD71FD"/>
    <w:rsid w:val="00AD7544"/>
    <w:rsid w:val="00AE02C1"/>
    <w:rsid w:val="00AE19F3"/>
    <w:rsid w:val="00AE1A19"/>
    <w:rsid w:val="00AE1CD6"/>
    <w:rsid w:val="00AE1FDA"/>
    <w:rsid w:val="00AE24D5"/>
    <w:rsid w:val="00AE3007"/>
    <w:rsid w:val="00AE3109"/>
    <w:rsid w:val="00AE334F"/>
    <w:rsid w:val="00AE5962"/>
    <w:rsid w:val="00AE5F73"/>
    <w:rsid w:val="00AE670F"/>
    <w:rsid w:val="00AE6766"/>
    <w:rsid w:val="00AE6E54"/>
    <w:rsid w:val="00AF03D7"/>
    <w:rsid w:val="00AF1091"/>
    <w:rsid w:val="00AF1F86"/>
    <w:rsid w:val="00AF221E"/>
    <w:rsid w:val="00AF2F1E"/>
    <w:rsid w:val="00AF307D"/>
    <w:rsid w:val="00AF34E8"/>
    <w:rsid w:val="00AF3A12"/>
    <w:rsid w:val="00AF3A72"/>
    <w:rsid w:val="00AF43CC"/>
    <w:rsid w:val="00AF46DB"/>
    <w:rsid w:val="00AF534F"/>
    <w:rsid w:val="00AF587B"/>
    <w:rsid w:val="00AF61B1"/>
    <w:rsid w:val="00AF6952"/>
    <w:rsid w:val="00AF7DE5"/>
    <w:rsid w:val="00B0067B"/>
    <w:rsid w:val="00B012E2"/>
    <w:rsid w:val="00B019C3"/>
    <w:rsid w:val="00B02882"/>
    <w:rsid w:val="00B035CB"/>
    <w:rsid w:val="00B03E59"/>
    <w:rsid w:val="00B03EE4"/>
    <w:rsid w:val="00B041EB"/>
    <w:rsid w:val="00B04A0F"/>
    <w:rsid w:val="00B0530F"/>
    <w:rsid w:val="00B0532A"/>
    <w:rsid w:val="00B05566"/>
    <w:rsid w:val="00B05805"/>
    <w:rsid w:val="00B05827"/>
    <w:rsid w:val="00B05B8C"/>
    <w:rsid w:val="00B05CFF"/>
    <w:rsid w:val="00B062BC"/>
    <w:rsid w:val="00B06C7E"/>
    <w:rsid w:val="00B06E49"/>
    <w:rsid w:val="00B10813"/>
    <w:rsid w:val="00B11055"/>
    <w:rsid w:val="00B113B2"/>
    <w:rsid w:val="00B119D8"/>
    <w:rsid w:val="00B12E8A"/>
    <w:rsid w:val="00B13D5E"/>
    <w:rsid w:val="00B1428B"/>
    <w:rsid w:val="00B14973"/>
    <w:rsid w:val="00B14BA5"/>
    <w:rsid w:val="00B16110"/>
    <w:rsid w:val="00B17561"/>
    <w:rsid w:val="00B17586"/>
    <w:rsid w:val="00B2050F"/>
    <w:rsid w:val="00B209DB"/>
    <w:rsid w:val="00B224E1"/>
    <w:rsid w:val="00B23292"/>
    <w:rsid w:val="00B232BD"/>
    <w:rsid w:val="00B2346F"/>
    <w:rsid w:val="00B23845"/>
    <w:rsid w:val="00B24E7B"/>
    <w:rsid w:val="00B254BA"/>
    <w:rsid w:val="00B26B46"/>
    <w:rsid w:val="00B271D5"/>
    <w:rsid w:val="00B272D4"/>
    <w:rsid w:val="00B27857"/>
    <w:rsid w:val="00B27AA0"/>
    <w:rsid w:val="00B27DD9"/>
    <w:rsid w:val="00B30198"/>
    <w:rsid w:val="00B303AE"/>
    <w:rsid w:val="00B311F8"/>
    <w:rsid w:val="00B319DF"/>
    <w:rsid w:val="00B31B7C"/>
    <w:rsid w:val="00B31CD9"/>
    <w:rsid w:val="00B31E08"/>
    <w:rsid w:val="00B32378"/>
    <w:rsid w:val="00B32832"/>
    <w:rsid w:val="00B32C02"/>
    <w:rsid w:val="00B33321"/>
    <w:rsid w:val="00B344BA"/>
    <w:rsid w:val="00B347AD"/>
    <w:rsid w:val="00B350CC"/>
    <w:rsid w:val="00B353EA"/>
    <w:rsid w:val="00B3547D"/>
    <w:rsid w:val="00B35572"/>
    <w:rsid w:val="00B35B30"/>
    <w:rsid w:val="00B36651"/>
    <w:rsid w:val="00B371BC"/>
    <w:rsid w:val="00B3790C"/>
    <w:rsid w:val="00B37A64"/>
    <w:rsid w:val="00B40AD6"/>
    <w:rsid w:val="00B40F55"/>
    <w:rsid w:val="00B4184C"/>
    <w:rsid w:val="00B425D6"/>
    <w:rsid w:val="00B4265B"/>
    <w:rsid w:val="00B42C0F"/>
    <w:rsid w:val="00B43535"/>
    <w:rsid w:val="00B43E40"/>
    <w:rsid w:val="00B44047"/>
    <w:rsid w:val="00B452B3"/>
    <w:rsid w:val="00B45A43"/>
    <w:rsid w:val="00B45A84"/>
    <w:rsid w:val="00B45CD0"/>
    <w:rsid w:val="00B45F3C"/>
    <w:rsid w:val="00B462E2"/>
    <w:rsid w:val="00B46DF7"/>
    <w:rsid w:val="00B47341"/>
    <w:rsid w:val="00B5029E"/>
    <w:rsid w:val="00B5089A"/>
    <w:rsid w:val="00B51B18"/>
    <w:rsid w:val="00B51F50"/>
    <w:rsid w:val="00B520D7"/>
    <w:rsid w:val="00B524EE"/>
    <w:rsid w:val="00B525D8"/>
    <w:rsid w:val="00B5300D"/>
    <w:rsid w:val="00B530B7"/>
    <w:rsid w:val="00B5429E"/>
    <w:rsid w:val="00B54337"/>
    <w:rsid w:val="00B54D9E"/>
    <w:rsid w:val="00B5543E"/>
    <w:rsid w:val="00B579DF"/>
    <w:rsid w:val="00B60733"/>
    <w:rsid w:val="00B60E1C"/>
    <w:rsid w:val="00B62585"/>
    <w:rsid w:val="00B6281F"/>
    <w:rsid w:val="00B635C6"/>
    <w:rsid w:val="00B635F8"/>
    <w:rsid w:val="00B63733"/>
    <w:rsid w:val="00B63935"/>
    <w:rsid w:val="00B63F99"/>
    <w:rsid w:val="00B64896"/>
    <w:rsid w:val="00B65AAD"/>
    <w:rsid w:val="00B65F20"/>
    <w:rsid w:val="00B66E09"/>
    <w:rsid w:val="00B66EB8"/>
    <w:rsid w:val="00B67281"/>
    <w:rsid w:val="00B67A7F"/>
    <w:rsid w:val="00B67D39"/>
    <w:rsid w:val="00B706AA"/>
    <w:rsid w:val="00B70854"/>
    <w:rsid w:val="00B70D94"/>
    <w:rsid w:val="00B72093"/>
    <w:rsid w:val="00B727D8"/>
    <w:rsid w:val="00B72E0E"/>
    <w:rsid w:val="00B72EBC"/>
    <w:rsid w:val="00B7310E"/>
    <w:rsid w:val="00B731C9"/>
    <w:rsid w:val="00B73C4B"/>
    <w:rsid w:val="00B74041"/>
    <w:rsid w:val="00B74780"/>
    <w:rsid w:val="00B75073"/>
    <w:rsid w:val="00B76362"/>
    <w:rsid w:val="00B763A2"/>
    <w:rsid w:val="00B76A57"/>
    <w:rsid w:val="00B76EA7"/>
    <w:rsid w:val="00B77922"/>
    <w:rsid w:val="00B813BE"/>
    <w:rsid w:val="00B81DA0"/>
    <w:rsid w:val="00B8225F"/>
    <w:rsid w:val="00B8232C"/>
    <w:rsid w:val="00B82D97"/>
    <w:rsid w:val="00B8317D"/>
    <w:rsid w:val="00B83430"/>
    <w:rsid w:val="00B845F6"/>
    <w:rsid w:val="00B84622"/>
    <w:rsid w:val="00B854A4"/>
    <w:rsid w:val="00B85502"/>
    <w:rsid w:val="00B85970"/>
    <w:rsid w:val="00B85AE3"/>
    <w:rsid w:val="00B85E9D"/>
    <w:rsid w:val="00B8627F"/>
    <w:rsid w:val="00B86CEA"/>
    <w:rsid w:val="00B86DCE"/>
    <w:rsid w:val="00B87527"/>
    <w:rsid w:val="00B87B76"/>
    <w:rsid w:val="00B87E7E"/>
    <w:rsid w:val="00B90656"/>
    <w:rsid w:val="00B91B2B"/>
    <w:rsid w:val="00B92062"/>
    <w:rsid w:val="00B93150"/>
    <w:rsid w:val="00B93683"/>
    <w:rsid w:val="00B93D99"/>
    <w:rsid w:val="00B93F75"/>
    <w:rsid w:val="00B96136"/>
    <w:rsid w:val="00B967AF"/>
    <w:rsid w:val="00B972D9"/>
    <w:rsid w:val="00BA059D"/>
    <w:rsid w:val="00BA06A0"/>
    <w:rsid w:val="00BA0966"/>
    <w:rsid w:val="00BA0A21"/>
    <w:rsid w:val="00BA1A2A"/>
    <w:rsid w:val="00BA3B64"/>
    <w:rsid w:val="00BA3BD5"/>
    <w:rsid w:val="00BA3C23"/>
    <w:rsid w:val="00BA573E"/>
    <w:rsid w:val="00BA588A"/>
    <w:rsid w:val="00BA6886"/>
    <w:rsid w:val="00BA6A08"/>
    <w:rsid w:val="00BA6B65"/>
    <w:rsid w:val="00BB077C"/>
    <w:rsid w:val="00BB07C4"/>
    <w:rsid w:val="00BB0CBB"/>
    <w:rsid w:val="00BB10AE"/>
    <w:rsid w:val="00BB12DB"/>
    <w:rsid w:val="00BB1493"/>
    <w:rsid w:val="00BB15E9"/>
    <w:rsid w:val="00BB1C52"/>
    <w:rsid w:val="00BB26FA"/>
    <w:rsid w:val="00BB2F12"/>
    <w:rsid w:val="00BB3A17"/>
    <w:rsid w:val="00BB3FF0"/>
    <w:rsid w:val="00BB5327"/>
    <w:rsid w:val="00BB60A8"/>
    <w:rsid w:val="00BB6445"/>
    <w:rsid w:val="00BB6C3D"/>
    <w:rsid w:val="00BB7A57"/>
    <w:rsid w:val="00BC0488"/>
    <w:rsid w:val="00BC0720"/>
    <w:rsid w:val="00BC2200"/>
    <w:rsid w:val="00BC3084"/>
    <w:rsid w:val="00BC3525"/>
    <w:rsid w:val="00BC3D43"/>
    <w:rsid w:val="00BC4BC1"/>
    <w:rsid w:val="00BC5299"/>
    <w:rsid w:val="00BC52A9"/>
    <w:rsid w:val="00BC69EC"/>
    <w:rsid w:val="00BC7483"/>
    <w:rsid w:val="00BC77D3"/>
    <w:rsid w:val="00BD0439"/>
    <w:rsid w:val="00BD056E"/>
    <w:rsid w:val="00BD06C1"/>
    <w:rsid w:val="00BD0910"/>
    <w:rsid w:val="00BD0FB1"/>
    <w:rsid w:val="00BD2F81"/>
    <w:rsid w:val="00BD33CD"/>
    <w:rsid w:val="00BD3E81"/>
    <w:rsid w:val="00BD3F1A"/>
    <w:rsid w:val="00BD5A4A"/>
    <w:rsid w:val="00BD5AA7"/>
    <w:rsid w:val="00BD5BE0"/>
    <w:rsid w:val="00BD5C88"/>
    <w:rsid w:val="00BD61CF"/>
    <w:rsid w:val="00BD771C"/>
    <w:rsid w:val="00BE017F"/>
    <w:rsid w:val="00BE0968"/>
    <w:rsid w:val="00BE240C"/>
    <w:rsid w:val="00BE3CD1"/>
    <w:rsid w:val="00BE41A6"/>
    <w:rsid w:val="00BE4977"/>
    <w:rsid w:val="00BE581B"/>
    <w:rsid w:val="00BE5F57"/>
    <w:rsid w:val="00BE6D21"/>
    <w:rsid w:val="00BE7B2E"/>
    <w:rsid w:val="00BE7B2F"/>
    <w:rsid w:val="00BF002F"/>
    <w:rsid w:val="00BF0244"/>
    <w:rsid w:val="00BF065E"/>
    <w:rsid w:val="00BF07C5"/>
    <w:rsid w:val="00BF0893"/>
    <w:rsid w:val="00BF08F8"/>
    <w:rsid w:val="00BF0903"/>
    <w:rsid w:val="00BF0DD2"/>
    <w:rsid w:val="00BF1473"/>
    <w:rsid w:val="00BF1B5B"/>
    <w:rsid w:val="00BF224F"/>
    <w:rsid w:val="00BF259D"/>
    <w:rsid w:val="00BF2A68"/>
    <w:rsid w:val="00BF2B5F"/>
    <w:rsid w:val="00BF467E"/>
    <w:rsid w:val="00BF5504"/>
    <w:rsid w:val="00BF567F"/>
    <w:rsid w:val="00BF5BD1"/>
    <w:rsid w:val="00BF625A"/>
    <w:rsid w:val="00BF6457"/>
    <w:rsid w:val="00BF6A57"/>
    <w:rsid w:val="00BF6BFA"/>
    <w:rsid w:val="00BF7B01"/>
    <w:rsid w:val="00C01B37"/>
    <w:rsid w:val="00C02896"/>
    <w:rsid w:val="00C02975"/>
    <w:rsid w:val="00C02E0C"/>
    <w:rsid w:val="00C035C8"/>
    <w:rsid w:val="00C0421A"/>
    <w:rsid w:val="00C0502C"/>
    <w:rsid w:val="00C0526D"/>
    <w:rsid w:val="00C052D4"/>
    <w:rsid w:val="00C05853"/>
    <w:rsid w:val="00C066D0"/>
    <w:rsid w:val="00C070D8"/>
    <w:rsid w:val="00C0716D"/>
    <w:rsid w:val="00C073E3"/>
    <w:rsid w:val="00C07699"/>
    <w:rsid w:val="00C07B9A"/>
    <w:rsid w:val="00C1089D"/>
    <w:rsid w:val="00C10BA7"/>
    <w:rsid w:val="00C11BFC"/>
    <w:rsid w:val="00C12022"/>
    <w:rsid w:val="00C125C9"/>
    <w:rsid w:val="00C12DCE"/>
    <w:rsid w:val="00C13373"/>
    <w:rsid w:val="00C1342D"/>
    <w:rsid w:val="00C1347B"/>
    <w:rsid w:val="00C138A3"/>
    <w:rsid w:val="00C138A8"/>
    <w:rsid w:val="00C146A3"/>
    <w:rsid w:val="00C14E61"/>
    <w:rsid w:val="00C1518D"/>
    <w:rsid w:val="00C15ACF"/>
    <w:rsid w:val="00C15D86"/>
    <w:rsid w:val="00C15EAC"/>
    <w:rsid w:val="00C169FE"/>
    <w:rsid w:val="00C16AED"/>
    <w:rsid w:val="00C16D6C"/>
    <w:rsid w:val="00C173B5"/>
    <w:rsid w:val="00C1759B"/>
    <w:rsid w:val="00C200DC"/>
    <w:rsid w:val="00C2136F"/>
    <w:rsid w:val="00C213BC"/>
    <w:rsid w:val="00C21950"/>
    <w:rsid w:val="00C21B43"/>
    <w:rsid w:val="00C21D06"/>
    <w:rsid w:val="00C23B0B"/>
    <w:rsid w:val="00C23D7A"/>
    <w:rsid w:val="00C254C2"/>
    <w:rsid w:val="00C25667"/>
    <w:rsid w:val="00C25A11"/>
    <w:rsid w:val="00C25BC0"/>
    <w:rsid w:val="00C25EAB"/>
    <w:rsid w:val="00C2708E"/>
    <w:rsid w:val="00C30676"/>
    <w:rsid w:val="00C30683"/>
    <w:rsid w:val="00C30DF7"/>
    <w:rsid w:val="00C30EBF"/>
    <w:rsid w:val="00C31B4E"/>
    <w:rsid w:val="00C3254F"/>
    <w:rsid w:val="00C3290F"/>
    <w:rsid w:val="00C32F98"/>
    <w:rsid w:val="00C334AB"/>
    <w:rsid w:val="00C33526"/>
    <w:rsid w:val="00C337A2"/>
    <w:rsid w:val="00C33B1C"/>
    <w:rsid w:val="00C33C89"/>
    <w:rsid w:val="00C34124"/>
    <w:rsid w:val="00C34D23"/>
    <w:rsid w:val="00C34E37"/>
    <w:rsid w:val="00C35173"/>
    <w:rsid w:val="00C3621C"/>
    <w:rsid w:val="00C3635C"/>
    <w:rsid w:val="00C36390"/>
    <w:rsid w:val="00C36E75"/>
    <w:rsid w:val="00C37BC1"/>
    <w:rsid w:val="00C40819"/>
    <w:rsid w:val="00C40E10"/>
    <w:rsid w:val="00C41408"/>
    <w:rsid w:val="00C416EC"/>
    <w:rsid w:val="00C418F6"/>
    <w:rsid w:val="00C4203B"/>
    <w:rsid w:val="00C4226C"/>
    <w:rsid w:val="00C42397"/>
    <w:rsid w:val="00C42991"/>
    <w:rsid w:val="00C42AF1"/>
    <w:rsid w:val="00C42CF8"/>
    <w:rsid w:val="00C42E1D"/>
    <w:rsid w:val="00C42FBE"/>
    <w:rsid w:val="00C436CB"/>
    <w:rsid w:val="00C43C82"/>
    <w:rsid w:val="00C43D24"/>
    <w:rsid w:val="00C43E62"/>
    <w:rsid w:val="00C447D6"/>
    <w:rsid w:val="00C45F14"/>
    <w:rsid w:val="00C463F1"/>
    <w:rsid w:val="00C46C1B"/>
    <w:rsid w:val="00C47204"/>
    <w:rsid w:val="00C4750A"/>
    <w:rsid w:val="00C477BA"/>
    <w:rsid w:val="00C478D5"/>
    <w:rsid w:val="00C47D00"/>
    <w:rsid w:val="00C50E3E"/>
    <w:rsid w:val="00C5173D"/>
    <w:rsid w:val="00C52B03"/>
    <w:rsid w:val="00C52DCF"/>
    <w:rsid w:val="00C53002"/>
    <w:rsid w:val="00C553DF"/>
    <w:rsid w:val="00C56E92"/>
    <w:rsid w:val="00C572B7"/>
    <w:rsid w:val="00C57E4E"/>
    <w:rsid w:val="00C57F16"/>
    <w:rsid w:val="00C621B6"/>
    <w:rsid w:val="00C624ED"/>
    <w:rsid w:val="00C62CDF"/>
    <w:rsid w:val="00C63038"/>
    <w:rsid w:val="00C64B2A"/>
    <w:rsid w:val="00C65182"/>
    <w:rsid w:val="00C651FF"/>
    <w:rsid w:val="00C653C2"/>
    <w:rsid w:val="00C65674"/>
    <w:rsid w:val="00C6612D"/>
    <w:rsid w:val="00C6643C"/>
    <w:rsid w:val="00C66A03"/>
    <w:rsid w:val="00C6705E"/>
    <w:rsid w:val="00C679E1"/>
    <w:rsid w:val="00C70F51"/>
    <w:rsid w:val="00C71F7F"/>
    <w:rsid w:val="00C721EF"/>
    <w:rsid w:val="00C7287A"/>
    <w:rsid w:val="00C72C30"/>
    <w:rsid w:val="00C72D3F"/>
    <w:rsid w:val="00C73289"/>
    <w:rsid w:val="00C7387F"/>
    <w:rsid w:val="00C73CA1"/>
    <w:rsid w:val="00C74003"/>
    <w:rsid w:val="00C744DF"/>
    <w:rsid w:val="00C74927"/>
    <w:rsid w:val="00C7502F"/>
    <w:rsid w:val="00C753F5"/>
    <w:rsid w:val="00C76345"/>
    <w:rsid w:val="00C763C9"/>
    <w:rsid w:val="00C77562"/>
    <w:rsid w:val="00C8034D"/>
    <w:rsid w:val="00C80549"/>
    <w:rsid w:val="00C809F6"/>
    <w:rsid w:val="00C80A0F"/>
    <w:rsid w:val="00C80B77"/>
    <w:rsid w:val="00C814BC"/>
    <w:rsid w:val="00C8208D"/>
    <w:rsid w:val="00C82355"/>
    <w:rsid w:val="00C826ED"/>
    <w:rsid w:val="00C828DD"/>
    <w:rsid w:val="00C83784"/>
    <w:rsid w:val="00C84AD3"/>
    <w:rsid w:val="00C852D1"/>
    <w:rsid w:val="00C855EC"/>
    <w:rsid w:val="00C85AB2"/>
    <w:rsid w:val="00C85B3C"/>
    <w:rsid w:val="00C86B0C"/>
    <w:rsid w:val="00C87D93"/>
    <w:rsid w:val="00C90ACB"/>
    <w:rsid w:val="00C917F9"/>
    <w:rsid w:val="00C9243B"/>
    <w:rsid w:val="00C94F8B"/>
    <w:rsid w:val="00C950DE"/>
    <w:rsid w:val="00C95575"/>
    <w:rsid w:val="00C95B43"/>
    <w:rsid w:val="00C95D98"/>
    <w:rsid w:val="00C96116"/>
    <w:rsid w:val="00C96F0F"/>
    <w:rsid w:val="00C9775A"/>
    <w:rsid w:val="00C97A38"/>
    <w:rsid w:val="00CA0725"/>
    <w:rsid w:val="00CA0755"/>
    <w:rsid w:val="00CA10F0"/>
    <w:rsid w:val="00CA1DB3"/>
    <w:rsid w:val="00CA2573"/>
    <w:rsid w:val="00CA2C53"/>
    <w:rsid w:val="00CA2E07"/>
    <w:rsid w:val="00CA323C"/>
    <w:rsid w:val="00CA3F41"/>
    <w:rsid w:val="00CA5192"/>
    <w:rsid w:val="00CA67A4"/>
    <w:rsid w:val="00CA6ADB"/>
    <w:rsid w:val="00CB0AD8"/>
    <w:rsid w:val="00CB0BC6"/>
    <w:rsid w:val="00CB11B7"/>
    <w:rsid w:val="00CB1A27"/>
    <w:rsid w:val="00CB2958"/>
    <w:rsid w:val="00CB39AA"/>
    <w:rsid w:val="00CB4615"/>
    <w:rsid w:val="00CB46C3"/>
    <w:rsid w:val="00CB4D32"/>
    <w:rsid w:val="00CB5120"/>
    <w:rsid w:val="00CB536B"/>
    <w:rsid w:val="00CB6586"/>
    <w:rsid w:val="00CB6A99"/>
    <w:rsid w:val="00CB6ECD"/>
    <w:rsid w:val="00CC00F3"/>
    <w:rsid w:val="00CC08C5"/>
    <w:rsid w:val="00CC0F92"/>
    <w:rsid w:val="00CC1BC0"/>
    <w:rsid w:val="00CC282E"/>
    <w:rsid w:val="00CC2929"/>
    <w:rsid w:val="00CC3073"/>
    <w:rsid w:val="00CC3487"/>
    <w:rsid w:val="00CC349C"/>
    <w:rsid w:val="00CC377F"/>
    <w:rsid w:val="00CC3E80"/>
    <w:rsid w:val="00CC4B08"/>
    <w:rsid w:val="00CC5254"/>
    <w:rsid w:val="00CC548E"/>
    <w:rsid w:val="00CC5610"/>
    <w:rsid w:val="00CC5DBE"/>
    <w:rsid w:val="00CC5EEB"/>
    <w:rsid w:val="00CC63DF"/>
    <w:rsid w:val="00CC650D"/>
    <w:rsid w:val="00CC69FA"/>
    <w:rsid w:val="00CC6DE6"/>
    <w:rsid w:val="00CC6F83"/>
    <w:rsid w:val="00CC724F"/>
    <w:rsid w:val="00CD0654"/>
    <w:rsid w:val="00CD06E9"/>
    <w:rsid w:val="00CD070C"/>
    <w:rsid w:val="00CD0F84"/>
    <w:rsid w:val="00CD16CF"/>
    <w:rsid w:val="00CD1771"/>
    <w:rsid w:val="00CD35D9"/>
    <w:rsid w:val="00CD38D6"/>
    <w:rsid w:val="00CD3DC6"/>
    <w:rsid w:val="00CD424B"/>
    <w:rsid w:val="00CD49AB"/>
    <w:rsid w:val="00CD557A"/>
    <w:rsid w:val="00CD5C50"/>
    <w:rsid w:val="00CD5DA1"/>
    <w:rsid w:val="00CD5E1A"/>
    <w:rsid w:val="00CD62DF"/>
    <w:rsid w:val="00CD6314"/>
    <w:rsid w:val="00CD64D6"/>
    <w:rsid w:val="00CD66B3"/>
    <w:rsid w:val="00CD6A1A"/>
    <w:rsid w:val="00CD6D14"/>
    <w:rsid w:val="00CD73C4"/>
    <w:rsid w:val="00CD788B"/>
    <w:rsid w:val="00CD79AB"/>
    <w:rsid w:val="00CE0371"/>
    <w:rsid w:val="00CE0384"/>
    <w:rsid w:val="00CE167F"/>
    <w:rsid w:val="00CE16AA"/>
    <w:rsid w:val="00CE2065"/>
    <w:rsid w:val="00CE2559"/>
    <w:rsid w:val="00CE27D5"/>
    <w:rsid w:val="00CE2AA1"/>
    <w:rsid w:val="00CE2B15"/>
    <w:rsid w:val="00CE2D14"/>
    <w:rsid w:val="00CE3F8E"/>
    <w:rsid w:val="00CE5046"/>
    <w:rsid w:val="00CE59AD"/>
    <w:rsid w:val="00CE62BC"/>
    <w:rsid w:val="00CE64CE"/>
    <w:rsid w:val="00CE69F3"/>
    <w:rsid w:val="00CF0103"/>
    <w:rsid w:val="00CF085D"/>
    <w:rsid w:val="00CF1333"/>
    <w:rsid w:val="00CF1374"/>
    <w:rsid w:val="00CF15E8"/>
    <w:rsid w:val="00CF1F4B"/>
    <w:rsid w:val="00CF2065"/>
    <w:rsid w:val="00CF218A"/>
    <w:rsid w:val="00CF21B9"/>
    <w:rsid w:val="00CF2727"/>
    <w:rsid w:val="00CF3A89"/>
    <w:rsid w:val="00CF4278"/>
    <w:rsid w:val="00CF431B"/>
    <w:rsid w:val="00CF451C"/>
    <w:rsid w:val="00CF6FD4"/>
    <w:rsid w:val="00CF7F1A"/>
    <w:rsid w:val="00D005AA"/>
    <w:rsid w:val="00D0147F"/>
    <w:rsid w:val="00D016E1"/>
    <w:rsid w:val="00D02465"/>
    <w:rsid w:val="00D028ED"/>
    <w:rsid w:val="00D03206"/>
    <w:rsid w:val="00D03DA0"/>
    <w:rsid w:val="00D04217"/>
    <w:rsid w:val="00D04B2A"/>
    <w:rsid w:val="00D0561A"/>
    <w:rsid w:val="00D0588F"/>
    <w:rsid w:val="00D06DF4"/>
    <w:rsid w:val="00D071D8"/>
    <w:rsid w:val="00D079AC"/>
    <w:rsid w:val="00D07BD6"/>
    <w:rsid w:val="00D1015D"/>
    <w:rsid w:val="00D10C34"/>
    <w:rsid w:val="00D11E51"/>
    <w:rsid w:val="00D12733"/>
    <w:rsid w:val="00D12FB6"/>
    <w:rsid w:val="00D13659"/>
    <w:rsid w:val="00D13A50"/>
    <w:rsid w:val="00D14741"/>
    <w:rsid w:val="00D1480A"/>
    <w:rsid w:val="00D154D4"/>
    <w:rsid w:val="00D164BF"/>
    <w:rsid w:val="00D168B8"/>
    <w:rsid w:val="00D16943"/>
    <w:rsid w:val="00D16B05"/>
    <w:rsid w:val="00D16CE9"/>
    <w:rsid w:val="00D176E8"/>
    <w:rsid w:val="00D179E2"/>
    <w:rsid w:val="00D208FB"/>
    <w:rsid w:val="00D21047"/>
    <w:rsid w:val="00D22580"/>
    <w:rsid w:val="00D229AD"/>
    <w:rsid w:val="00D22C04"/>
    <w:rsid w:val="00D2302B"/>
    <w:rsid w:val="00D2328A"/>
    <w:rsid w:val="00D23521"/>
    <w:rsid w:val="00D23B6F"/>
    <w:rsid w:val="00D246D1"/>
    <w:rsid w:val="00D24D34"/>
    <w:rsid w:val="00D253F3"/>
    <w:rsid w:val="00D254CB"/>
    <w:rsid w:val="00D26A9E"/>
    <w:rsid w:val="00D27793"/>
    <w:rsid w:val="00D27E9C"/>
    <w:rsid w:val="00D30545"/>
    <w:rsid w:val="00D30566"/>
    <w:rsid w:val="00D30AB0"/>
    <w:rsid w:val="00D31225"/>
    <w:rsid w:val="00D31C34"/>
    <w:rsid w:val="00D32BC2"/>
    <w:rsid w:val="00D33337"/>
    <w:rsid w:val="00D33C13"/>
    <w:rsid w:val="00D33D02"/>
    <w:rsid w:val="00D33FE4"/>
    <w:rsid w:val="00D344EB"/>
    <w:rsid w:val="00D34518"/>
    <w:rsid w:val="00D3517C"/>
    <w:rsid w:val="00D35269"/>
    <w:rsid w:val="00D35320"/>
    <w:rsid w:val="00D35584"/>
    <w:rsid w:val="00D358AF"/>
    <w:rsid w:val="00D36613"/>
    <w:rsid w:val="00D366E7"/>
    <w:rsid w:val="00D36D55"/>
    <w:rsid w:val="00D36EFD"/>
    <w:rsid w:val="00D3717A"/>
    <w:rsid w:val="00D37937"/>
    <w:rsid w:val="00D37C6A"/>
    <w:rsid w:val="00D37C9F"/>
    <w:rsid w:val="00D37FCD"/>
    <w:rsid w:val="00D4059A"/>
    <w:rsid w:val="00D40787"/>
    <w:rsid w:val="00D40A2F"/>
    <w:rsid w:val="00D412D2"/>
    <w:rsid w:val="00D414A7"/>
    <w:rsid w:val="00D41719"/>
    <w:rsid w:val="00D41896"/>
    <w:rsid w:val="00D41A0C"/>
    <w:rsid w:val="00D422BB"/>
    <w:rsid w:val="00D432BE"/>
    <w:rsid w:val="00D444AB"/>
    <w:rsid w:val="00D445A6"/>
    <w:rsid w:val="00D446B7"/>
    <w:rsid w:val="00D45120"/>
    <w:rsid w:val="00D45482"/>
    <w:rsid w:val="00D466A2"/>
    <w:rsid w:val="00D472F7"/>
    <w:rsid w:val="00D4743B"/>
    <w:rsid w:val="00D50096"/>
    <w:rsid w:val="00D501CD"/>
    <w:rsid w:val="00D510DE"/>
    <w:rsid w:val="00D51340"/>
    <w:rsid w:val="00D52482"/>
    <w:rsid w:val="00D52C4B"/>
    <w:rsid w:val="00D53006"/>
    <w:rsid w:val="00D5319C"/>
    <w:rsid w:val="00D53405"/>
    <w:rsid w:val="00D53B50"/>
    <w:rsid w:val="00D542CC"/>
    <w:rsid w:val="00D543F6"/>
    <w:rsid w:val="00D54444"/>
    <w:rsid w:val="00D5451E"/>
    <w:rsid w:val="00D54859"/>
    <w:rsid w:val="00D54AC3"/>
    <w:rsid w:val="00D576D3"/>
    <w:rsid w:val="00D57CBA"/>
    <w:rsid w:val="00D57FAC"/>
    <w:rsid w:val="00D615BD"/>
    <w:rsid w:val="00D61631"/>
    <w:rsid w:val="00D626CE"/>
    <w:rsid w:val="00D62850"/>
    <w:rsid w:val="00D628ED"/>
    <w:rsid w:val="00D62A44"/>
    <w:rsid w:val="00D62A70"/>
    <w:rsid w:val="00D636F1"/>
    <w:rsid w:val="00D63830"/>
    <w:rsid w:val="00D63888"/>
    <w:rsid w:val="00D648EA"/>
    <w:rsid w:val="00D65F00"/>
    <w:rsid w:val="00D669A2"/>
    <w:rsid w:val="00D6710A"/>
    <w:rsid w:val="00D67227"/>
    <w:rsid w:val="00D67309"/>
    <w:rsid w:val="00D67523"/>
    <w:rsid w:val="00D675D6"/>
    <w:rsid w:val="00D678C2"/>
    <w:rsid w:val="00D6795E"/>
    <w:rsid w:val="00D703FD"/>
    <w:rsid w:val="00D706D0"/>
    <w:rsid w:val="00D70AF0"/>
    <w:rsid w:val="00D70B66"/>
    <w:rsid w:val="00D70D2D"/>
    <w:rsid w:val="00D70D68"/>
    <w:rsid w:val="00D70EB8"/>
    <w:rsid w:val="00D71DE2"/>
    <w:rsid w:val="00D722D1"/>
    <w:rsid w:val="00D734EE"/>
    <w:rsid w:val="00D74067"/>
    <w:rsid w:val="00D745E8"/>
    <w:rsid w:val="00D74A47"/>
    <w:rsid w:val="00D74BE6"/>
    <w:rsid w:val="00D7593A"/>
    <w:rsid w:val="00D81178"/>
    <w:rsid w:val="00D811B1"/>
    <w:rsid w:val="00D81267"/>
    <w:rsid w:val="00D814EC"/>
    <w:rsid w:val="00D82E53"/>
    <w:rsid w:val="00D834DD"/>
    <w:rsid w:val="00D83BC4"/>
    <w:rsid w:val="00D83C0B"/>
    <w:rsid w:val="00D83F0F"/>
    <w:rsid w:val="00D84247"/>
    <w:rsid w:val="00D842D3"/>
    <w:rsid w:val="00D84407"/>
    <w:rsid w:val="00D845CF"/>
    <w:rsid w:val="00D84BA3"/>
    <w:rsid w:val="00D855ED"/>
    <w:rsid w:val="00D86469"/>
    <w:rsid w:val="00D86FD2"/>
    <w:rsid w:val="00D8736E"/>
    <w:rsid w:val="00D879ED"/>
    <w:rsid w:val="00D87B09"/>
    <w:rsid w:val="00D87FEB"/>
    <w:rsid w:val="00D90188"/>
    <w:rsid w:val="00D9044F"/>
    <w:rsid w:val="00D906DD"/>
    <w:rsid w:val="00D90B97"/>
    <w:rsid w:val="00D90CF0"/>
    <w:rsid w:val="00D91861"/>
    <w:rsid w:val="00D9391F"/>
    <w:rsid w:val="00D93E0F"/>
    <w:rsid w:val="00D944CD"/>
    <w:rsid w:val="00D94657"/>
    <w:rsid w:val="00D94719"/>
    <w:rsid w:val="00D94D07"/>
    <w:rsid w:val="00D96020"/>
    <w:rsid w:val="00D96680"/>
    <w:rsid w:val="00D97BD1"/>
    <w:rsid w:val="00DA0478"/>
    <w:rsid w:val="00DA12CA"/>
    <w:rsid w:val="00DA1344"/>
    <w:rsid w:val="00DA152E"/>
    <w:rsid w:val="00DA16E3"/>
    <w:rsid w:val="00DA1849"/>
    <w:rsid w:val="00DA18DC"/>
    <w:rsid w:val="00DA1EE1"/>
    <w:rsid w:val="00DA22CA"/>
    <w:rsid w:val="00DA2F40"/>
    <w:rsid w:val="00DA4AB5"/>
    <w:rsid w:val="00DA4B70"/>
    <w:rsid w:val="00DA5674"/>
    <w:rsid w:val="00DA5A1B"/>
    <w:rsid w:val="00DA5E59"/>
    <w:rsid w:val="00DA61A2"/>
    <w:rsid w:val="00DA6326"/>
    <w:rsid w:val="00DA6333"/>
    <w:rsid w:val="00DA651F"/>
    <w:rsid w:val="00DA68D2"/>
    <w:rsid w:val="00DA6CE0"/>
    <w:rsid w:val="00DA76F7"/>
    <w:rsid w:val="00DA7BB0"/>
    <w:rsid w:val="00DB050E"/>
    <w:rsid w:val="00DB0C61"/>
    <w:rsid w:val="00DB0F98"/>
    <w:rsid w:val="00DB1608"/>
    <w:rsid w:val="00DB1D81"/>
    <w:rsid w:val="00DB1DB7"/>
    <w:rsid w:val="00DB21AB"/>
    <w:rsid w:val="00DB286D"/>
    <w:rsid w:val="00DB2AB5"/>
    <w:rsid w:val="00DB2D64"/>
    <w:rsid w:val="00DB5256"/>
    <w:rsid w:val="00DB54D0"/>
    <w:rsid w:val="00DB562B"/>
    <w:rsid w:val="00DB629F"/>
    <w:rsid w:val="00DB67BB"/>
    <w:rsid w:val="00DB707B"/>
    <w:rsid w:val="00DB750C"/>
    <w:rsid w:val="00DB7AA9"/>
    <w:rsid w:val="00DC024B"/>
    <w:rsid w:val="00DC175D"/>
    <w:rsid w:val="00DC21B2"/>
    <w:rsid w:val="00DC24DE"/>
    <w:rsid w:val="00DC279E"/>
    <w:rsid w:val="00DC2B68"/>
    <w:rsid w:val="00DC2CF8"/>
    <w:rsid w:val="00DC2D38"/>
    <w:rsid w:val="00DC3DF2"/>
    <w:rsid w:val="00DC3F3C"/>
    <w:rsid w:val="00DC4275"/>
    <w:rsid w:val="00DC4EA3"/>
    <w:rsid w:val="00DC661A"/>
    <w:rsid w:val="00DC68BB"/>
    <w:rsid w:val="00DC7EEA"/>
    <w:rsid w:val="00DD024B"/>
    <w:rsid w:val="00DD2B7B"/>
    <w:rsid w:val="00DD2C1D"/>
    <w:rsid w:val="00DD2D3F"/>
    <w:rsid w:val="00DD3B3C"/>
    <w:rsid w:val="00DD4837"/>
    <w:rsid w:val="00DD5072"/>
    <w:rsid w:val="00DD5612"/>
    <w:rsid w:val="00DD58E3"/>
    <w:rsid w:val="00DD5BB3"/>
    <w:rsid w:val="00DD6366"/>
    <w:rsid w:val="00DD6377"/>
    <w:rsid w:val="00DD689A"/>
    <w:rsid w:val="00DD7E1D"/>
    <w:rsid w:val="00DE1392"/>
    <w:rsid w:val="00DE1419"/>
    <w:rsid w:val="00DE154E"/>
    <w:rsid w:val="00DE1DC8"/>
    <w:rsid w:val="00DE23FB"/>
    <w:rsid w:val="00DE2578"/>
    <w:rsid w:val="00DE2C2C"/>
    <w:rsid w:val="00DE2C97"/>
    <w:rsid w:val="00DE469B"/>
    <w:rsid w:val="00DE48AD"/>
    <w:rsid w:val="00DE5C77"/>
    <w:rsid w:val="00DE6025"/>
    <w:rsid w:val="00DE636B"/>
    <w:rsid w:val="00DE7BCB"/>
    <w:rsid w:val="00DE7FD4"/>
    <w:rsid w:val="00DF166F"/>
    <w:rsid w:val="00DF19E2"/>
    <w:rsid w:val="00DF2767"/>
    <w:rsid w:val="00DF2F1A"/>
    <w:rsid w:val="00DF36D7"/>
    <w:rsid w:val="00DF3B0F"/>
    <w:rsid w:val="00DF4ACF"/>
    <w:rsid w:val="00DF4FD8"/>
    <w:rsid w:val="00DF545C"/>
    <w:rsid w:val="00DF5670"/>
    <w:rsid w:val="00DF5A9D"/>
    <w:rsid w:val="00DF5C95"/>
    <w:rsid w:val="00DF5F4C"/>
    <w:rsid w:val="00DF5F87"/>
    <w:rsid w:val="00DF605A"/>
    <w:rsid w:val="00DF6D9A"/>
    <w:rsid w:val="00DF7BC1"/>
    <w:rsid w:val="00DF7D80"/>
    <w:rsid w:val="00E002A1"/>
    <w:rsid w:val="00E00720"/>
    <w:rsid w:val="00E01971"/>
    <w:rsid w:val="00E02607"/>
    <w:rsid w:val="00E03023"/>
    <w:rsid w:val="00E0307A"/>
    <w:rsid w:val="00E033D7"/>
    <w:rsid w:val="00E057DB"/>
    <w:rsid w:val="00E05D3E"/>
    <w:rsid w:val="00E06888"/>
    <w:rsid w:val="00E073F9"/>
    <w:rsid w:val="00E0740B"/>
    <w:rsid w:val="00E114CC"/>
    <w:rsid w:val="00E11BE0"/>
    <w:rsid w:val="00E12266"/>
    <w:rsid w:val="00E12A92"/>
    <w:rsid w:val="00E13C03"/>
    <w:rsid w:val="00E1424F"/>
    <w:rsid w:val="00E1465E"/>
    <w:rsid w:val="00E151E3"/>
    <w:rsid w:val="00E15579"/>
    <w:rsid w:val="00E15826"/>
    <w:rsid w:val="00E15847"/>
    <w:rsid w:val="00E16CEC"/>
    <w:rsid w:val="00E16F9A"/>
    <w:rsid w:val="00E17377"/>
    <w:rsid w:val="00E174C8"/>
    <w:rsid w:val="00E1770D"/>
    <w:rsid w:val="00E177D8"/>
    <w:rsid w:val="00E20197"/>
    <w:rsid w:val="00E20429"/>
    <w:rsid w:val="00E2045B"/>
    <w:rsid w:val="00E208A0"/>
    <w:rsid w:val="00E20985"/>
    <w:rsid w:val="00E21160"/>
    <w:rsid w:val="00E21697"/>
    <w:rsid w:val="00E21944"/>
    <w:rsid w:val="00E21C4A"/>
    <w:rsid w:val="00E22724"/>
    <w:rsid w:val="00E22FD0"/>
    <w:rsid w:val="00E23047"/>
    <w:rsid w:val="00E239F1"/>
    <w:rsid w:val="00E23F3F"/>
    <w:rsid w:val="00E24017"/>
    <w:rsid w:val="00E24359"/>
    <w:rsid w:val="00E258AD"/>
    <w:rsid w:val="00E26470"/>
    <w:rsid w:val="00E2783B"/>
    <w:rsid w:val="00E2788C"/>
    <w:rsid w:val="00E30B25"/>
    <w:rsid w:val="00E311F0"/>
    <w:rsid w:val="00E3181B"/>
    <w:rsid w:val="00E31CD3"/>
    <w:rsid w:val="00E325F4"/>
    <w:rsid w:val="00E32D24"/>
    <w:rsid w:val="00E33321"/>
    <w:rsid w:val="00E33349"/>
    <w:rsid w:val="00E33EDD"/>
    <w:rsid w:val="00E34002"/>
    <w:rsid w:val="00E341E6"/>
    <w:rsid w:val="00E3422F"/>
    <w:rsid w:val="00E343EA"/>
    <w:rsid w:val="00E34521"/>
    <w:rsid w:val="00E34728"/>
    <w:rsid w:val="00E350A3"/>
    <w:rsid w:val="00E35341"/>
    <w:rsid w:val="00E353A5"/>
    <w:rsid w:val="00E35BD5"/>
    <w:rsid w:val="00E35DD5"/>
    <w:rsid w:val="00E37201"/>
    <w:rsid w:val="00E37657"/>
    <w:rsid w:val="00E410EE"/>
    <w:rsid w:val="00E42F77"/>
    <w:rsid w:val="00E432E1"/>
    <w:rsid w:val="00E4368F"/>
    <w:rsid w:val="00E437CD"/>
    <w:rsid w:val="00E43AAA"/>
    <w:rsid w:val="00E43ACE"/>
    <w:rsid w:val="00E43E76"/>
    <w:rsid w:val="00E454B5"/>
    <w:rsid w:val="00E45565"/>
    <w:rsid w:val="00E455DA"/>
    <w:rsid w:val="00E45DFF"/>
    <w:rsid w:val="00E45F7B"/>
    <w:rsid w:val="00E46885"/>
    <w:rsid w:val="00E468B3"/>
    <w:rsid w:val="00E4699D"/>
    <w:rsid w:val="00E46EF6"/>
    <w:rsid w:val="00E471AE"/>
    <w:rsid w:val="00E47DDB"/>
    <w:rsid w:val="00E5015D"/>
    <w:rsid w:val="00E50601"/>
    <w:rsid w:val="00E51201"/>
    <w:rsid w:val="00E516D8"/>
    <w:rsid w:val="00E51BB6"/>
    <w:rsid w:val="00E5228C"/>
    <w:rsid w:val="00E54876"/>
    <w:rsid w:val="00E548FF"/>
    <w:rsid w:val="00E5626C"/>
    <w:rsid w:val="00E567B1"/>
    <w:rsid w:val="00E57001"/>
    <w:rsid w:val="00E57385"/>
    <w:rsid w:val="00E576ED"/>
    <w:rsid w:val="00E60519"/>
    <w:rsid w:val="00E61A8B"/>
    <w:rsid w:val="00E62978"/>
    <w:rsid w:val="00E6409B"/>
    <w:rsid w:val="00E64725"/>
    <w:rsid w:val="00E65295"/>
    <w:rsid w:val="00E66633"/>
    <w:rsid w:val="00E6677E"/>
    <w:rsid w:val="00E668E8"/>
    <w:rsid w:val="00E6695B"/>
    <w:rsid w:val="00E67F69"/>
    <w:rsid w:val="00E703C6"/>
    <w:rsid w:val="00E704C7"/>
    <w:rsid w:val="00E70758"/>
    <w:rsid w:val="00E70C9D"/>
    <w:rsid w:val="00E713EA"/>
    <w:rsid w:val="00E71474"/>
    <w:rsid w:val="00E72CA2"/>
    <w:rsid w:val="00E7436A"/>
    <w:rsid w:val="00E7442B"/>
    <w:rsid w:val="00E7503A"/>
    <w:rsid w:val="00E75AA2"/>
    <w:rsid w:val="00E76065"/>
    <w:rsid w:val="00E7619C"/>
    <w:rsid w:val="00E7767E"/>
    <w:rsid w:val="00E77934"/>
    <w:rsid w:val="00E80395"/>
    <w:rsid w:val="00E8069B"/>
    <w:rsid w:val="00E80DF4"/>
    <w:rsid w:val="00E81213"/>
    <w:rsid w:val="00E815D3"/>
    <w:rsid w:val="00E82929"/>
    <w:rsid w:val="00E83B2C"/>
    <w:rsid w:val="00E83B9B"/>
    <w:rsid w:val="00E8542B"/>
    <w:rsid w:val="00E8666E"/>
    <w:rsid w:val="00E90403"/>
    <w:rsid w:val="00E91684"/>
    <w:rsid w:val="00E92553"/>
    <w:rsid w:val="00E9319F"/>
    <w:rsid w:val="00E93278"/>
    <w:rsid w:val="00E936A5"/>
    <w:rsid w:val="00E943A7"/>
    <w:rsid w:val="00E94CBD"/>
    <w:rsid w:val="00E94E31"/>
    <w:rsid w:val="00E971E6"/>
    <w:rsid w:val="00E9733B"/>
    <w:rsid w:val="00E977AD"/>
    <w:rsid w:val="00E97857"/>
    <w:rsid w:val="00EA0529"/>
    <w:rsid w:val="00EA2568"/>
    <w:rsid w:val="00EA6263"/>
    <w:rsid w:val="00EA6441"/>
    <w:rsid w:val="00EA6E28"/>
    <w:rsid w:val="00EB00DA"/>
    <w:rsid w:val="00EB0709"/>
    <w:rsid w:val="00EB0B07"/>
    <w:rsid w:val="00EB13C6"/>
    <w:rsid w:val="00EB247E"/>
    <w:rsid w:val="00EB408B"/>
    <w:rsid w:val="00EB4A08"/>
    <w:rsid w:val="00EB4CCC"/>
    <w:rsid w:val="00EB4DDD"/>
    <w:rsid w:val="00EB54DE"/>
    <w:rsid w:val="00EB5D3D"/>
    <w:rsid w:val="00EB6051"/>
    <w:rsid w:val="00EB67BA"/>
    <w:rsid w:val="00EB6A94"/>
    <w:rsid w:val="00EB6C10"/>
    <w:rsid w:val="00EB7E6D"/>
    <w:rsid w:val="00EB7E8D"/>
    <w:rsid w:val="00EC00C9"/>
    <w:rsid w:val="00EC019A"/>
    <w:rsid w:val="00EC0791"/>
    <w:rsid w:val="00EC0D5C"/>
    <w:rsid w:val="00EC1694"/>
    <w:rsid w:val="00EC233A"/>
    <w:rsid w:val="00EC25E8"/>
    <w:rsid w:val="00EC2A6F"/>
    <w:rsid w:val="00EC310D"/>
    <w:rsid w:val="00EC46C8"/>
    <w:rsid w:val="00EC4BAE"/>
    <w:rsid w:val="00EC4C31"/>
    <w:rsid w:val="00EC5CA3"/>
    <w:rsid w:val="00EC6B2B"/>
    <w:rsid w:val="00EC7278"/>
    <w:rsid w:val="00EC7698"/>
    <w:rsid w:val="00EC7C48"/>
    <w:rsid w:val="00ED0259"/>
    <w:rsid w:val="00ED0271"/>
    <w:rsid w:val="00ED07C5"/>
    <w:rsid w:val="00ED0AE6"/>
    <w:rsid w:val="00ED1B04"/>
    <w:rsid w:val="00ED2346"/>
    <w:rsid w:val="00ED2815"/>
    <w:rsid w:val="00ED399E"/>
    <w:rsid w:val="00ED3F63"/>
    <w:rsid w:val="00ED477B"/>
    <w:rsid w:val="00ED49C3"/>
    <w:rsid w:val="00ED52E5"/>
    <w:rsid w:val="00ED5C9E"/>
    <w:rsid w:val="00ED63C1"/>
    <w:rsid w:val="00ED644A"/>
    <w:rsid w:val="00ED6954"/>
    <w:rsid w:val="00ED6956"/>
    <w:rsid w:val="00ED6A9E"/>
    <w:rsid w:val="00ED6C87"/>
    <w:rsid w:val="00ED7901"/>
    <w:rsid w:val="00ED7956"/>
    <w:rsid w:val="00ED7BD4"/>
    <w:rsid w:val="00EE00E4"/>
    <w:rsid w:val="00EE0874"/>
    <w:rsid w:val="00EE0F72"/>
    <w:rsid w:val="00EE1783"/>
    <w:rsid w:val="00EE180A"/>
    <w:rsid w:val="00EE251D"/>
    <w:rsid w:val="00EE2674"/>
    <w:rsid w:val="00EE2F98"/>
    <w:rsid w:val="00EE3B97"/>
    <w:rsid w:val="00EE3C24"/>
    <w:rsid w:val="00EE3F8D"/>
    <w:rsid w:val="00EE40AA"/>
    <w:rsid w:val="00EE44D9"/>
    <w:rsid w:val="00EE5414"/>
    <w:rsid w:val="00EE5B81"/>
    <w:rsid w:val="00EE5E95"/>
    <w:rsid w:val="00EE632E"/>
    <w:rsid w:val="00EE7586"/>
    <w:rsid w:val="00EE79A1"/>
    <w:rsid w:val="00EE7D35"/>
    <w:rsid w:val="00EF0098"/>
    <w:rsid w:val="00EF0296"/>
    <w:rsid w:val="00EF0E8C"/>
    <w:rsid w:val="00EF2126"/>
    <w:rsid w:val="00EF232A"/>
    <w:rsid w:val="00EF29EC"/>
    <w:rsid w:val="00EF2BFC"/>
    <w:rsid w:val="00EF3262"/>
    <w:rsid w:val="00EF3E37"/>
    <w:rsid w:val="00EF4100"/>
    <w:rsid w:val="00EF4C38"/>
    <w:rsid w:val="00EF57E0"/>
    <w:rsid w:val="00EF58F1"/>
    <w:rsid w:val="00EF5A82"/>
    <w:rsid w:val="00EF5BDB"/>
    <w:rsid w:val="00F00679"/>
    <w:rsid w:val="00F00F90"/>
    <w:rsid w:val="00F01EF1"/>
    <w:rsid w:val="00F029EB"/>
    <w:rsid w:val="00F02F37"/>
    <w:rsid w:val="00F04C2F"/>
    <w:rsid w:val="00F06004"/>
    <w:rsid w:val="00F0723F"/>
    <w:rsid w:val="00F075CC"/>
    <w:rsid w:val="00F076B0"/>
    <w:rsid w:val="00F07B04"/>
    <w:rsid w:val="00F07C97"/>
    <w:rsid w:val="00F07FEB"/>
    <w:rsid w:val="00F10150"/>
    <w:rsid w:val="00F10844"/>
    <w:rsid w:val="00F109A9"/>
    <w:rsid w:val="00F118D2"/>
    <w:rsid w:val="00F11D66"/>
    <w:rsid w:val="00F11D73"/>
    <w:rsid w:val="00F12985"/>
    <w:rsid w:val="00F13328"/>
    <w:rsid w:val="00F1421E"/>
    <w:rsid w:val="00F14427"/>
    <w:rsid w:val="00F14F6B"/>
    <w:rsid w:val="00F154B1"/>
    <w:rsid w:val="00F157DF"/>
    <w:rsid w:val="00F1590C"/>
    <w:rsid w:val="00F168E5"/>
    <w:rsid w:val="00F16C01"/>
    <w:rsid w:val="00F172AF"/>
    <w:rsid w:val="00F17F75"/>
    <w:rsid w:val="00F20DF8"/>
    <w:rsid w:val="00F20E14"/>
    <w:rsid w:val="00F2148C"/>
    <w:rsid w:val="00F221F2"/>
    <w:rsid w:val="00F23107"/>
    <w:rsid w:val="00F23E29"/>
    <w:rsid w:val="00F24040"/>
    <w:rsid w:val="00F242FC"/>
    <w:rsid w:val="00F245E9"/>
    <w:rsid w:val="00F24651"/>
    <w:rsid w:val="00F24AD1"/>
    <w:rsid w:val="00F250A4"/>
    <w:rsid w:val="00F25AD3"/>
    <w:rsid w:val="00F268EE"/>
    <w:rsid w:val="00F26ECF"/>
    <w:rsid w:val="00F26EFD"/>
    <w:rsid w:val="00F27E19"/>
    <w:rsid w:val="00F304CA"/>
    <w:rsid w:val="00F309FB"/>
    <w:rsid w:val="00F31E8A"/>
    <w:rsid w:val="00F31E99"/>
    <w:rsid w:val="00F32055"/>
    <w:rsid w:val="00F32DC7"/>
    <w:rsid w:val="00F34564"/>
    <w:rsid w:val="00F3493E"/>
    <w:rsid w:val="00F35701"/>
    <w:rsid w:val="00F35858"/>
    <w:rsid w:val="00F35BFB"/>
    <w:rsid w:val="00F366DE"/>
    <w:rsid w:val="00F36C7B"/>
    <w:rsid w:val="00F37147"/>
    <w:rsid w:val="00F37D77"/>
    <w:rsid w:val="00F37DF3"/>
    <w:rsid w:val="00F40363"/>
    <w:rsid w:val="00F40C71"/>
    <w:rsid w:val="00F40F2D"/>
    <w:rsid w:val="00F4178D"/>
    <w:rsid w:val="00F41ACB"/>
    <w:rsid w:val="00F41E09"/>
    <w:rsid w:val="00F42471"/>
    <w:rsid w:val="00F43AA1"/>
    <w:rsid w:val="00F43BD6"/>
    <w:rsid w:val="00F44E3D"/>
    <w:rsid w:val="00F45859"/>
    <w:rsid w:val="00F466C3"/>
    <w:rsid w:val="00F46E35"/>
    <w:rsid w:val="00F47A0B"/>
    <w:rsid w:val="00F50D59"/>
    <w:rsid w:val="00F50E7E"/>
    <w:rsid w:val="00F5106F"/>
    <w:rsid w:val="00F510CF"/>
    <w:rsid w:val="00F5142D"/>
    <w:rsid w:val="00F51CA9"/>
    <w:rsid w:val="00F51D3A"/>
    <w:rsid w:val="00F5239C"/>
    <w:rsid w:val="00F524F5"/>
    <w:rsid w:val="00F528B7"/>
    <w:rsid w:val="00F52B79"/>
    <w:rsid w:val="00F52B8E"/>
    <w:rsid w:val="00F52F61"/>
    <w:rsid w:val="00F53A3F"/>
    <w:rsid w:val="00F5576A"/>
    <w:rsid w:val="00F55C6D"/>
    <w:rsid w:val="00F56187"/>
    <w:rsid w:val="00F56532"/>
    <w:rsid w:val="00F575CE"/>
    <w:rsid w:val="00F5765C"/>
    <w:rsid w:val="00F609E2"/>
    <w:rsid w:val="00F60F05"/>
    <w:rsid w:val="00F6181A"/>
    <w:rsid w:val="00F62996"/>
    <w:rsid w:val="00F62DD2"/>
    <w:rsid w:val="00F6389A"/>
    <w:rsid w:val="00F6589B"/>
    <w:rsid w:val="00F65BBC"/>
    <w:rsid w:val="00F6742F"/>
    <w:rsid w:val="00F67AF9"/>
    <w:rsid w:val="00F67B2A"/>
    <w:rsid w:val="00F70604"/>
    <w:rsid w:val="00F70726"/>
    <w:rsid w:val="00F7078D"/>
    <w:rsid w:val="00F70BF1"/>
    <w:rsid w:val="00F72229"/>
    <w:rsid w:val="00F73032"/>
    <w:rsid w:val="00F735F3"/>
    <w:rsid w:val="00F73D76"/>
    <w:rsid w:val="00F7491A"/>
    <w:rsid w:val="00F753B1"/>
    <w:rsid w:val="00F7565D"/>
    <w:rsid w:val="00F75DD6"/>
    <w:rsid w:val="00F76C8B"/>
    <w:rsid w:val="00F77B94"/>
    <w:rsid w:val="00F803D6"/>
    <w:rsid w:val="00F805FC"/>
    <w:rsid w:val="00F80810"/>
    <w:rsid w:val="00F80860"/>
    <w:rsid w:val="00F80D2B"/>
    <w:rsid w:val="00F812D1"/>
    <w:rsid w:val="00F818E4"/>
    <w:rsid w:val="00F822B2"/>
    <w:rsid w:val="00F8285B"/>
    <w:rsid w:val="00F83377"/>
    <w:rsid w:val="00F83D85"/>
    <w:rsid w:val="00F84436"/>
    <w:rsid w:val="00F85345"/>
    <w:rsid w:val="00F8559A"/>
    <w:rsid w:val="00F85976"/>
    <w:rsid w:val="00F8719E"/>
    <w:rsid w:val="00F87589"/>
    <w:rsid w:val="00F876B4"/>
    <w:rsid w:val="00F87FE7"/>
    <w:rsid w:val="00F906C7"/>
    <w:rsid w:val="00F907B2"/>
    <w:rsid w:val="00F919C6"/>
    <w:rsid w:val="00F9227D"/>
    <w:rsid w:val="00F9268D"/>
    <w:rsid w:val="00F92898"/>
    <w:rsid w:val="00F92ED0"/>
    <w:rsid w:val="00F938D3"/>
    <w:rsid w:val="00F93DB5"/>
    <w:rsid w:val="00F94679"/>
    <w:rsid w:val="00F957FC"/>
    <w:rsid w:val="00F959D7"/>
    <w:rsid w:val="00F96257"/>
    <w:rsid w:val="00F96C66"/>
    <w:rsid w:val="00F97B18"/>
    <w:rsid w:val="00FA00F5"/>
    <w:rsid w:val="00FA13B3"/>
    <w:rsid w:val="00FA15A8"/>
    <w:rsid w:val="00FA1ABF"/>
    <w:rsid w:val="00FA2477"/>
    <w:rsid w:val="00FA3721"/>
    <w:rsid w:val="00FA4152"/>
    <w:rsid w:val="00FA4D27"/>
    <w:rsid w:val="00FA50CE"/>
    <w:rsid w:val="00FA5339"/>
    <w:rsid w:val="00FA6694"/>
    <w:rsid w:val="00FA686F"/>
    <w:rsid w:val="00FA7146"/>
    <w:rsid w:val="00FA717D"/>
    <w:rsid w:val="00FA7B57"/>
    <w:rsid w:val="00FB10A4"/>
    <w:rsid w:val="00FB1ACA"/>
    <w:rsid w:val="00FB1BA1"/>
    <w:rsid w:val="00FB1C05"/>
    <w:rsid w:val="00FB1EC6"/>
    <w:rsid w:val="00FB1FE9"/>
    <w:rsid w:val="00FB25BF"/>
    <w:rsid w:val="00FB2D3E"/>
    <w:rsid w:val="00FB31C2"/>
    <w:rsid w:val="00FB3203"/>
    <w:rsid w:val="00FB347B"/>
    <w:rsid w:val="00FB367E"/>
    <w:rsid w:val="00FB37D8"/>
    <w:rsid w:val="00FB38FB"/>
    <w:rsid w:val="00FB40C6"/>
    <w:rsid w:val="00FB4498"/>
    <w:rsid w:val="00FB48C4"/>
    <w:rsid w:val="00FB5C40"/>
    <w:rsid w:val="00FB66F0"/>
    <w:rsid w:val="00FB69E6"/>
    <w:rsid w:val="00FB74B7"/>
    <w:rsid w:val="00FB760A"/>
    <w:rsid w:val="00FB78BB"/>
    <w:rsid w:val="00FB7C9F"/>
    <w:rsid w:val="00FB7D81"/>
    <w:rsid w:val="00FC032A"/>
    <w:rsid w:val="00FC1B9C"/>
    <w:rsid w:val="00FC259A"/>
    <w:rsid w:val="00FC2CB5"/>
    <w:rsid w:val="00FC33D9"/>
    <w:rsid w:val="00FC3AE8"/>
    <w:rsid w:val="00FC5144"/>
    <w:rsid w:val="00FC560E"/>
    <w:rsid w:val="00FC56C9"/>
    <w:rsid w:val="00FC5A8A"/>
    <w:rsid w:val="00FC5B6C"/>
    <w:rsid w:val="00FC6C2A"/>
    <w:rsid w:val="00FD09E6"/>
    <w:rsid w:val="00FD0B3C"/>
    <w:rsid w:val="00FD178C"/>
    <w:rsid w:val="00FD33A4"/>
    <w:rsid w:val="00FD42AB"/>
    <w:rsid w:val="00FD5AA9"/>
    <w:rsid w:val="00FD5B54"/>
    <w:rsid w:val="00FD5E3B"/>
    <w:rsid w:val="00FD6FF5"/>
    <w:rsid w:val="00FE0BE1"/>
    <w:rsid w:val="00FE0F03"/>
    <w:rsid w:val="00FE12F7"/>
    <w:rsid w:val="00FE135F"/>
    <w:rsid w:val="00FE169A"/>
    <w:rsid w:val="00FE1BC8"/>
    <w:rsid w:val="00FE1DB4"/>
    <w:rsid w:val="00FE248C"/>
    <w:rsid w:val="00FE2B0C"/>
    <w:rsid w:val="00FE322B"/>
    <w:rsid w:val="00FE40C8"/>
    <w:rsid w:val="00FE42F0"/>
    <w:rsid w:val="00FE4311"/>
    <w:rsid w:val="00FE46E7"/>
    <w:rsid w:val="00FE4CAC"/>
    <w:rsid w:val="00FE5E7F"/>
    <w:rsid w:val="00FE6B5E"/>
    <w:rsid w:val="00FE7AE0"/>
    <w:rsid w:val="00FF0C8B"/>
    <w:rsid w:val="00FF0E47"/>
    <w:rsid w:val="00FF160F"/>
    <w:rsid w:val="00FF193A"/>
    <w:rsid w:val="00FF1F2A"/>
    <w:rsid w:val="00FF2617"/>
    <w:rsid w:val="00FF327E"/>
    <w:rsid w:val="00FF3793"/>
    <w:rsid w:val="00FF39B9"/>
    <w:rsid w:val="00FF5C8F"/>
    <w:rsid w:val="00FF633F"/>
    <w:rsid w:val="00FF63B5"/>
    <w:rsid w:val="00FF743F"/>
    <w:rsid w:val="00FF751A"/>
    <w:rsid w:val="00FF769D"/>
    <w:rsid w:val="00FF7E4D"/>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F0C3"/>
  <w15:docId w15:val="{1168A069-C333-499B-A064-A90E8480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he Text"/>
    <w:qFormat/>
    <w:rsid w:val="00096A17"/>
    <w:pPr>
      <w:ind w:firstLine="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8C33DC"/>
    <w:pPr>
      <w:keepNext/>
      <w:numPr>
        <w:numId w:val="20"/>
      </w:numPr>
      <w:tabs>
        <w:tab w:val="left" w:pos="0"/>
      </w:tabs>
      <w:spacing w:before="240" w:after="120"/>
      <w:ind w:left="0" w:firstLine="0"/>
      <w:jc w:val="center"/>
      <w:outlineLvl w:val="0"/>
    </w:pPr>
    <w:rPr>
      <w:smallCaps/>
    </w:rPr>
  </w:style>
  <w:style w:type="paragraph" w:styleId="Heading2">
    <w:name w:val="heading 2"/>
    <w:basedOn w:val="Normal"/>
    <w:next w:val="Normal"/>
    <w:link w:val="Heading2Char"/>
    <w:uiPriority w:val="9"/>
    <w:unhideWhenUsed/>
    <w:rsid w:val="00585757"/>
    <w:pPr>
      <w:keepNext/>
      <w:keepLines/>
      <w:numPr>
        <w:numId w:val="7"/>
      </w:numPr>
      <w:tabs>
        <w:tab w:val="left" w:pos="0"/>
      </w:tabs>
      <w:spacing w:before="240" w:after="120"/>
      <w:jc w:val="center"/>
      <w:outlineLvl w:val="1"/>
    </w:pPr>
    <w:rPr>
      <w:rFonts w:eastAsiaTheme="majorEastAsia"/>
      <w:i/>
    </w:rPr>
  </w:style>
  <w:style w:type="paragraph" w:styleId="Heading3">
    <w:name w:val="heading 3"/>
    <w:basedOn w:val="Heading2"/>
    <w:next w:val="Normal"/>
    <w:link w:val="Heading3Char"/>
    <w:uiPriority w:val="9"/>
    <w:unhideWhenUsed/>
    <w:rsid w:val="002D7CB5"/>
    <w:pPr>
      <w:numPr>
        <w:numId w:val="5"/>
      </w:numPr>
      <w:jc w:val="left"/>
      <w:outlineLvl w:val="2"/>
    </w:pPr>
    <w:rPr>
      <w:i w:val="0"/>
      <w:u w:val="single"/>
    </w:rPr>
  </w:style>
  <w:style w:type="paragraph" w:styleId="Heading4">
    <w:name w:val="heading 4"/>
    <w:basedOn w:val="Heading2"/>
    <w:next w:val="Normal"/>
    <w:link w:val="Heading4Char"/>
    <w:uiPriority w:val="9"/>
    <w:unhideWhenUsed/>
    <w:qFormat/>
    <w:rsid w:val="008C33DC"/>
    <w:pPr>
      <w:numPr>
        <w:numId w:val="30"/>
      </w:numPr>
      <w:ind w:left="0" w:firstLine="0"/>
      <w:outlineLvl w:val="3"/>
    </w:pPr>
  </w:style>
  <w:style w:type="paragraph" w:styleId="Heading5">
    <w:name w:val="heading 5"/>
    <w:basedOn w:val="Heading3"/>
    <w:next w:val="Normal"/>
    <w:link w:val="Heading5Char"/>
    <w:uiPriority w:val="9"/>
    <w:unhideWhenUsed/>
    <w:qFormat/>
    <w:rsid w:val="00585757"/>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DC"/>
    <w:rPr>
      <w:rFonts w:ascii="Times New Roman" w:hAnsi="Times New Roman" w:cs="Times New Roman"/>
      <w:smallCaps/>
      <w:sz w:val="24"/>
      <w:szCs w:val="24"/>
    </w:rPr>
  </w:style>
  <w:style w:type="paragraph" w:styleId="NoSpacing">
    <w:name w:val="No Spacing"/>
    <w:aliases w:val="Block Quotes"/>
    <w:basedOn w:val="Normal"/>
    <w:uiPriority w:val="1"/>
    <w:qFormat/>
    <w:rsid w:val="00D36EFD"/>
    <w:pPr>
      <w:ind w:left="450" w:right="360" w:firstLine="0"/>
    </w:pPr>
  </w:style>
  <w:style w:type="paragraph" w:styleId="FootnoteText">
    <w:name w:val="footnote text"/>
    <w:basedOn w:val="Normal"/>
    <w:link w:val="FootnoteTextChar"/>
    <w:uiPriority w:val="99"/>
    <w:unhideWhenUsed/>
    <w:rsid w:val="00E174C8"/>
    <w:rPr>
      <w:sz w:val="20"/>
      <w:szCs w:val="20"/>
    </w:rPr>
  </w:style>
  <w:style w:type="character" w:customStyle="1" w:styleId="FootnoteTextChar">
    <w:name w:val="Footnote Text Char"/>
    <w:basedOn w:val="DefaultParagraphFont"/>
    <w:link w:val="FootnoteText"/>
    <w:uiPriority w:val="99"/>
    <w:rsid w:val="00E174C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174C8"/>
    <w:rPr>
      <w:vertAlign w:val="superscript"/>
    </w:rPr>
  </w:style>
  <w:style w:type="character" w:customStyle="1" w:styleId="Heading2Char">
    <w:name w:val="Heading 2 Char"/>
    <w:basedOn w:val="DefaultParagraphFont"/>
    <w:link w:val="Heading2"/>
    <w:uiPriority w:val="9"/>
    <w:rsid w:val="00377309"/>
    <w:rPr>
      <w:rFonts w:ascii="Times New Roman" w:eastAsiaTheme="majorEastAsia" w:hAnsi="Times New Roman" w:cs="Times New Roman"/>
      <w:i/>
      <w:sz w:val="24"/>
      <w:szCs w:val="24"/>
    </w:rPr>
  </w:style>
  <w:style w:type="character" w:styleId="Hyperlink">
    <w:name w:val="Hyperlink"/>
    <w:basedOn w:val="DefaultParagraphFont"/>
    <w:uiPriority w:val="99"/>
    <w:unhideWhenUsed/>
    <w:rsid w:val="00FB3203"/>
    <w:rPr>
      <w:color w:val="0563C1" w:themeColor="hyperlink"/>
      <w:u w:val="single"/>
    </w:rPr>
  </w:style>
  <w:style w:type="character" w:styleId="CommentReference">
    <w:name w:val="annotation reference"/>
    <w:basedOn w:val="DefaultParagraphFont"/>
    <w:uiPriority w:val="99"/>
    <w:semiHidden/>
    <w:unhideWhenUsed/>
    <w:rsid w:val="005E6253"/>
    <w:rPr>
      <w:sz w:val="16"/>
      <w:szCs w:val="16"/>
    </w:rPr>
  </w:style>
  <w:style w:type="paragraph" w:styleId="CommentText">
    <w:name w:val="annotation text"/>
    <w:basedOn w:val="Normal"/>
    <w:link w:val="CommentTextChar"/>
    <w:uiPriority w:val="99"/>
    <w:semiHidden/>
    <w:unhideWhenUsed/>
    <w:rsid w:val="005E6253"/>
    <w:rPr>
      <w:sz w:val="20"/>
      <w:szCs w:val="20"/>
    </w:rPr>
  </w:style>
  <w:style w:type="character" w:customStyle="1" w:styleId="CommentTextChar">
    <w:name w:val="Comment Text Char"/>
    <w:basedOn w:val="DefaultParagraphFont"/>
    <w:link w:val="CommentText"/>
    <w:uiPriority w:val="99"/>
    <w:semiHidden/>
    <w:rsid w:val="005E62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6253"/>
    <w:rPr>
      <w:b/>
      <w:bCs/>
    </w:rPr>
  </w:style>
  <w:style w:type="character" w:customStyle="1" w:styleId="CommentSubjectChar">
    <w:name w:val="Comment Subject Char"/>
    <w:basedOn w:val="CommentTextChar"/>
    <w:link w:val="CommentSubject"/>
    <w:uiPriority w:val="99"/>
    <w:semiHidden/>
    <w:rsid w:val="005E625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E6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53"/>
    <w:rPr>
      <w:rFonts w:ascii="Segoe UI" w:hAnsi="Segoe UI" w:cs="Segoe UI"/>
      <w:sz w:val="18"/>
      <w:szCs w:val="18"/>
    </w:rPr>
  </w:style>
  <w:style w:type="paragraph" w:styleId="ListBullet">
    <w:name w:val="List Bullet"/>
    <w:basedOn w:val="Normal"/>
    <w:uiPriority w:val="99"/>
    <w:unhideWhenUsed/>
    <w:rsid w:val="006D53B5"/>
    <w:pPr>
      <w:numPr>
        <w:numId w:val="2"/>
      </w:numPr>
      <w:contextualSpacing/>
    </w:pPr>
  </w:style>
  <w:style w:type="character" w:customStyle="1" w:styleId="Heading3Char">
    <w:name w:val="Heading 3 Char"/>
    <w:basedOn w:val="DefaultParagraphFont"/>
    <w:link w:val="Heading3"/>
    <w:uiPriority w:val="9"/>
    <w:rsid w:val="002D7CB5"/>
    <w:rPr>
      <w:rFonts w:ascii="Times New Roman" w:eastAsiaTheme="majorEastAsia" w:hAnsi="Times New Roman" w:cs="Times New Roman"/>
      <w:sz w:val="24"/>
      <w:szCs w:val="24"/>
      <w:u w:val="single"/>
    </w:rPr>
  </w:style>
  <w:style w:type="paragraph" w:styleId="ListParagraph">
    <w:name w:val="List Paragraph"/>
    <w:basedOn w:val="Normal"/>
    <w:uiPriority w:val="34"/>
    <w:qFormat/>
    <w:rsid w:val="002D7CB5"/>
    <w:pPr>
      <w:ind w:left="720"/>
      <w:contextualSpacing/>
    </w:pPr>
  </w:style>
  <w:style w:type="paragraph" w:styleId="EndnoteText">
    <w:name w:val="endnote text"/>
    <w:basedOn w:val="Normal"/>
    <w:link w:val="EndnoteTextChar"/>
    <w:uiPriority w:val="99"/>
    <w:semiHidden/>
    <w:unhideWhenUsed/>
    <w:rsid w:val="00A64E8A"/>
    <w:rPr>
      <w:sz w:val="20"/>
      <w:szCs w:val="20"/>
    </w:rPr>
  </w:style>
  <w:style w:type="character" w:customStyle="1" w:styleId="EndnoteTextChar">
    <w:name w:val="Endnote Text Char"/>
    <w:basedOn w:val="DefaultParagraphFont"/>
    <w:link w:val="EndnoteText"/>
    <w:uiPriority w:val="99"/>
    <w:semiHidden/>
    <w:rsid w:val="00A64E8A"/>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64E8A"/>
    <w:rPr>
      <w:vertAlign w:val="superscript"/>
    </w:rPr>
  </w:style>
  <w:style w:type="paragraph" w:styleId="Header">
    <w:name w:val="header"/>
    <w:basedOn w:val="Normal"/>
    <w:link w:val="HeaderChar"/>
    <w:uiPriority w:val="99"/>
    <w:unhideWhenUsed/>
    <w:rsid w:val="00E0740B"/>
    <w:pPr>
      <w:tabs>
        <w:tab w:val="center" w:pos="4680"/>
        <w:tab w:val="right" w:pos="9360"/>
      </w:tabs>
    </w:pPr>
  </w:style>
  <w:style w:type="character" w:customStyle="1" w:styleId="HeaderChar">
    <w:name w:val="Header Char"/>
    <w:basedOn w:val="DefaultParagraphFont"/>
    <w:link w:val="Header"/>
    <w:uiPriority w:val="99"/>
    <w:rsid w:val="00E0740B"/>
    <w:rPr>
      <w:rFonts w:ascii="Times New Roman" w:hAnsi="Times New Roman" w:cs="Times New Roman"/>
      <w:sz w:val="24"/>
      <w:szCs w:val="24"/>
    </w:rPr>
  </w:style>
  <w:style w:type="paragraph" w:styleId="Footer">
    <w:name w:val="footer"/>
    <w:basedOn w:val="Normal"/>
    <w:link w:val="FooterChar"/>
    <w:uiPriority w:val="99"/>
    <w:unhideWhenUsed/>
    <w:rsid w:val="00E0740B"/>
    <w:pPr>
      <w:tabs>
        <w:tab w:val="center" w:pos="4680"/>
        <w:tab w:val="right" w:pos="9360"/>
      </w:tabs>
    </w:pPr>
  </w:style>
  <w:style w:type="character" w:customStyle="1" w:styleId="FooterChar">
    <w:name w:val="Footer Char"/>
    <w:basedOn w:val="DefaultParagraphFont"/>
    <w:link w:val="Footer"/>
    <w:uiPriority w:val="99"/>
    <w:rsid w:val="00E0740B"/>
    <w:rPr>
      <w:rFonts w:ascii="Times New Roman" w:hAnsi="Times New Roman" w:cs="Times New Roman"/>
      <w:sz w:val="24"/>
      <w:szCs w:val="24"/>
    </w:rPr>
  </w:style>
  <w:style w:type="character" w:customStyle="1" w:styleId="Heading4Char">
    <w:name w:val="Heading 4 Char"/>
    <w:basedOn w:val="DefaultParagraphFont"/>
    <w:link w:val="Heading4"/>
    <w:uiPriority w:val="9"/>
    <w:rsid w:val="008C33DC"/>
    <w:rPr>
      <w:rFonts w:ascii="Times New Roman" w:eastAsiaTheme="majorEastAsia" w:hAnsi="Times New Roman" w:cs="Times New Roman"/>
      <w:i/>
      <w:sz w:val="24"/>
      <w:szCs w:val="24"/>
    </w:rPr>
  </w:style>
  <w:style w:type="character" w:customStyle="1" w:styleId="Heading5Char">
    <w:name w:val="Heading 5 Char"/>
    <w:basedOn w:val="DefaultParagraphFont"/>
    <w:link w:val="Heading5"/>
    <w:uiPriority w:val="9"/>
    <w:rsid w:val="00585757"/>
    <w:rPr>
      <w:rFonts w:ascii="Times New Roman" w:eastAsiaTheme="majorEastAsia" w:hAnsi="Times New Roman" w:cs="Times New Roman"/>
      <w:sz w:val="24"/>
      <w:szCs w:val="24"/>
      <w:u w:val="single"/>
    </w:rPr>
  </w:style>
  <w:style w:type="character" w:customStyle="1" w:styleId="gb-title-box-title1">
    <w:name w:val="gb-title-box-title1"/>
    <w:basedOn w:val="DefaultParagraphFont"/>
    <w:rsid w:val="00B36651"/>
    <w:rPr>
      <w:b/>
      <w:bCs/>
    </w:rPr>
  </w:style>
  <w:style w:type="paragraph" w:styleId="TOCHeading">
    <w:name w:val="TOC Heading"/>
    <w:basedOn w:val="Heading1"/>
    <w:next w:val="Normal"/>
    <w:uiPriority w:val="39"/>
    <w:unhideWhenUsed/>
    <w:qFormat/>
    <w:rsid w:val="004318F5"/>
    <w:pPr>
      <w:keepLines/>
      <w:numPr>
        <w:numId w:val="0"/>
      </w:numPr>
      <w:tabs>
        <w:tab w:val="clear" w:pos="0"/>
      </w:tabs>
      <w:spacing w:after="0" w:line="259" w:lineRule="auto"/>
      <w:jc w:val="left"/>
      <w:outlineLvl w:val="9"/>
    </w:pPr>
    <w:rPr>
      <w:rFonts w:asciiTheme="majorHAnsi" w:eastAsiaTheme="majorEastAsia" w:hAnsiTheme="majorHAnsi" w:cstheme="majorBidi"/>
      <w:b/>
      <w:smallCaps w:val="0"/>
      <w:color w:val="2E74B5" w:themeColor="accent1" w:themeShade="BF"/>
      <w:sz w:val="32"/>
      <w:szCs w:val="32"/>
    </w:rPr>
  </w:style>
  <w:style w:type="paragraph" w:styleId="TOC1">
    <w:name w:val="toc 1"/>
    <w:basedOn w:val="Normal"/>
    <w:next w:val="Normal"/>
    <w:autoRedefine/>
    <w:uiPriority w:val="39"/>
    <w:unhideWhenUsed/>
    <w:rsid w:val="004318F5"/>
    <w:pPr>
      <w:spacing w:before="360"/>
      <w:jc w:val="left"/>
    </w:pPr>
    <w:rPr>
      <w:rFonts w:asciiTheme="majorHAnsi" w:hAnsiTheme="majorHAnsi"/>
      <w:b/>
      <w:bCs/>
      <w:caps/>
    </w:rPr>
  </w:style>
  <w:style w:type="paragraph" w:styleId="TOC2">
    <w:name w:val="toc 2"/>
    <w:basedOn w:val="Normal"/>
    <w:next w:val="Normal"/>
    <w:autoRedefine/>
    <w:uiPriority w:val="39"/>
    <w:unhideWhenUsed/>
    <w:rsid w:val="002C675D"/>
    <w:pPr>
      <w:spacing w:before="240"/>
      <w:jc w:val="left"/>
    </w:pPr>
    <w:rPr>
      <w:rFonts w:asciiTheme="minorHAnsi" w:hAnsiTheme="minorHAnsi"/>
      <w:b/>
      <w:bCs/>
      <w:sz w:val="20"/>
      <w:szCs w:val="20"/>
    </w:rPr>
  </w:style>
  <w:style w:type="paragraph" w:styleId="TOC3">
    <w:name w:val="toc 3"/>
    <w:basedOn w:val="Normal"/>
    <w:next w:val="Normal"/>
    <w:autoRedefine/>
    <w:uiPriority w:val="39"/>
    <w:unhideWhenUsed/>
    <w:rsid w:val="002C675D"/>
    <w:pPr>
      <w:ind w:left="240"/>
      <w:jc w:val="left"/>
    </w:pPr>
    <w:rPr>
      <w:rFonts w:asciiTheme="minorHAnsi" w:hAnsiTheme="minorHAnsi"/>
      <w:sz w:val="20"/>
      <w:szCs w:val="20"/>
    </w:rPr>
  </w:style>
  <w:style w:type="paragraph" w:styleId="TOC4">
    <w:name w:val="toc 4"/>
    <w:basedOn w:val="Normal"/>
    <w:next w:val="Normal"/>
    <w:autoRedefine/>
    <w:uiPriority w:val="39"/>
    <w:unhideWhenUsed/>
    <w:rsid w:val="00127AFB"/>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127AFB"/>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127AFB"/>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127AFB"/>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127AFB"/>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127AFB"/>
    <w:pPr>
      <w:ind w:left="1680"/>
      <w:jc w:val="left"/>
    </w:pPr>
    <w:rPr>
      <w:rFonts w:asciiTheme="minorHAnsi" w:hAnsiTheme="minorHAnsi"/>
      <w:sz w:val="20"/>
      <w:szCs w:val="20"/>
    </w:rPr>
  </w:style>
  <w:style w:type="table" w:styleId="TableGrid">
    <w:name w:val="Table Grid"/>
    <w:basedOn w:val="TableNormal"/>
    <w:uiPriority w:val="39"/>
    <w:rsid w:val="003D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tarpage">
    <w:name w:val="co_starpage"/>
    <w:basedOn w:val="DefaultParagraphFont"/>
    <w:rsid w:val="009B66DE"/>
  </w:style>
  <w:style w:type="paragraph" w:customStyle="1" w:styleId="Default">
    <w:name w:val="Default"/>
    <w:rsid w:val="00FE4CAC"/>
    <w:pPr>
      <w:autoSpaceDE w:val="0"/>
      <w:autoSpaceDN w:val="0"/>
      <w:adjustRightInd w:val="0"/>
      <w:spacing w:after="0" w:line="240" w:lineRule="auto"/>
    </w:pPr>
    <w:rPr>
      <w:rFonts w:ascii="Code" w:hAnsi="Code" w:cs="Code"/>
      <w:color w:val="000000"/>
      <w:sz w:val="24"/>
      <w:szCs w:val="24"/>
    </w:rPr>
  </w:style>
  <w:style w:type="character" w:customStyle="1" w:styleId="cosearchterm">
    <w:name w:val="co_searchterm"/>
    <w:basedOn w:val="DefaultParagraphFont"/>
    <w:rsid w:val="0057122F"/>
  </w:style>
  <w:style w:type="character" w:customStyle="1" w:styleId="stnd1">
    <w:name w:val="stnd1"/>
    <w:basedOn w:val="DefaultParagraphFont"/>
    <w:rsid w:val="00D53405"/>
    <w:rPr>
      <w:rFonts w:ascii="Arial" w:hAnsi="Arial" w:cs="Arial" w:hint="default"/>
      <w:sz w:val="20"/>
      <w:szCs w:val="20"/>
    </w:rPr>
  </w:style>
  <w:style w:type="character" w:styleId="FollowedHyperlink">
    <w:name w:val="FollowedHyperlink"/>
    <w:basedOn w:val="DefaultParagraphFont"/>
    <w:uiPriority w:val="99"/>
    <w:semiHidden/>
    <w:unhideWhenUsed/>
    <w:rsid w:val="00B76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8891">
      <w:bodyDiv w:val="1"/>
      <w:marLeft w:val="0"/>
      <w:marRight w:val="0"/>
      <w:marTop w:val="0"/>
      <w:marBottom w:val="0"/>
      <w:divBdr>
        <w:top w:val="none" w:sz="0" w:space="0" w:color="auto"/>
        <w:left w:val="none" w:sz="0" w:space="0" w:color="auto"/>
        <w:bottom w:val="none" w:sz="0" w:space="0" w:color="auto"/>
        <w:right w:val="none" w:sz="0" w:space="0" w:color="auto"/>
      </w:divBdr>
      <w:divsChild>
        <w:div w:id="1460950305">
          <w:marLeft w:val="0"/>
          <w:marRight w:val="0"/>
          <w:marTop w:val="0"/>
          <w:marBottom w:val="0"/>
          <w:divBdr>
            <w:top w:val="none" w:sz="0" w:space="0" w:color="auto"/>
            <w:left w:val="none" w:sz="0" w:space="0" w:color="auto"/>
            <w:bottom w:val="none" w:sz="0" w:space="0" w:color="auto"/>
            <w:right w:val="none" w:sz="0" w:space="0" w:color="auto"/>
          </w:divBdr>
          <w:divsChild>
            <w:div w:id="6283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3361">
      <w:bodyDiv w:val="1"/>
      <w:marLeft w:val="0"/>
      <w:marRight w:val="0"/>
      <w:marTop w:val="0"/>
      <w:marBottom w:val="0"/>
      <w:divBdr>
        <w:top w:val="none" w:sz="0" w:space="0" w:color="auto"/>
        <w:left w:val="none" w:sz="0" w:space="0" w:color="auto"/>
        <w:bottom w:val="none" w:sz="0" w:space="0" w:color="auto"/>
        <w:right w:val="none" w:sz="0" w:space="0" w:color="auto"/>
      </w:divBdr>
      <w:divsChild>
        <w:div w:id="1164202170">
          <w:marLeft w:val="0"/>
          <w:marRight w:val="0"/>
          <w:marTop w:val="0"/>
          <w:marBottom w:val="0"/>
          <w:divBdr>
            <w:top w:val="none" w:sz="0" w:space="0" w:color="auto"/>
            <w:left w:val="none" w:sz="0" w:space="0" w:color="auto"/>
            <w:bottom w:val="none" w:sz="0" w:space="0" w:color="auto"/>
            <w:right w:val="none" w:sz="0" w:space="0" w:color="auto"/>
          </w:divBdr>
          <w:divsChild>
            <w:div w:id="12555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3455">
      <w:bodyDiv w:val="1"/>
      <w:marLeft w:val="0"/>
      <w:marRight w:val="0"/>
      <w:marTop w:val="0"/>
      <w:marBottom w:val="0"/>
      <w:divBdr>
        <w:top w:val="none" w:sz="0" w:space="0" w:color="auto"/>
        <w:left w:val="none" w:sz="0" w:space="0" w:color="auto"/>
        <w:bottom w:val="none" w:sz="0" w:space="0" w:color="auto"/>
        <w:right w:val="none" w:sz="0" w:space="0" w:color="auto"/>
      </w:divBdr>
      <w:divsChild>
        <w:div w:id="1957103715">
          <w:marLeft w:val="0"/>
          <w:marRight w:val="0"/>
          <w:marTop w:val="0"/>
          <w:marBottom w:val="0"/>
          <w:divBdr>
            <w:top w:val="none" w:sz="0" w:space="0" w:color="auto"/>
            <w:left w:val="none" w:sz="0" w:space="0" w:color="auto"/>
            <w:bottom w:val="none" w:sz="0" w:space="0" w:color="auto"/>
            <w:right w:val="none" w:sz="0" w:space="0" w:color="auto"/>
          </w:divBdr>
          <w:divsChild>
            <w:div w:id="168564650">
              <w:marLeft w:val="0"/>
              <w:marRight w:val="0"/>
              <w:marTop w:val="630"/>
              <w:marBottom w:val="0"/>
              <w:divBdr>
                <w:top w:val="single" w:sz="12" w:space="0" w:color="auto"/>
                <w:left w:val="none" w:sz="0" w:space="0" w:color="auto"/>
                <w:bottom w:val="none" w:sz="0" w:space="0" w:color="auto"/>
                <w:right w:val="none" w:sz="0" w:space="0" w:color="auto"/>
              </w:divBdr>
              <w:divsChild>
                <w:div w:id="137723289">
                  <w:marLeft w:val="0"/>
                  <w:marRight w:val="0"/>
                  <w:marTop w:val="0"/>
                  <w:marBottom w:val="0"/>
                  <w:divBdr>
                    <w:top w:val="none" w:sz="0" w:space="0" w:color="auto"/>
                    <w:left w:val="none" w:sz="0" w:space="0" w:color="auto"/>
                    <w:bottom w:val="none" w:sz="0" w:space="0" w:color="auto"/>
                    <w:right w:val="none" w:sz="0" w:space="0" w:color="auto"/>
                  </w:divBdr>
                  <w:divsChild>
                    <w:div w:id="1633250422">
                      <w:marLeft w:val="0"/>
                      <w:marRight w:val="150"/>
                      <w:marTop w:val="0"/>
                      <w:marBottom w:val="90"/>
                      <w:divBdr>
                        <w:top w:val="none" w:sz="0" w:space="0" w:color="auto"/>
                        <w:left w:val="none" w:sz="0" w:space="0" w:color="auto"/>
                        <w:bottom w:val="none" w:sz="0" w:space="0" w:color="auto"/>
                        <w:right w:val="none" w:sz="0" w:space="0" w:color="auto"/>
                      </w:divBdr>
                      <w:divsChild>
                        <w:div w:id="6386534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55790146">
      <w:bodyDiv w:val="1"/>
      <w:marLeft w:val="0"/>
      <w:marRight w:val="0"/>
      <w:marTop w:val="0"/>
      <w:marBottom w:val="0"/>
      <w:divBdr>
        <w:top w:val="none" w:sz="0" w:space="0" w:color="auto"/>
        <w:left w:val="none" w:sz="0" w:space="0" w:color="auto"/>
        <w:bottom w:val="none" w:sz="0" w:space="0" w:color="auto"/>
        <w:right w:val="none" w:sz="0" w:space="0" w:color="auto"/>
      </w:divBdr>
      <w:divsChild>
        <w:div w:id="254284398">
          <w:marLeft w:val="0"/>
          <w:marRight w:val="0"/>
          <w:marTop w:val="0"/>
          <w:marBottom w:val="0"/>
          <w:divBdr>
            <w:top w:val="none" w:sz="0" w:space="0" w:color="auto"/>
            <w:left w:val="none" w:sz="0" w:space="0" w:color="auto"/>
            <w:bottom w:val="none" w:sz="0" w:space="0" w:color="auto"/>
            <w:right w:val="none" w:sz="0" w:space="0" w:color="auto"/>
          </w:divBdr>
          <w:divsChild>
            <w:div w:id="376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1322">
      <w:bodyDiv w:val="1"/>
      <w:marLeft w:val="0"/>
      <w:marRight w:val="0"/>
      <w:marTop w:val="0"/>
      <w:marBottom w:val="0"/>
      <w:divBdr>
        <w:top w:val="none" w:sz="0" w:space="0" w:color="auto"/>
        <w:left w:val="none" w:sz="0" w:space="0" w:color="auto"/>
        <w:bottom w:val="none" w:sz="0" w:space="0" w:color="auto"/>
        <w:right w:val="none" w:sz="0" w:space="0" w:color="auto"/>
      </w:divBdr>
      <w:divsChild>
        <w:div w:id="492111212">
          <w:marLeft w:val="0"/>
          <w:marRight w:val="0"/>
          <w:marTop w:val="0"/>
          <w:marBottom w:val="0"/>
          <w:divBdr>
            <w:top w:val="none" w:sz="0" w:space="0" w:color="auto"/>
            <w:left w:val="none" w:sz="0" w:space="0" w:color="auto"/>
            <w:bottom w:val="none" w:sz="0" w:space="0" w:color="auto"/>
            <w:right w:val="none" w:sz="0" w:space="0" w:color="auto"/>
          </w:divBdr>
          <w:divsChild>
            <w:div w:id="1810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2486">
      <w:bodyDiv w:val="1"/>
      <w:marLeft w:val="0"/>
      <w:marRight w:val="0"/>
      <w:marTop w:val="0"/>
      <w:marBottom w:val="0"/>
      <w:divBdr>
        <w:top w:val="none" w:sz="0" w:space="0" w:color="auto"/>
        <w:left w:val="none" w:sz="0" w:space="0" w:color="auto"/>
        <w:bottom w:val="none" w:sz="0" w:space="0" w:color="auto"/>
        <w:right w:val="none" w:sz="0" w:space="0" w:color="auto"/>
      </w:divBdr>
      <w:divsChild>
        <w:div w:id="2059471419">
          <w:marLeft w:val="0"/>
          <w:marRight w:val="0"/>
          <w:marTop w:val="0"/>
          <w:marBottom w:val="0"/>
          <w:divBdr>
            <w:top w:val="none" w:sz="0" w:space="0" w:color="auto"/>
            <w:left w:val="none" w:sz="0" w:space="0" w:color="auto"/>
            <w:bottom w:val="none" w:sz="0" w:space="0" w:color="auto"/>
            <w:right w:val="none" w:sz="0" w:space="0" w:color="auto"/>
          </w:divBdr>
          <w:divsChild>
            <w:div w:id="1005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2679">
      <w:bodyDiv w:val="1"/>
      <w:marLeft w:val="0"/>
      <w:marRight w:val="0"/>
      <w:marTop w:val="0"/>
      <w:marBottom w:val="0"/>
      <w:divBdr>
        <w:top w:val="none" w:sz="0" w:space="0" w:color="auto"/>
        <w:left w:val="none" w:sz="0" w:space="0" w:color="auto"/>
        <w:bottom w:val="none" w:sz="0" w:space="0" w:color="auto"/>
        <w:right w:val="none" w:sz="0" w:space="0" w:color="auto"/>
      </w:divBdr>
      <w:divsChild>
        <w:div w:id="341862631">
          <w:marLeft w:val="0"/>
          <w:marRight w:val="0"/>
          <w:marTop w:val="0"/>
          <w:marBottom w:val="0"/>
          <w:divBdr>
            <w:top w:val="none" w:sz="0" w:space="0" w:color="auto"/>
            <w:left w:val="none" w:sz="0" w:space="0" w:color="auto"/>
            <w:bottom w:val="none" w:sz="0" w:space="0" w:color="auto"/>
            <w:right w:val="none" w:sz="0" w:space="0" w:color="auto"/>
          </w:divBdr>
          <w:divsChild>
            <w:div w:id="2983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7989">
      <w:bodyDiv w:val="1"/>
      <w:marLeft w:val="0"/>
      <w:marRight w:val="0"/>
      <w:marTop w:val="0"/>
      <w:marBottom w:val="0"/>
      <w:divBdr>
        <w:top w:val="none" w:sz="0" w:space="0" w:color="auto"/>
        <w:left w:val="none" w:sz="0" w:space="0" w:color="auto"/>
        <w:bottom w:val="none" w:sz="0" w:space="0" w:color="auto"/>
        <w:right w:val="none" w:sz="0" w:space="0" w:color="auto"/>
      </w:divBdr>
      <w:divsChild>
        <w:div w:id="693189437">
          <w:marLeft w:val="0"/>
          <w:marRight w:val="0"/>
          <w:marTop w:val="0"/>
          <w:marBottom w:val="0"/>
          <w:divBdr>
            <w:top w:val="none" w:sz="0" w:space="0" w:color="auto"/>
            <w:left w:val="none" w:sz="0" w:space="0" w:color="auto"/>
            <w:bottom w:val="none" w:sz="0" w:space="0" w:color="auto"/>
            <w:right w:val="none" w:sz="0" w:space="0" w:color="auto"/>
          </w:divBdr>
          <w:divsChild>
            <w:div w:id="4532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016">
      <w:bodyDiv w:val="1"/>
      <w:marLeft w:val="0"/>
      <w:marRight w:val="0"/>
      <w:marTop w:val="0"/>
      <w:marBottom w:val="0"/>
      <w:divBdr>
        <w:top w:val="none" w:sz="0" w:space="0" w:color="auto"/>
        <w:left w:val="none" w:sz="0" w:space="0" w:color="auto"/>
        <w:bottom w:val="none" w:sz="0" w:space="0" w:color="auto"/>
        <w:right w:val="none" w:sz="0" w:space="0" w:color="auto"/>
      </w:divBdr>
    </w:div>
    <w:div w:id="937102633">
      <w:bodyDiv w:val="1"/>
      <w:marLeft w:val="0"/>
      <w:marRight w:val="0"/>
      <w:marTop w:val="0"/>
      <w:marBottom w:val="0"/>
      <w:divBdr>
        <w:top w:val="none" w:sz="0" w:space="0" w:color="auto"/>
        <w:left w:val="none" w:sz="0" w:space="0" w:color="auto"/>
        <w:bottom w:val="none" w:sz="0" w:space="0" w:color="auto"/>
        <w:right w:val="none" w:sz="0" w:space="0" w:color="auto"/>
      </w:divBdr>
      <w:divsChild>
        <w:div w:id="339357043">
          <w:marLeft w:val="0"/>
          <w:marRight w:val="0"/>
          <w:marTop w:val="0"/>
          <w:marBottom w:val="0"/>
          <w:divBdr>
            <w:top w:val="none" w:sz="0" w:space="0" w:color="auto"/>
            <w:left w:val="none" w:sz="0" w:space="0" w:color="auto"/>
            <w:bottom w:val="none" w:sz="0" w:space="0" w:color="auto"/>
            <w:right w:val="none" w:sz="0" w:space="0" w:color="auto"/>
          </w:divBdr>
          <w:divsChild>
            <w:div w:id="15635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8745">
      <w:bodyDiv w:val="1"/>
      <w:marLeft w:val="0"/>
      <w:marRight w:val="0"/>
      <w:marTop w:val="0"/>
      <w:marBottom w:val="0"/>
      <w:divBdr>
        <w:top w:val="none" w:sz="0" w:space="0" w:color="auto"/>
        <w:left w:val="none" w:sz="0" w:space="0" w:color="auto"/>
        <w:bottom w:val="none" w:sz="0" w:space="0" w:color="auto"/>
        <w:right w:val="none" w:sz="0" w:space="0" w:color="auto"/>
      </w:divBdr>
      <w:divsChild>
        <w:div w:id="497038221">
          <w:marLeft w:val="0"/>
          <w:marRight w:val="0"/>
          <w:marTop w:val="0"/>
          <w:marBottom w:val="0"/>
          <w:divBdr>
            <w:top w:val="none" w:sz="0" w:space="0" w:color="auto"/>
            <w:left w:val="none" w:sz="0" w:space="0" w:color="auto"/>
            <w:bottom w:val="none" w:sz="0" w:space="0" w:color="auto"/>
            <w:right w:val="none" w:sz="0" w:space="0" w:color="auto"/>
          </w:divBdr>
          <w:divsChild>
            <w:div w:id="1252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1654">
      <w:bodyDiv w:val="1"/>
      <w:marLeft w:val="0"/>
      <w:marRight w:val="0"/>
      <w:marTop w:val="0"/>
      <w:marBottom w:val="0"/>
      <w:divBdr>
        <w:top w:val="none" w:sz="0" w:space="0" w:color="auto"/>
        <w:left w:val="none" w:sz="0" w:space="0" w:color="auto"/>
        <w:bottom w:val="none" w:sz="0" w:space="0" w:color="auto"/>
        <w:right w:val="none" w:sz="0" w:space="0" w:color="auto"/>
      </w:divBdr>
      <w:divsChild>
        <w:div w:id="1744253490">
          <w:marLeft w:val="0"/>
          <w:marRight w:val="0"/>
          <w:marTop w:val="0"/>
          <w:marBottom w:val="0"/>
          <w:divBdr>
            <w:top w:val="none" w:sz="0" w:space="0" w:color="auto"/>
            <w:left w:val="none" w:sz="0" w:space="0" w:color="auto"/>
            <w:bottom w:val="none" w:sz="0" w:space="0" w:color="auto"/>
            <w:right w:val="none" w:sz="0" w:space="0" w:color="auto"/>
          </w:divBdr>
          <w:divsChild>
            <w:div w:id="11619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9231">
      <w:bodyDiv w:val="1"/>
      <w:marLeft w:val="0"/>
      <w:marRight w:val="0"/>
      <w:marTop w:val="0"/>
      <w:marBottom w:val="0"/>
      <w:divBdr>
        <w:top w:val="none" w:sz="0" w:space="0" w:color="auto"/>
        <w:left w:val="none" w:sz="0" w:space="0" w:color="auto"/>
        <w:bottom w:val="none" w:sz="0" w:space="0" w:color="auto"/>
        <w:right w:val="none" w:sz="0" w:space="0" w:color="auto"/>
      </w:divBdr>
      <w:divsChild>
        <w:div w:id="1495685381">
          <w:marLeft w:val="0"/>
          <w:marRight w:val="0"/>
          <w:marTop w:val="0"/>
          <w:marBottom w:val="0"/>
          <w:divBdr>
            <w:top w:val="none" w:sz="0" w:space="0" w:color="auto"/>
            <w:left w:val="none" w:sz="0" w:space="0" w:color="auto"/>
            <w:bottom w:val="none" w:sz="0" w:space="0" w:color="auto"/>
            <w:right w:val="none" w:sz="0" w:space="0" w:color="auto"/>
          </w:divBdr>
          <w:divsChild>
            <w:div w:id="1374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4625">
      <w:bodyDiv w:val="1"/>
      <w:marLeft w:val="0"/>
      <w:marRight w:val="0"/>
      <w:marTop w:val="0"/>
      <w:marBottom w:val="0"/>
      <w:divBdr>
        <w:top w:val="none" w:sz="0" w:space="0" w:color="auto"/>
        <w:left w:val="none" w:sz="0" w:space="0" w:color="auto"/>
        <w:bottom w:val="none" w:sz="0" w:space="0" w:color="auto"/>
        <w:right w:val="none" w:sz="0" w:space="0" w:color="auto"/>
      </w:divBdr>
      <w:divsChild>
        <w:div w:id="89278998">
          <w:marLeft w:val="0"/>
          <w:marRight w:val="0"/>
          <w:marTop w:val="0"/>
          <w:marBottom w:val="0"/>
          <w:divBdr>
            <w:top w:val="none" w:sz="0" w:space="0" w:color="auto"/>
            <w:left w:val="none" w:sz="0" w:space="0" w:color="auto"/>
            <w:bottom w:val="none" w:sz="0" w:space="0" w:color="auto"/>
            <w:right w:val="none" w:sz="0" w:space="0" w:color="auto"/>
          </w:divBdr>
          <w:divsChild>
            <w:div w:id="259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5171">
      <w:bodyDiv w:val="1"/>
      <w:marLeft w:val="0"/>
      <w:marRight w:val="0"/>
      <w:marTop w:val="0"/>
      <w:marBottom w:val="0"/>
      <w:divBdr>
        <w:top w:val="none" w:sz="0" w:space="0" w:color="auto"/>
        <w:left w:val="none" w:sz="0" w:space="0" w:color="auto"/>
        <w:bottom w:val="none" w:sz="0" w:space="0" w:color="auto"/>
        <w:right w:val="none" w:sz="0" w:space="0" w:color="auto"/>
      </w:divBdr>
      <w:divsChild>
        <w:div w:id="1135443295">
          <w:marLeft w:val="0"/>
          <w:marRight w:val="0"/>
          <w:marTop w:val="0"/>
          <w:marBottom w:val="0"/>
          <w:divBdr>
            <w:top w:val="none" w:sz="0" w:space="0" w:color="auto"/>
            <w:left w:val="none" w:sz="0" w:space="0" w:color="auto"/>
            <w:bottom w:val="none" w:sz="0" w:space="0" w:color="auto"/>
            <w:right w:val="none" w:sz="0" w:space="0" w:color="auto"/>
          </w:divBdr>
          <w:divsChild>
            <w:div w:id="1363165997">
              <w:marLeft w:val="0"/>
              <w:marRight w:val="0"/>
              <w:marTop w:val="0"/>
              <w:marBottom w:val="0"/>
              <w:divBdr>
                <w:top w:val="single" w:sz="6" w:space="0" w:color="999999"/>
                <w:left w:val="single" w:sz="6" w:space="0" w:color="999999"/>
                <w:bottom w:val="single" w:sz="6" w:space="0" w:color="999999"/>
                <w:right w:val="single" w:sz="6" w:space="0" w:color="999999"/>
              </w:divBdr>
              <w:divsChild>
                <w:div w:id="555942507">
                  <w:marLeft w:val="0"/>
                  <w:marRight w:val="0"/>
                  <w:marTop w:val="0"/>
                  <w:marBottom w:val="0"/>
                  <w:divBdr>
                    <w:top w:val="none" w:sz="0" w:space="0" w:color="auto"/>
                    <w:left w:val="none" w:sz="0" w:space="0" w:color="auto"/>
                    <w:bottom w:val="none" w:sz="0" w:space="0" w:color="auto"/>
                    <w:right w:val="none" w:sz="0" w:space="0" w:color="auto"/>
                  </w:divBdr>
                  <w:divsChild>
                    <w:div w:id="1882552743">
                      <w:marLeft w:val="0"/>
                      <w:marRight w:val="0"/>
                      <w:marTop w:val="0"/>
                      <w:marBottom w:val="0"/>
                      <w:divBdr>
                        <w:top w:val="none" w:sz="0" w:space="0" w:color="auto"/>
                        <w:left w:val="none" w:sz="0" w:space="0" w:color="auto"/>
                        <w:bottom w:val="none" w:sz="0" w:space="0" w:color="auto"/>
                        <w:right w:val="none" w:sz="0" w:space="0" w:color="auto"/>
                      </w:divBdr>
                      <w:divsChild>
                        <w:div w:id="777527771">
                          <w:marLeft w:val="0"/>
                          <w:marRight w:val="0"/>
                          <w:marTop w:val="0"/>
                          <w:marBottom w:val="0"/>
                          <w:divBdr>
                            <w:top w:val="none" w:sz="0" w:space="0" w:color="auto"/>
                            <w:left w:val="none" w:sz="0" w:space="0" w:color="auto"/>
                            <w:bottom w:val="none" w:sz="0" w:space="0" w:color="auto"/>
                            <w:right w:val="none" w:sz="0" w:space="0" w:color="auto"/>
                          </w:divBdr>
                          <w:divsChild>
                            <w:div w:id="434403204">
                              <w:marLeft w:val="0"/>
                              <w:marRight w:val="0"/>
                              <w:marTop w:val="0"/>
                              <w:marBottom w:val="0"/>
                              <w:divBdr>
                                <w:top w:val="single" w:sz="6" w:space="3" w:color="EEEEEE"/>
                                <w:left w:val="none" w:sz="0" w:space="0" w:color="auto"/>
                                <w:bottom w:val="none" w:sz="0" w:space="0" w:color="auto"/>
                                <w:right w:val="none" w:sz="0" w:space="0" w:color="auto"/>
                              </w:divBdr>
                              <w:divsChild>
                                <w:div w:id="574164169">
                                  <w:marLeft w:val="0"/>
                                  <w:marRight w:val="0"/>
                                  <w:marTop w:val="0"/>
                                  <w:marBottom w:val="0"/>
                                  <w:divBdr>
                                    <w:top w:val="none" w:sz="0" w:space="0" w:color="auto"/>
                                    <w:left w:val="none" w:sz="0" w:space="0" w:color="auto"/>
                                    <w:bottom w:val="none" w:sz="0" w:space="0" w:color="auto"/>
                                    <w:right w:val="none" w:sz="0" w:space="0" w:color="auto"/>
                                  </w:divBdr>
                                  <w:divsChild>
                                    <w:div w:id="373426007">
                                      <w:marLeft w:val="0"/>
                                      <w:marRight w:val="0"/>
                                      <w:marTop w:val="0"/>
                                      <w:marBottom w:val="0"/>
                                      <w:divBdr>
                                        <w:top w:val="none" w:sz="0" w:space="0" w:color="auto"/>
                                        <w:left w:val="none" w:sz="0" w:space="0" w:color="auto"/>
                                        <w:bottom w:val="none" w:sz="0" w:space="0" w:color="auto"/>
                                        <w:right w:val="none" w:sz="0" w:space="0" w:color="auto"/>
                                      </w:divBdr>
                                      <w:divsChild>
                                        <w:div w:id="17666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194969">
      <w:bodyDiv w:val="1"/>
      <w:marLeft w:val="0"/>
      <w:marRight w:val="0"/>
      <w:marTop w:val="0"/>
      <w:marBottom w:val="0"/>
      <w:divBdr>
        <w:top w:val="none" w:sz="0" w:space="0" w:color="auto"/>
        <w:left w:val="none" w:sz="0" w:space="0" w:color="auto"/>
        <w:bottom w:val="none" w:sz="0" w:space="0" w:color="auto"/>
        <w:right w:val="none" w:sz="0" w:space="0" w:color="auto"/>
      </w:divBdr>
      <w:divsChild>
        <w:div w:id="491608039">
          <w:marLeft w:val="0"/>
          <w:marRight w:val="0"/>
          <w:marTop w:val="0"/>
          <w:marBottom w:val="0"/>
          <w:divBdr>
            <w:top w:val="none" w:sz="0" w:space="0" w:color="auto"/>
            <w:left w:val="none" w:sz="0" w:space="0" w:color="auto"/>
            <w:bottom w:val="none" w:sz="0" w:space="0" w:color="auto"/>
            <w:right w:val="none" w:sz="0" w:space="0" w:color="auto"/>
          </w:divBdr>
          <w:divsChild>
            <w:div w:id="266815963">
              <w:marLeft w:val="0"/>
              <w:marRight w:val="0"/>
              <w:marTop w:val="0"/>
              <w:marBottom w:val="0"/>
              <w:divBdr>
                <w:top w:val="none" w:sz="0" w:space="0" w:color="auto"/>
                <w:left w:val="none" w:sz="0" w:space="0" w:color="auto"/>
                <w:bottom w:val="none" w:sz="0" w:space="0" w:color="auto"/>
                <w:right w:val="none" w:sz="0" w:space="0" w:color="auto"/>
              </w:divBdr>
              <w:divsChild>
                <w:div w:id="424693075">
                  <w:marLeft w:val="0"/>
                  <w:marRight w:val="0"/>
                  <w:marTop w:val="0"/>
                  <w:marBottom w:val="0"/>
                  <w:divBdr>
                    <w:top w:val="none" w:sz="0" w:space="0" w:color="auto"/>
                    <w:left w:val="none" w:sz="0" w:space="0" w:color="auto"/>
                    <w:bottom w:val="none" w:sz="0" w:space="0" w:color="auto"/>
                    <w:right w:val="none" w:sz="0" w:space="0" w:color="auto"/>
                  </w:divBdr>
                </w:div>
              </w:divsChild>
            </w:div>
            <w:div w:id="1009987694">
              <w:marLeft w:val="0"/>
              <w:marRight w:val="0"/>
              <w:marTop w:val="0"/>
              <w:marBottom w:val="0"/>
              <w:divBdr>
                <w:top w:val="none" w:sz="0" w:space="0" w:color="auto"/>
                <w:left w:val="none" w:sz="0" w:space="0" w:color="auto"/>
                <w:bottom w:val="none" w:sz="0" w:space="0" w:color="auto"/>
                <w:right w:val="none" w:sz="0" w:space="0" w:color="auto"/>
              </w:divBdr>
              <w:divsChild>
                <w:div w:id="1769081545">
                  <w:marLeft w:val="0"/>
                  <w:marRight w:val="0"/>
                  <w:marTop w:val="0"/>
                  <w:marBottom w:val="0"/>
                  <w:divBdr>
                    <w:top w:val="none" w:sz="0" w:space="0" w:color="auto"/>
                    <w:left w:val="none" w:sz="0" w:space="0" w:color="auto"/>
                    <w:bottom w:val="none" w:sz="0" w:space="0" w:color="auto"/>
                    <w:right w:val="none" w:sz="0" w:space="0" w:color="auto"/>
                  </w:divBdr>
                </w:div>
              </w:divsChild>
            </w:div>
            <w:div w:id="2088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8950">
      <w:bodyDiv w:val="1"/>
      <w:marLeft w:val="0"/>
      <w:marRight w:val="0"/>
      <w:marTop w:val="0"/>
      <w:marBottom w:val="0"/>
      <w:divBdr>
        <w:top w:val="none" w:sz="0" w:space="0" w:color="auto"/>
        <w:left w:val="none" w:sz="0" w:space="0" w:color="auto"/>
        <w:bottom w:val="none" w:sz="0" w:space="0" w:color="auto"/>
        <w:right w:val="none" w:sz="0" w:space="0" w:color="auto"/>
      </w:divBdr>
      <w:divsChild>
        <w:div w:id="1199585997">
          <w:marLeft w:val="0"/>
          <w:marRight w:val="0"/>
          <w:marTop w:val="0"/>
          <w:marBottom w:val="0"/>
          <w:divBdr>
            <w:top w:val="none" w:sz="0" w:space="0" w:color="auto"/>
            <w:left w:val="none" w:sz="0" w:space="0" w:color="auto"/>
            <w:bottom w:val="none" w:sz="0" w:space="0" w:color="auto"/>
            <w:right w:val="none" w:sz="0" w:space="0" w:color="auto"/>
          </w:divBdr>
          <w:divsChild>
            <w:div w:id="19571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507">
      <w:bodyDiv w:val="1"/>
      <w:marLeft w:val="0"/>
      <w:marRight w:val="0"/>
      <w:marTop w:val="0"/>
      <w:marBottom w:val="0"/>
      <w:divBdr>
        <w:top w:val="none" w:sz="0" w:space="0" w:color="auto"/>
        <w:left w:val="none" w:sz="0" w:space="0" w:color="auto"/>
        <w:bottom w:val="none" w:sz="0" w:space="0" w:color="auto"/>
        <w:right w:val="none" w:sz="0" w:space="0" w:color="auto"/>
      </w:divBdr>
      <w:divsChild>
        <w:div w:id="484317565">
          <w:marLeft w:val="0"/>
          <w:marRight w:val="0"/>
          <w:marTop w:val="0"/>
          <w:marBottom w:val="0"/>
          <w:divBdr>
            <w:top w:val="none" w:sz="0" w:space="0" w:color="auto"/>
            <w:left w:val="none" w:sz="0" w:space="0" w:color="auto"/>
            <w:bottom w:val="none" w:sz="0" w:space="0" w:color="auto"/>
            <w:right w:val="none" w:sz="0" w:space="0" w:color="auto"/>
          </w:divBdr>
          <w:divsChild>
            <w:div w:id="8833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0350">
      <w:bodyDiv w:val="1"/>
      <w:marLeft w:val="0"/>
      <w:marRight w:val="0"/>
      <w:marTop w:val="0"/>
      <w:marBottom w:val="0"/>
      <w:divBdr>
        <w:top w:val="none" w:sz="0" w:space="0" w:color="auto"/>
        <w:left w:val="none" w:sz="0" w:space="0" w:color="auto"/>
        <w:bottom w:val="none" w:sz="0" w:space="0" w:color="auto"/>
        <w:right w:val="none" w:sz="0" w:space="0" w:color="auto"/>
      </w:divBdr>
      <w:divsChild>
        <w:div w:id="2136558740">
          <w:marLeft w:val="0"/>
          <w:marRight w:val="0"/>
          <w:marTop w:val="0"/>
          <w:marBottom w:val="0"/>
          <w:divBdr>
            <w:top w:val="none" w:sz="0" w:space="0" w:color="auto"/>
            <w:left w:val="none" w:sz="0" w:space="0" w:color="auto"/>
            <w:bottom w:val="none" w:sz="0" w:space="0" w:color="auto"/>
            <w:right w:val="none" w:sz="0" w:space="0" w:color="auto"/>
          </w:divBdr>
          <w:divsChild>
            <w:div w:id="6897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1914">
      <w:bodyDiv w:val="1"/>
      <w:marLeft w:val="0"/>
      <w:marRight w:val="0"/>
      <w:marTop w:val="0"/>
      <w:marBottom w:val="0"/>
      <w:divBdr>
        <w:top w:val="none" w:sz="0" w:space="0" w:color="auto"/>
        <w:left w:val="none" w:sz="0" w:space="0" w:color="auto"/>
        <w:bottom w:val="none" w:sz="0" w:space="0" w:color="auto"/>
        <w:right w:val="none" w:sz="0" w:space="0" w:color="auto"/>
      </w:divBdr>
      <w:divsChild>
        <w:div w:id="1042365186">
          <w:marLeft w:val="0"/>
          <w:marRight w:val="0"/>
          <w:marTop w:val="0"/>
          <w:marBottom w:val="0"/>
          <w:divBdr>
            <w:top w:val="none" w:sz="0" w:space="0" w:color="auto"/>
            <w:left w:val="none" w:sz="0" w:space="0" w:color="auto"/>
            <w:bottom w:val="none" w:sz="0" w:space="0" w:color="auto"/>
            <w:right w:val="none" w:sz="0" w:space="0" w:color="auto"/>
          </w:divBdr>
          <w:divsChild>
            <w:div w:id="20237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2042">
      <w:bodyDiv w:val="1"/>
      <w:marLeft w:val="0"/>
      <w:marRight w:val="0"/>
      <w:marTop w:val="0"/>
      <w:marBottom w:val="0"/>
      <w:divBdr>
        <w:top w:val="none" w:sz="0" w:space="0" w:color="auto"/>
        <w:left w:val="none" w:sz="0" w:space="0" w:color="auto"/>
        <w:bottom w:val="none" w:sz="0" w:space="0" w:color="auto"/>
        <w:right w:val="none" w:sz="0" w:space="0" w:color="auto"/>
      </w:divBdr>
      <w:divsChild>
        <w:div w:id="313534282">
          <w:marLeft w:val="0"/>
          <w:marRight w:val="0"/>
          <w:marTop w:val="0"/>
          <w:marBottom w:val="0"/>
          <w:divBdr>
            <w:top w:val="none" w:sz="0" w:space="0" w:color="auto"/>
            <w:left w:val="none" w:sz="0" w:space="0" w:color="auto"/>
            <w:bottom w:val="none" w:sz="0" w:space="0" w:color="auto"/>
            <w:right w:val="none" w:sz="0" w:space="0" w:color="auto"/>
          </w:divBdr>
          <w:divsChild>
            <w:div w:id="7737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0464">
      <w:bodyDiv w:val="1"/>
      <w:marLeft w:val="0"/>
      <w:marRight w:val="0"/>
      <w:marTop w:val="0"/>
      <w:marBottom w:val="0"/>
      <w:divBdr>
        <w:top w:val="none" w:sz="0" w:space="0" w:color="auto"/>
        <w:left w:val="none" w:sz="0" w:space="0" w:color="auto"/>
        <w:bottom w:val="none" w:sz="0" w:space="0" w:color="auto"/>
        <w:right w:val="none" w:sz="0" w:space="0" w:color="auto"/>
      </w:divBdr>
      <w:divsChild>
        <w:div w:id="1610237412">
          <w:marLeft w:val="0"/>
          <w:marRight w:val="0"/>
          <w:marTop w:val="0"/>
          <w:marBottom w:val="0"/>
          <w:divBdr>
            <w:top w:val="none" w:sz="0" w:space="0" w:color="auto"/>
            <w:left w:val="none" w:sz="0" w:space="0" w:color="auto"/>
            <w:bottom w:val="none" w:sz="0" w:space="0" w:color="auto"/>
            <w:right w:val="none" w:sz="0" w:space="0" w:color="auto"/>
          </w:divBdr>
          <w:divsChild>
            <w:div w:id="7096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690">
      <w:bodyDiv w:val="1"/>
      <w:marLeft w:val="0"/>
      <w:marRight w:val="0"/>
      <w:marTop w:val="0"/>
      <w:marBottom w:val="0"/>
      <w:divBdr>
        <w:top w:val="none" w:sz="0" w:space="0" w:color="auto"/>
        <w:left w:val="none" w:sz="0" w:space="0" w:color="auto"/>
        <w:bottom w:val="none" w:sz="0" w:space="0" w:color="auto"/>
        <w:right w:val="none" w:sz="0" w:space="0" w:color="auto"/>
      </w:divBdr>
      <w:divsChild>
        <w:div w:id="334840786">
          <w:marLeft w:val="0"/>
          <w:marRight w:val="0"/>
          <w:marTop w:val="0"/>
          <w:marBottom w:val="0"/>
          <w:divBdr>
            <w:top w:val="none" w:sz="0" w:space="0" w:color="auto"/>
            <w:left w:val="none" w:sz="0" w:space="0" w:color="auto"/>
            <w:bottom w:val="none" w:sz="0" w:space="0" w:color="auto"/>
            <w:right w:val="none" w:sz="0" w:space="0" w:color="auto"/>
          </w:divBdr>
          <w:divsChild>
            <w:div w:id="6647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0459">
      <w:bodyDiv w:val="1"/>
      <w:marLeft w:val="0"/>
      <w:marRight w:val="0"/>
      <w:marTop w:val="0"/>
      <w:marBottom w:val="0"/>
      <w:divBdr>
        <w:top w:val="none" w:sz="0" w:space="0" w:color="auto"/>
        <w:left w:val="none" w:sz="0" w:space="0" w:color="auto"/>
        <w:bottom w:val="none" w:sz="0" w:space="0" w:color="auto"/>
        <w:right w:val="none" w:sz="0" w:space="0" w:color="auto"/>
      </w:divBdr>
      <w:divsChild>
        <w:div w:id="1329560534">
          <w:marLeft w:val="0"/>
          <w:marRight w:val="0"/>
          <w:marTop w:val="0"/>
          <w:marBottom w:val="0"/>
          <w:divBdr>
            <w:top w:val="none" w:sz="0" w:space="0" w:color="auto"/>
            <w:left w:val="none" w:sz="0" w:space="0" w:color="auto"/>
            <w:bottom w:val="none" w:sz="0" w:space="0" w:color="auto"/>
            <w:right w:val="none" w:sz="0" w:space="0" w:color="auto"/>
          </w:divBdr>
          <w:divsChild>
            <w:div w:id="1045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206">
      <w:bodyDiv w:val="1"/>
      <w:marLeft w:val="0"/>
      <w:marRight w:val="0"/>
      <w:marTop w:val="0"/>
      <w:marBottom w:val="0"/>
      <w:divBdr>
        <w:top w:val="none" w:sz="0" w:space="0" w:color="auto"/>
        <w:left w:val="none" w:sz="0" w:space="0" w:color="auto"/>
        <w:bottom w:val="none" w:sz="0" w:space="0" w:color="auto"/>
        <w:right w:val="none" w:sz="0" w:space="0" w:color="auto"/>
      </w:divBdr>
      <w:divsChild>
        <w:div w:id="1904657">
          <w:marLeft w:val="0"/>
          <w:marRight w:val="0"/>
          <w:marTop w:val="0"/>
          <w:marBottom w:val="0"/>
          <w:divBdr>
            <w:top w:val="none" w:sz="0" w:space="0" w:color="auto"/>
            <w:left w:val="none" w:sz="0" w:space="0" w:color="auto"/>
            <w:bottom w:val="none" w:sz="0" w:space="0" w:color="auto"/>
            <w:right w:val="none" w:sz="0" w:space="0" w:color="auto"/>
          </w:divBdr>
          <w:divsChild>
            <w:div w:id="15283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176">
      <w:bodyDiv w:val="1"/>
      <w:marLeft w:val="0"/>
      <w:marRight w:val="0"/>
      <w:marTop w:val="0"/>
      <w:marBottom w:val="0"/>
      <w:divBdr>
        <w:top w:val="none" w:sz="0" w:space="0" w:color="auto"/>
        <w:left w:val="none" w:sz="0" w:space="0" w:color="auto"/>
        <w:bottom w:val="none" w:sz="0" w:space="0" w:color="auto"/>
        <w:right w:val="none" w:sz="0" w:space="0" w:color="auto"/>
      </w:divBdr>
      <w:divsChild>
        <w:div w:id="1908344759">
          <w:marLeft w:val="0"/>
          <w:marRight w:val="0"/>
          <w:marTop w:val="0"/>
          <w:marBottom w:val="0"/>
          <w:divBdr>
            <w:top w:val="none" w:sz="0" w:space="0" w:color="auto"/>
            <w:left w:val="none" w:sz="0" w:space="0" w:color="auto"/>
            <w:bottom w:val="none" w:sz="0" w:space="0" w:color="auto"/>
            <w:right w:val="none" w:sz="0" w:space="0" w:color="auto"/>
          </w:divBdr>
          <w:divsChild>
            <w:div w:id="7800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2194">
      <w:bodyDiv w:val="1"/>
      <w:marLeft w:val="0"/>
      <w:marRight w:val="0"/>
      <w:marTop w:val="0"/>
      <w:marBottom w:val="0"/>
      <w:divBdr>
        <w:top w:val="none" w:sz="0" w:space="0" w:color="auto"/>
        <w:left w:val="none" w:sz="0" w:space="0" w:color="auto"/>
        <w:bottom w:val="none" w:sz="0" w:space="0" w:color="auto"/>
        <w:right w:val="none" w:sz="0" w:space="0" w:color="auto"/>
      </w:divBdr>
      <w:divsChild>
        <w:div w:id="1746027791">
          <w:marLeft w:val="0"/>
          <w:marRight w:val="0"/>
          <w:marTop w:val="0"/>
          <w:marBottom w:val="0"/>
          <w:divBdr>
            <w:top w:val="none" w:sz="0" w:space="0" w:color="auto"/>
            <w:left w:val="none" w:sz="0" w:space="0" w:color="auto"/>
            <w:bottom w:val="none" w:sz="0" w:space="0" w:color="auto"/>
            <w:right w:val="none" w:sz="0" w:space="0" w:color="auto"/>
          </w:divBdr>
          <w:divsChild>
            <w:div w:id="14483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861">
      <w:bodyDiv w:val="1"/>
      <w:marLeft w:val="0"/>
      <w:marRight w:val="0"/>
      <w:marTop w:val="0"/>
      <w:marBottom w:val="0"/>
      <w:divBdr>
        <w:top w:val="none" w:sz="0" w:space="0" w:color="auto"/>
        <w:left w:val="none" w:sz="0" w:space="0" w:color="auto"/>
        <w:bottom w:val="none" w:sz="0" w:space="0" w:color="auto"/>
        <w:right w:val="none" w:sz="0" w:space="0" w:color="auto"/>
      </w:divBdr>
      <w:divsChild>
        <w:div w:id="1496264126">
          <w:marLeft w:val="0"/>
          <w:marRight w:val="0"/>
          <w:marTop w:val="0"/>
          <w:marBottom w:val="0"/>
          <w:divBdr>
            <w:top w:val="none" w:sz="0" w:space="0" w:color="auto"/>
            <w:left w:val="none" w:sz="0" w:space="0" w:color="auto"/>
            <w:bottom w:val="none" w:sz="0" w:space="0" w:color="auto"/>
            <w:right w:val="none" w:sz="0" w:space="0" w:color="auto"/>
          </w:divBdr>
          <w:divsChild>
            <w:div w:id="19528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09278">
      <w:bodyDiv w:val="1"/>
      <w:marLeft w:val="0"/>
      <w:marRight w:val="0"/>
      <w:marTop w:val="0"/>
      <w:marBottom w:val="0"/>
      <w:divBdr>
        <w:top w:val="none" w:sz="0" w:space="0" w:color="auto"/>
        <w:left w:val="none" w:sz="0" w:space="0" w:color="auto"/>
        <w:bottom w:val="none" w:sz="0" w:space="0" w:color="auto"/>
        <w:right w:val="none" w:sz="0" w:space="0" w:color="auto"/>
      </w:divBdr>
      <w:divsChild>
        <w:div w:id="266930243">
          <w:marLeft w:val="0"/>
          <w:marRight w:val="0"/>
          <w:marTop w:val="0"/>
          <w:marBottom w:val="0"/>
          <w:divBdr>
            <w:top w:val="none" w:sz="0" w:space="0" w:color="auto"/>
            <w:left w:val="none" w:sz="0" w:space="0" w:color="auto"/>
            <w:bottom w:val="none" w:sz="0" w:space="0" w:color="auto"/>
            <w:right w:val="none" w:sz="0" w:space="0" w:color="auto"/>
          </w:divBdr>
          <w:divsChild>
            <w:div w:id="4684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9480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bcommercial.com/news/20161104/two-days-after-raids-chinese-restaurants-open-for-business" TargetMode="External"/><Relationship Id="rId2" Type="http://schemas.openxmlformats.org/officeDocument/2006/relationships/hyperlink" Target="https://www.theatlantic.com/national/archive/2014/12/why-american-jews-eat-chinese-food-on-christmas/384011/" TargetMode="External"/><Relationship Id="rId1" Type="http://schemas.openxmlformats.org/officeDocument/2006/relationships/hyperlink" Target="mailto:gjchin@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F904-20EF-461E-AD54-81CE38EA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12351</Words>
  <Characters>70407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Ormonde</dc:creator>
  <cp:keywords/>
  <dc:description/>
  <cp:lastModifiedBy>Ming Hsu Chen</cp:lastModifiedBy>
  <cp:revision>3</cp:revision>
  <cp:lastPrinted>2017-03-05T21:44:00Z</cp:lastPrinted>
  <dcterms:created xsi:type="dcterms:W3CDTF">2017-07-26T16:51:00Z</dcterms:created>
  <dcterms:modified xsi:type="dcterms:W3CDTF">2017-07-26T16:51:00Z</dcterms:modified>
</cp:coreProperties>
</file>