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7824A" w14:textId="13AEF625" w:rsidR="00982F65" w:rsidRDefault="00982F65" w:rsidP="00982F65">
      <w:pPr>
        <w:spacing w:line="240" w:lineRule="auto"/>
        <w:jc w:val="center"/>
        <w:rPr>
          <w:rFonts w:cs="Times New Roman"/>
          <w:b/>
          <w:szCs w:val="24"/>
        </w:rPr>
      </w:pPr>
      <w:r>
        <w:rPr>
          <w:rFonts w:cs="Times New Roman"/>
          <w:b/>
          <w:szCs w:val="24"/>
        </w:rPr>
        <w:t>IAFS 3000-00</w:t>
      </w:r>
      <w:r w:rsidR="00EC13A9">
        <w:rPr>
          <w:rFonts w:cs="Times New Roman"/>
          <w:b/>
          <w:szCs w:val="24"/>
        </w:rPr>
        <w:t>2</w:t>
      </w:r>
      <w:r>
        <w:rPr>
          <w:rFonts w:cs="Times New Roman"/>
          <w:b/>
          <w:szCs w:val="24"/>
        </w:rPr>
        <w:t>:  Humanitarianism</w:t>
      </w:r>
    </w:p>
    <w:p w14:paraId="2D3E3FB4" w14:textId="28913C0C" w:rsidR="00982F65" w:rsidRPr="00D03B1F" w:rsidRDefault="00982F65" w:rsidP="00982F65">
      <w:pPr>
        <w:spacing w:line="240" w:lineRule="auto"/>
        <w:jc w:val="center"/>
        <w:rPr>
          <w:rFonts w:cs="Times New Roman"/>
          <w:szCs w:val="24"/>
        </w:rPr>
      </w:pPr>
      <w:r>
        <w:rPr>
          <w:rFonts w:cs="Times New Roman"/>
          <w:szCs w:val="24"/>
        </w:rPr>
        <w:t>Spring, 202</w:t>
      </w:r>
      <w:r w:rsidR="00A802AB">
        <w:rPr>
          <w:rFonts w:cs="Times New Roman"/>
          <w:szCs w:val="24"/>
        </w:rPr>
        <w:t>5</w:t>
      </w:r>
    </w:p>
    <w:p w14:paraId="481EA8AB" w14:textId="1F856A64" w:rsidR="00982F65" w:rsidRDefault="00982F65" w:rsidP="00982F65">
      <w:pPr>
        <w:spacing w:line="240" w:lineRule="auto"/>
        <w:jc w:val="center"/>
        <w:rPr>
          <w:rFonts w:cs="Times New Roman"/>
          <w:szCs w:val="24"/>
        </w:rPr>
      </w:pPr>
      <w:r>
        <w:rPr>
          <w:rFonts w:cs="Times New Roman"/>
          <w:szCs w:val="24"/>
        </w:rPr>
        <w:t>Monday, Wednesday, Friday, 1</w:t>
      </w:r>
      <w:r w:rsidR="00A802AB">
        <w:rPr>
          <w:rFonts w:cs="Times New Roman"/>
          <w:szCs w:val="24"/>
        </w:rPr>
        <w:t>1</w:t>
      </w:r>
      <w:r>
        <w:rPr>
          <w:rFonts w:cs="Times New Roman"/>
          <w:szCs w:val="24"/>
        </w:rPr>
        <w:t>:1</w:t>
      </w:r>
      <w:r w:rsidR="00A802AB">
        <w:rPr>
          <w:rFonts w:cs="Times New Roman"/>
          <w:szCs w:val="24"/>
        </w:rPr>
        <w:t>5</w:t>
      </w:r>
      <w:r>
        <w:rPr>
          <w:rFonts w:cs="Times New Roman"/>
          <w:szCs w:val="24"/>
        </w:rPr>
        <w:t>-</w:t>
      </w:r>
      <w:r w:rsidR="00A802AB">
        <w:rPr>
          <w:rFonts w:cs="Times New Roman"/>
          <w:szCs w:val="24"/>
        </w:rPr>
        <w:t>12:05</w:t>
      </w:r>
    </w:p>
    <w:p w14:paraId="5B397E83" w14:textId="1311E91B" w:rsidR="00982F65" w:rsidRDefault="00982F65" w:rsidP="00982F65">
      <w:pPr>
        <w:spacing w:line="240" w:lineRule="auto"/>
        <w:jc w:val="center"/>
        <w:rPr>
          <w:rFonts w:cs="Times New Roman"/>
          <w:szCs w:val="24"/>
        </w:rPr>
      </w:pPr>
      <w:r>
        <w:rPr>
          <w:rFonts w:cs="Times New Roman"/>
          <w:szCs w:val="24"/>
        </w:rPr>
        <w:t>Hale 2</w:t>
      </w:r>
      <w:r w:rsidR="000442E8">
        <w:rPr>
          <w:rFonts w:cs="Times New Roman"/>
          <w:szCs w:val="24"/>
        </w:rPr>
        <w:t>4</w:t>
      </w:r>
      <w:r>
        <w:rPr>
          <w:rFonts w:cs="Times New Roman"/>
          <w:szCs w:val="24"/>
        </w:rPr>
        <w:t>0</w:t>
      </w:r>
    </w:p>
    <w:p w14:paraId="47B751FD" w14:textId="77777777" w:rsidR="00982F65" w:rsidRPr="00C87B61" w:rsidRDefault="00982F65" w:rsidP="00982F65">
      <w:pPr>
        <w:spacing w:line="240" w:lineRule="auto"/>
        <w:rPr>
          <w:rFonts w:cs="Times New Roman"/>
          <w:szCs w:val="24"/>
        </w:rPr>
      </w:pPr>
    </w:p>
    <w:p w14:paraId="5ED12E0D" w14:textId="77777777" w:rsidR="00982F65" w:rsidRPr="00C87B61" w:rsidRDefault="00982F65" w:rsidP="00982F65">
      <w:pPr>
        <w:spacing w:line="240" w:lineRule="auto"/>
        <w:rPr>
          <w:rFonts w:cs="Times New Roman"/>
          <w:b/>
          <w:szCs w:val="24"/>
        </w:rPr>
      </w:pPr>
      <w:r w:rsidRPr="00C87B61">
        <w:rPr>
          <w:rFonts w:cs="Times New Roman"/>
          <w:b/>
          <w:szCs w:val="24"/>
        </w:rPr>
        <w:t>Contact Information</w:t>
      </w:r>
    </w:p>
    <w:p w14:paraId="19E08C15" w14:textId="77777777" w:rsidR="00982F65" w:rsidRDefault="00982F65" w:rsidP="00982F65">
      <w:pPr>
        <w:spacing w:line="240" w:lineRule="auto"/>
        <w:rPr>
          <w:rFonts w:cs="Times New Roman"/>
          <w:szCs w:val="24"/>
        </w:rPr>
      </w:pPr>
      <w:r w:rsidRPr="00C87B61">
        <w:rPr>
          <w:rFonts w:cs="Times New Roman"/>
          <w:szCs w:val="24"/>
        </w:rPr>
        <w:t>Steven Beard, (</w:t>
      </w:r>
      <w:hyperlink r:id="rId8" w:history="1">
        <w:r w:rsidRPr="00C87B61">
          <w:rPr>
            <w:rStyle w:val="Hyperlink"/>
            <w:rFonts w:cs="Times New Roman"/>
            <w:szCs w:val="24"/>
          </w:rPr>
          <w:t>Steven.Beard@Colorado.edu</w:t>
        </w:r>
      </w:hyperlink>
      <w:r w:rsidRPr="00C87B61">
        <w:rPr>
          <w:rFonts w:cs="Times New Roman"/>
          <w:szCs w:val="24"/>
        </w:rPr>
        <w:t>)</w:t>
      </w:r>
    </w:p>
    <w:p w14:paraId="566AAF8F" w14:textId="77777777" w:rsidR="00982F65" w:rsidRPr="00C87B61" w:rsidRDefault="00982F65" w:rsidP="00982F65">
      <w:pPr>
        <w:spacing w:line="240" w:lineRule="auto"/>
        <w:rPr>
          <w:rFonts w:cs="Times New Roman"/>
          <w:szCs w:val="24"/>
        </w:rPr>
      </w:pPr>
      <w:r>
        <w:rPr>
          <w:rFonts w:cs="Times New Roman"/>
          <w:szCs w:val="24"/>
        </w:rPr>
        <w:t>Ketchum 212</w:t>
      </w:r>
    </w:p>
    <w:p w14:paraId="55DDE80D" w14:textId="3450BC56" w:rsidR="00982F65" w:rsidRDefault="00982F65" w:rsidP="00982F65">
      <w:pPr>
        <w:spacing w:line="240" w:lineRule="auto"/>
        <w:rPr>
          <w:rFonts w:cs="Times New Roman"/>
          <w:szCs w:val="24"/>
        </w:rPr>
      </w:pPr>
      <w:r w:rsidRPr="00C87B61">
        <w:rPr>
          <w:rFonts w:cs="Times New Roman"/>
          <w:szCs w:val="24"/>
        </w:rPr>
        <w:t>Office Hours:</w:t>
      </w:r>
      <w:r>
        <w:rPr>
          <w:rFonts w:cs="Times New Roman"/>
          <w:szCs w:val="24"/>
        </w:rPr>
        <w:t xml:space="preserve">  </w:t>
      </w:r>
      <w:r w:rsidR="009D3CA7">
        <w:rPr>
          <w:rFonts w:cs="Times New Roman"/>
          <w:szCs w:val="24"/>
        </w:rPr>
        <w:t>MWF 1:30-2:30</w:t>
      </w:r>
    </w:p>
    <w:p w14:paraId="3D1C122A" w14:textId="77777777" w:rsidR="00982F65" w:rsidRDefault="00982F65" w:rsidP="00982F65">
      <w:pPr>
        <w:spacing w:line="240" w:lineRule="auto"/>
      </w:pPr>
    </w:p>
    <w:p w14:paraId="78F1AE1F" w14:textId="77777777" w:rsidR="00982F65" w:rsidRPr="00C840B9" w:rsidRDefault="00982F65" w:rsidP="00982F65">
      <w:pPr>
        <w:spacing w:line="240" w:lineRule="auto"/>
        <w:rPr>
          <w:b/>
          <w:bCs/>
        </w:rPr>
      </w:pPr>
      <w:r w:rsidRPr="00C840B9">
        <w:rPr>
          <w:b/>
          <w:bCs/>
        </w:rPr>
        <w:t xml:space="preserve">Class Description </w:t>
      </w:r>
    </w:p>
    <w:p w14:paraId="7AD2CB33" w14:textId="1744D1EA" w:rsidR="00982F65" w:rsidRDefault="00DC0752" w:rsidP="00982F65">
      <w:pPr>
        <w:spacing w:line="240" w:lineRule="auto"/>
      </w:pPr>
      <w:r>
        <w:t>What human rights do people have?  How and why are these rights violated by governments, during war, and through lack of development or other basic needs?  What can the international community do to help secure these basic rights in different circumstances</w:t>
      </w:r>
      <w:r w:rsidR="00100457">
        <w:t>?  This course will consider these questions.  It is broadly divided into three segments.  First, we will consider human rights in peacetime, and why governments violate the human rights of their citizens.  Second, we will consider human rights in conflict, why war crimes and genocide are committed, and what can be done to protect people in war.  Finally, we will consider individuals</w:t>
      </w:r>
      <w:r w:rsidR="006B79ED">
        <w:t>’</w:t>
      </w:r>
      <w:r w:rsidR="00100457">
        <w:t xml:space="preserve"> economic rights and what can be done to help development, alleviate poverty, and secure prosperity for all people.  </w:t>
      </w:r>
    </w:p>
    <w:p w14:paraId="49C2BDDE" w14:textId="6ECAA6BF" w:rsidR="00982F65" w:rsidRDefault="00982F65" w:rsidP="00982F65">
      <w:pPr>
        <w:spacing w:line="240" w:lineRule="auto"/>
      </w:pPr>
    </w:p>
    <w:p w14:paraId="198996FC" w14:textId="65C408D1" w:rsidR="00982F65" w:rsidRDefault="00982F65" w:rsidP="00982F65">
      <w:pPr>
        <w:spacing w:line="240" w:lineRule="auto"/>
        <w:rPr>
          <w:b/>
          <w:bCs/>
        </w:rPr>
      </w:pPr>
      <w:r>
        <w:rPr>
          <w:b/>
          <w:bCs/>
        </w:rPr>
        <w:t>Learning Objectives</w:t>
      </w:r>
    </w:p>
    <w:p w14:paraId="23CE5C55" w14:textId="0FDF2AF6" w:rsidR="00982F65" w:rsidRDefault="00C760FD" w:rsidP="00C760FD">
      <w:pPr>
        <w:pStyle w:val="ListParagraph"/>
        <w:numPr>
          <w:ilvl w:val="0"/>
          <w:numId w:val="2"/>
        </w:numPr>
        <w:spacing w:line="240" w:lineRule="auto"/>
      </w:pPr>
      <w:r>
        <w:t>Understand current the current international law on human rights as well as philosophical traditions that created this framework</w:t>
      </w:r>
    </w:p>
    <w:p w14:paraId="73A9BAE1" w14:textId="1323CA8C" w:rsidR="00C760FD" w:rsidRDefault="00C760FD" w:rsidP="00C760FD">
      <w:pPr>
        <w:pStyle w:val="ListParagraph"/>
        <w:numPr>
          <w:ilvl w:val="0"/>
          <w:numId w:val="2"/>
        </w:numPr>
        <w:spacing w:line="240" w:lineRule="auto"/>
      </w:pPr>
      <w:r>
        <w:t xml:space="preserve">Understand how and why human rights </w:t>
      </w:r>
      <w:r w:rsidR="00427A70">
        <w:t>are violated</w:t>
      </w:r>
    </w:p>
    <w:p w14:paraId="231FD9FB" w14:textId="42945509" w:rsidR="00427A70" w:rsidRPr="00982F65" w:rsidRDefault="00427A70" w:rsidP="00C760FD">
      <w:pPr>
        <w:pStyle w:val="ListParagraph"/>
        <w:numPr>
          <w:ilvl w:val="0"/>
          <w:numId w:val="2"/>
        </w:numPr>
        <w:spacing w:line="240" w:lineRule="auto"/>
      </w:pPr>
      <w:r>
        <w:t>Understand various methods of protecting or promoting human rights and their strengths and weaknesses</w:t>
      </w:r>
    </w:p>
    <w:p w14:paraId="08698F79" w14:textId="77777777" w:rsidR="00982F65" w:rsidRDefault="00982F65" w:rsidP="00982F65">
      <w:pPr>
        <w:spacing w:line="240" w:lineRule="auto"/>
      </w:pPr>
    </w:p>
    <w:p w14:paraId="03CA5592" w14:textId="77777777" w:rsidR="00982F65" w:rsidRDefault="00982F65" w:rsidP="00982F65">
      <w:pPr>
        <w:spacing w:line="240" w:lineRule="auto"/>
        <w:rPr>
          <w:rFonts w:cs="Times New Roman"/>
          <w:b/>
          <w:szCs w:val="24"/>
        </w:rPr>
      </w:pPr>
      <w:r w:rsidRPr="00C87B61">
        <w:rPr>
          <w:rFonts w:cs="Times New Roman"/>
          <w:b/>
          <w:szCs w:val="24"/>
        </w:rPr>
        <w:t>Texts</w:t>
      </w:r>
      <w:r>
        <w:rPr>
          <w:rFonts w:cs="Times New Roman"/>
          <w:b/>
          <w:szCs w:val="24"/>
        </w:rPr>
        <w:t xml:space="preserve"> and Readings</w:t>
      </w:r>
    </w:p>
    <w:p w14:paraId="04418734" w14:textId="77777777" w:rsidR="00982F65" w:rsidRPr="00D24F64" w:rsidRDefault="00982F65" w:rsidP="00982F65">
      <w:pPr>
        <w:spacing w:line="240" w:lineRule="auto"/>
        <w:rPr>
          <w:b/>
          <w:bCs/>
        </w:rPr>
      </w:pPr>
      <w:r>
        <w:t xml:space="preserve">All required reading will either have website links provided or be placed on Canvas.  </w:t>
      </w:r>
      <w:r w:rsidRPr="00C54C4E">
        <w:t>You are expected to complete all assigned readings before the relevant class</w:t>
      </w:r>
    </w:p>
    <w:p w14:paraId="60EC7C1A" w14:textId="77777777" w:rsidR="00982F65" w:rsidRDefault="00982F65" w:rsidP="00982F65">
      <w:pPr>
        <w:spacing w:line="240" w:lineRule="auto"/>
      </w:pPr>
    </w:p>
    <w:p w14:paraId="6B61E3B5" w14:textId="77777777" w:rsidR="00982F65" w:rsidRDefault="00982F65" w:rsidP="00982F65">
      <w:pPr>
        <w:spacing w:line="240" w:lineRule="auto"/>
        <w:rPr>
          <w:rFonts w:cs="Times New Roman"/>
          <w:b/>
          <w:szCs w:val="24"/>
        </w:rPr>
      </w:pPr>
      <w:r w:rsidRPr="00C87B61">
        <w:rPr>
          <w:rFonts w:cs="Times New Roman"/>
          <w:b/>
          <w:szCs w:val="24"/>
        </w:rPr>
        <w:t>Course Requirements and grades</w:t>
      </w:r>
    </w:p>
    <w:p w14:paraId="25699708" w14:textId="77777777" w:rsidR="00982F65" w:rsidRDefault="00982F65" w:rsidP="00982F65">
      <w:pPr>
        <w:spacing w:line="240" w:lineRule="auto"/>
        <w:rPr>
          <w:rFonts w:cs="Times New Roman"/>
          <w:bCs/>
          <w:szCs w:val="24"/>
        </w:rPr>
      </w:pPr>
      <w:r>
        <w:rPr>
          <w:rFonts w:cs="Times New Roman"/>
          <w:bCs/>
          <w:szCs w:val="24"/>
        </w:rPr>
        <w:t>Your grade will be determined by the following assignments:</w:t>
      </w:r>
    </w:p>
    <w:p w14:paraId="13AEF343" w14:textId="305835C3" w:rsidR="00670528" w:rsidRDefault="00427A70" w:rsidP="00C760FD">
      <w:pPr>
        <w:pStyle w:val="ListParagraph"/>
        <w:numPr>
          <w:ilvl w:val="0"/>
          <w:numId w:val="1"/>
        </w:numPr>
        <w:tabs>
          <w:tab w:val="left" w:pos="4189"/>
        </w:tabs>
        <w:spacing w:line="240" w:lineRule="auto"/>
      </w:pPr>
      <w:r>
        <w:t>Three papers (</w:t>
      </w:r>
      <w:r w:rsidR="00465D05">
        <w:t>Paper 1 20%, Paper 2 and 3 30% each</w:t>
      </w:r>
      <w:r>
        <w:t>)</w:t>
      </w:r>
    </w:p>
    <w:p w14:paraId="258602E5" w14:textId="4E98668C" w:rsidR="00F433AF" w:rsidRDefault="00F433AF" w:rsidP="00C760FD">
      <w:pPr>
        <w:pStyle w:val="ListParagraph"/>
        <w:numPr>
          <w:ilvl w:val="0"/>
          <w:numId w:val="1"/>
        </w:numPr>
        <w:tabs>
          <w:tab w:val="left" w:pos="4189"/>
        </w:tabs>
        <w:spacing w:line="240" w:lineRule="auto"/>
      </w:pPr>
      <w:r>
        <w:t>Final reflection paper (10%)</w:t>
      </w:r>
    </w:p>
    <w:p w14:paraId="43FFA188" w14:textId="0D82E533" w:rsidR="00427A70" w:rsidRDefault="00427A70" w:rsidP="00C760FD">
      <w:pPr>
        <w:pStyle w:val="ListParagraph"/>
        <w:numPr>
          <w:ilvl w:val="0"/>
          <w:numId w:val="1"/>
        </w:numPr>
        <w:tabs>
          <w:tab w:val="left" w:pos="4189"/>
        </w:tabs>
        <w:spacing w:line="240" w:lineRule="auto"/>
      </w:pPr>
      <w:r>
        <w:t>Attendance and participation (10%)</w:t>
      </w:r>
    </w:p>
    <w:p w14:paraId="045E532C" w14:textId="77777777" w:rsidR="00AB14ED" w:rsidRDefault="00AB14ED" w:rsidP="00AB14ED">
      <w:pPr>
        <w:tabs>
          <w:tab w:val="left" w:pos="4189"/>
        </w:tabs>
        <w:spacing w:line="240" w:lineRule="auto"/>
      </w:pPr>
    </w:p>
    <w:p w14:paraId="1662025B" w14:textId="5DBED83F" w:rsidR="00AB14ED" w:rsidRDefault="00AB14ED" w:rsidP="00AB14ED">
      <w:pPr>
        <w:spacing w:line="240" w:lineRule="auto"/>
        <w:rPr>
          <w:i/>
          <w:iCs/>
        </w:rPr>
      </w:pPr>
      <w:r>
        <w:rPr>
          <w:i/>
          <w:iCs/>
        </w:rPr>
        <w:t>Papers (due February 2</w:t>
      </w:r>
      <w:r w:rsidR="008017F2">
        <w:rPr>
          <w:i/>
          <w:iCs/>
        </w:rPr>
        <w:t>1</w:t>
      </w:r>
      <w:r>
        <w:rPr>
          <w:i/>
          <w:iCs/>
        </w:rPr>
        <w:t xml:space="preserve">, </w:t>
      </w:r>
      <w:r w:rsidR="000943F6">
        <w:rPr>
          <w:i/>
          <w:iCs/>
        </w:rPr>
        <w:t xml:space="preserve">April </w:t>
      </w:r>
      <w:r w:rsidR="008017F2">
        <w:rPr>
          <w:i/>
          <w:iCs/>
        </w:rPr>
        <w:t>4</w:t>
      </w:r>
      <w:r>
        <w:rPr>
          <w:i/>
          <w:iCs/>
        </w:rPr>
        <w:t xml:space="preserve">, and </w:t>
      </w:r>
      <w:r w:rsidR="008017F2">
        <w:rPr>
          <w:i/>
          <w:iCs/>
        </w:rPr>
        <w:t>April 30</w:t>
      </w:r>
      <w:r>
        <w:rPr>
          <w:i/>
          <w:iCs/>
        </w:rPr>
        <w:t>)</w:t>
      </w:r>
    </w:p>
    <w:p w14:paraId="49011E2C" w14:textId="5C05AA86" w:rsidR="00AB14ED" w:rsidRDefault="000943F6" w:rsidP="00AB14ED">
      <w:pPr>
        <w:spacing w:line="240" w:lineRule="auto"/>
      </w:pPr>
      <w:r>
        <w:t>For each segment of the course, you will write a paper analyzing the causes of humanitarian problems and what can be done to prevent them.</w:t>
      </w:r>
      <w:r w:rsidR="009D3CA7">
        <w:t xml:space="preserve">  For each paper, you will pick a contemporary humanitarian scenario, analyze the causes of the problem, and </w:t>
      </w:r>
      <w:r>
        <w:t xml:space="preserve">  Each paper will be a maximum of </w:t>
      </w:r>
      <w:r w:rsidR="009D3CA7">
        <w:t>seven</w:t>
      </w:r>
      <w:r>
        <w:t xml:space="preserve"> pages, double spaced.  </w:t>
      </w:r>
      <w:r w:rsidR="00AB14ED">
        <w:t>A more detailed prompt will be provided later.</w:t>
      </w:r>
    </w:p>
    <w:p w14:paraId="6190EE26" w14:textId="77777777" w:rsidR="008017F2" w:rsidRDefault="008017F2" w:rsidP="00AB14ED">
      <w:pPr>
        <w:spacing w:line="240" w:lineRule="auto"/>
      </w:pPr>
    </w:p>
    <w:p w14:paraId="76A69F35" w14:textId="77777777" w:rsidR="008017F2" w:rsidRDefault="008017F2" w:rsidP="00AB14ED">
      <w:pPr>
        <w:spacing w:line="240" w:lineRule="auto"/>
      </w:pPr>
    </w:p>
    <w:p w14:paraId="5A00B1DC" w14:textId="77777777" w:rsidR="008017F2" w:rsidRDefault="008017F2" w:rsidP="00AB14ED">
      <w:pPr>
        <w:spacing w:line="240" w:lineRule="auto"/>
      </w:pPr>
    </w:p>
    <w:p w14:paraId="08400026" w14:textId="77777777" w:rsidR="008017F2" w:rsidRDefault="008017F2" w:rsidP="00AB14ED">
      <w:pPr>
        <w:spacing w:line="240" w:lineRule="auto"/>
      </w:pPr>
    </w:p>
    <w:p w14:paraId="5FBD4581" w14:textId="739C84E6" w:rsidR="008017F2" w:rsidRDefault="008017F2" w:rsidP="008017F2">
      <w:pPr>
        <w:spacing w:line="240" w:lineRule="auto"/>
        <w:rPr>
          <w:i/>
          <w:iCs/>
        </w:rPr>
      </w:pPr>
      <w:r>
        <w:rPr>
          <w:i/>
          <w:iCs/>
        </w:rPr>
        <w:t>Reflection Paper (due December 4)</w:t>
      </w:r>
    </w:p>
    <w:p w14:paraId="7B2044F2" w14:textId="77777777" w:rsidR="008017F2" w:rsidRPr="006C4006" w:rsidRDefault="008017F2" w:rsidP="008017F2">
      <w:pPr>
        <w:spacing w:line="240" w:lineRule="auto"/>
      </w:pPr>
      <w:r>
        <w:t>At the end of the course, you will write a two-page paper reflecting on how these conflicts help us understand war and peace more broadly.  This paper will not require any external research.  A more detailed prompt will be provided later.</w:t>
      </w:r>
    </w:p>
    <w:p w14:paraId="0BD30AB5" w14:textId="77777777" w:rsidR="00AB14ED" w:rsidRDefault="00AB14ED" w:rsidP="00AB14ED">
      <w:pPr>
        <w:spacing w:line="240" w:lineRule="auto"/>
        <w:rPr>
          <w:i/>
          <w:iCs/>
        </w:rPr>
      </w:pPr>
    </w:p>
    <w:p w14:paraId="3A4E70E2" w14:textId="77777777" w:rsidR="00AB14ED" w:rsidRPr="00DC04BB" w:rsidRDefault="00AB14ED" w:rsidP="00AB14ED">
      <w:pPr>
        <w:spacing w:line="240" w:lineRule="auto"/>
        <w:rPr>
          <w:i/>
          <w:iCs/>
        </w:rPr>
      </w:pPr>
      <w:r w:rsidRPr="00DC04BB">
        <w:rPr>
          <w:i/>
          <w:iCs/>
        </w:rPr>
        <w:t>Attendance and participation</w:t>
      </w:r>
    </w:p>
    <w:p w14:paraId="6E4D719B" w14:textId="4530C065" w:rsidR="00AB14ED" w:rsidRDefault="00AB14ED" w:rsidP="009F2704">
      <w:pPr>
        <w:spacing w:line="240" w:lineRule="auto"/>
      </w:pPr>
      <w:r w:rsidRPr="00DC04BB">
        <w:t xml:space="preserve">You are required to attend all scheduled classes and participate fully.  You are allowed </w:t>
      </w:r>
      <w:r w:rsidR="009D3CA7">
        <w:t>three</w:t>
      </w:r>
      <w:r w:rsidRPr="00DC04BB">
        <w:t xml:space="preserve"> unexcused absences, and then each further absence will result in losing 1 of your 10 attendance points.  I reserve the right to reduce this grade further if you are consistently not participating (i.e. just sitting in the back playing on your computer).  </w:t>
      </w:r>
    </w:p>
    <w:p w14:paraId="60D53654" w14:textId="77777777" w:rsidR="00187025" w:rsidRDefault="00187025" w:rsidP="009F2704">
      <w:pPr>
        <w:spacing w:line="240" w:lineRule="auto"/>
      </w:pPr>
    </w:p>
    <w:p w14:paraId="4F7EE528" w14:textId="77777777" w:rsidR="00DC0752" w:rsidRDefault="00DC0752" w:rsidP="009F2704">
      <w:pPr>
        <w:spacing w:line="240" w:lineRule="auto"/>
      </w:pPr>
    </w:p>
    <w:p w14:paraId="31491819" w14:textId="0B8ACD5F" w:rsidR="00DC0752" w:rsidRPr="00DC0752" w:rsidRDefault="00DC0752" w:rsidP="009F2704">
      <w:pPr>
        <w:spacing w:line="240" w:lineRule="auto"/>
        <w:rPr>
          <w:b/>
          <w:bCs/>
        </w:rPr>
      </w:pPr>
      <w:r>
        <w:rPr>
          <w:b/>
          <w:bCs/>
        </w:rPr>
        <w:t>Schedule</w:t>
      </w:r>
    </w:p>
    <w:p w14:paraId="1BD5200D" w14:textId="77777777" w:rsidR="009F2704" w:rsidRDefault="009F2704" w:rsidP="009F2704">
      <w:pPr>
        <w:pStyle w:val="ListParagraph"/>
        <w:numPr>
          <w:ilvl w:val="0"/>
          <w:numId w:val="3"/>
        </w:numPr>
        <w:spacing w:line="240" w:lineRule="auto"/>
      </w:pPr>
      <w:bookmarkStart w:id="0" w:name="_Hlk156056267"/>
      <w:r>
        <w:t>Week 1 - introduction</w:t>
      </w:r>
    </w:p>
    <w:p w14:paraId="5A3B4D17" w14:textId="42837CF7" w:rsidR="009F2704" w:rsidRDefault="009F2704" w:rsidP="009F2704">
      <w:pPr>
        <w:pStyle w:val="ListParagraph"/>
        <w:numPr>
          <w:ilvl w:val="1"/>
          <w:numId w:val="3"/>
        </w:numPr>
        <w:spacing w:line="240" w:lineRule="auto"/>
      </w:pPr>
      <w:r>
        <w:t>Jan. 1</w:t>
      </w:r>
      <w:r w:rsidR="0069643E">
        <w:t>3</w:t>
      </w:r>
    </w:p>
    <w:p w14:paraId="718D5FDB" w14:textId="32F5F64A" w:rsidR="009F2704" w:rsidRDefault="009F2704" w:rsidP="009F2704">
      <w:pPr>
        <w:pStyle w:val="ListParagraph"/>
        <w:numPr>
          <w:ilvl w:val="1"/>
          <w:numId w:val="3"/>
        </w:numPr>
        <w:spacing w:line="240" w:lineRule="auto"/>
      </w:pPr>
      <w:r>
        <w:t>Jan. 1</w:t>
      </w:r>
      <w:r w:rsidR="0069643E">
        <w:t>5</w:t>
      </w:r>
    </w:p>
    <w:p w14:paraId="57A34540" w14:textId="780F2EDE" w:rsidR="009F2704" w:rsidRDefault="00300AEA" w:rsidP="009F2704">
      <w:pPr>
        <w:pStyle w:val="ListParagraph"/>
        <w:numPr>
          <w:ilvl w:val="2"/>
          <w:numId w:val="3"/>
        </w:numPr>
        <w:spacing w:line="240" w:lineRule="auto"/>
      </w:pPr>
      <w:r>
        <w:t xml:space="preserve">“How to Read a Scholarly Article.”  Brown University.  </w:t>
      </w:r>
      <w:hyperlink r:id="rId9" w:history="1">
        <w:r w:rsidRPr="005426B5">
          <w:rPr>
            <w:rStyle w:val="Hyperlink"/>
          </w:rPr>
          <w:t>https://libguides.brown.edu/evaluate/Read</w:t>
        </w:r>
      </w:hyperlink>
      <w:r w:rsidR="009F2704">
        <w:t xml:space="preserve"> (How to read)</w:t>
      </w:r>
    </w:p>
    <w:p w14:paraId="2DA48949" w14:textId="21400C01" w:rsidR="009F2704" w:rsidRDefault="009F2704" w:rsidP="009F2704">
      <w:pPr>
        <w:pStyle w:val="ListParagraph"/>
        <w:numPr>
          <w:ilvl w:val="2"/>
          <w:numId w:val="3"/>
        </w:numPr>
        <w:spacing w:line="240" w:lineRule="auto"/>
      </w:pPr>
      <w:r>
        <w:t>Barnett</w:t>
      </w:r>
      <w:r w:rsidR="00300AEA">
        <w:t>, Michael</w:t>
      </w:r>
      <w:r>
        <w:t xml:space="preserve"> and </w:t>
      </w:r>
      <w:r w:rsidR="00300AEA">
        <w:t xml:space="preserve">Thomas G. </w:t>
      </w:r>
      <w:r>
        <w:t>Weiss</w:t>
      </w:r>
      <w:r w:rsidR="00300AEA">
        <w:t xml:space="preserve">.  2011.  </w:t>
      </w:r>
      <w:r w:rsidRPr="00300AEA">
        <w:rPr>
          <w:i/>
          <w:iCs/>
        </w:rPr>
        <w:t xml:space="preserve">Humanitarianism </w:t>
      </w:r>
      <w:r w:rsidR="00300AEA" w:rsidRPr="00300AEA">
        <w:rPr>
          <w:i/>
          <w:iCs/>
        </w:rPr>
        <w:t>C</w:t>
      </w:r>
      <w:r w:rsidRPr="00300AEA">
        <w:rPr>
          <w:i/>
          <w:iCs/>
        </w:rPr>
        <w:t>ontested</w:t>
      </w:r>
      <w:r w:rsidR="00300AEA" w:rsidRPr="00300AEA">
        <w:rPr>
          <w:i/>
          <w:iCs/>
        </w:rPr>
        <w:t xml:space="preserve">:  Where Angels Fear to Tread.  </w:t>
      </w:r>
      <w:r w:rsidR="00300AEA">
        <w:t>London:  Routledge.</w:t>
      </w:r>
      <w:r>
        <w:t xml:space="preserve"> </w:t>
      </w:r>
      <w:hyperlink r:id="rId10" w:history="1">
        <w:r w:rsidR="00520F8E" w:rsidRPr="005426B5">
          <w:rPr>
            <w:rStyle w:val="Hyperlink"/>
          </w:rPr>
          <w:t>https://doi-org.colorado.idm.oclc.org/10.4324/9780203829301</w:t>
        </w:r>
      </w:hyperlink>
      <w:r w:rsidR="00520F8E">
        <w:t xml:space="preserve">.  </w:t>
      </w:r>
      <w:r>
        <w:t xml:space="preserve">Ch. </w:t>
      </w:r>
      <w:proofErr w:type="gramStart"/>
      <w:r>
        <w:t>1</w:t>
      </w:r>
      <w:r w:rsidR="00300AEA">
        <w:t xml:space="preserve">  (</w:t>
      </w:r>
      <w:proofErr w:type="gramEnd"/>
      <w:r w:rsidR="00300AEA">
        <w:t>On Canvas)</w:t>
      </w:r>
      <w:r>
        <w:t xml:space="preserve">  </w:t>
      </w:r>
    </w:p>
    <w:p w14:paraId="3CEDB905" w14:textId="775A6570" w:rsidR="0069643E" w:rsidRDefault="0069643E" w:rsidP="0069643E">
      <w:pPr>
        <w:pStyle w:val="ListParagraph"/>
        <w:numPr>
          <w:ilvl w:val="1"/>
          <w:numId w:val="3"/>
        </w:numPr>
        <w:spacing w:line="240" w:lineRule="auto"/>
      </w:pPr>
      <w:r>
        <w:t>Jan. 17</w:t>
      </w:r>
    </w:p>
    <w:p w14:paraId="06DFDA33" w14:textId="77777777" w:rsidR="0069643E" w:rsidRDefault="0069643E" w:rsidP="0069643E">
      <w:pPr>
        <w:pStyle w:val="ListParagraph"/>
        <w:numPr>
          <w:ilvl w:val="2"/>
          <w:numId w:val="3"/>
        </w:numPr>
        <w:spacing w:line="240" w:lineRule="auto"/>
      </w:pPr>
      <w:r>
        <w:t xml:space="preserve">Universal Declaration of Human Rights.  </w:t>
      </w:r>
      <w:hyperlink r:id="rId11" w:history="1">
        <w:r w:rsidRPr="005426B5">
          <w:rPr>
            <w:rStyle w:val="Hyperlink"/>
          </w:rPr>
          <w:t>https://www.un.org/en/about-us/universal-declaration-of-human-rights</w:t>
        </w:r>
      </w:hyperlink>
      <w:r>
        <w:t xml:space="preserve"> </w:t>
      </w:r>
    </w:p>
    <w:p w14:paraId="54C280C9" w14:textId="77777777" w:rsidR="0069643E" w:rsidRDefault="0069643E" w:rsidP="0069643E">
      <w:pPr>
        <w:pStyle w:val="ListParagraph"/>
        <w:numPr>
          <w:ilvl w:val="2"/>
          <w:numId w:val="3"/>
        </w:numPr>
        <w:spacing w:line="240" w:lineRule="auto"/>
      </w:pPr>
      <w:r>
        <w:t xml:space="preserve">International Covenant on Civil and Political Rights.  </w:t>
      </w:r>
      <w:hyperlink r:id="rId12" w:history="1">
        <w:r w:rsidRPr="005426B5">
          <w:rPr>
            <w:rStyle w:val="Hyperlink"/>
          </w:rPr>
          <w:t>https://www.ohchr.org/en/instruments-mechanisms/instruments/international-covenant-civil-and-political-rights</w:t>
        </w:r>
      </w:hyperlink>
      <w:r>
        <w:t xml:space="preserve">  (Read through Article 27)  </w:t>
      </w:r>
    </w:p>
    <w:p w14:paraId="3E64D289" w14:textId="1635F569" w:rsidR="0069643E" w:rsidRDefault="0069643E" w:rsidP="00F433AF">
      <w:pPr>
        <w:pStyle w:val="ListParagraph"/>
        <w:numPr>
          <w:ilvl w:val="2"/>
          <w:numId w:val="3"/>
        </w:numPr>
        <w:spacing w:line="240" w:lineRule="auto"/>
      </w:pPr>
      <w:r>
        <w:t xml:space="preserve">Viljoen, Frans.  2012.  </w:t>
      </w:r>
      <w:r w:rsidRPr="00846701">
        <w:rPr>
          <w:i/>
          <w:iCs/>
        </w:rPr>
        <w:t>International Human Rights Law in Africa.</w:t>
      </w:r>
      <w:r>
        <w:t xml:space="preserve"> 2</w:t>
      </w:r>
      <w:r w:rsidRPr="00846701">
        <w:rPr>
          <w:vertAlign w:val="superscript"/>
        </w:rPr>
        <w:t>nd</w:t>
      </w:r>
      <w:r>
        <w:t xml:space="preserve"> edition.  Oxford University Press  </w:t>
      </w:r>
      <w:hyperlink r:id="rId13" w:history="1">
        <w:r w:rsidRPr="001E2821">
          <w:rPr>
            <w:rStyle w:val="Hyperlink"/>
          </w:rPr>
          <w:t>https://academic.oup.com/book/2219</w:t>
        </w:r>
      </w:hyperlink>
      <w:r>
        <w:t xml:space="preserve"> (</w:t>
      </w:r>
      <w:proofErr w:type="spellStart"/>
      <w:r>
        <w:t>ch.</w:t>
      </w:r>
      <w:proofErr w:type="spellEnd"/>
      <w:r>
        <w:t xml:space="preserve"> 1, on Canvas)</w:t>
      </w:r>
    </w:p>
    <w:p w14:paraId="1C33719D" w14:textId="77777777" w:rsidR="009F2704" w:rsidRDefault="009F2704" w:rsidP="009F2704">
      <w:pPr>
        <w:pStyle w:val="ListParagraph"/>
        <w:numPr>
          <w:ilvl w:val="0"/>
          <w:numId w:val="3"/>
        </w:numPr>
        <w:spacing w:line="240" w:lineRule="auto"/>
      </w:pPr>
      <w:r>
        <w:t xml:space="preserve">Week 2 – human rights </w:t>
      </w:r>
    </w:p>
    <w:p w14:paraId="2DE4B575" w14:textId="1D21487D" w:rsidR="0069643E" w:rsidRDefault="0069643E" w:rsidP="009F2704">
      <w:pPr>
        <w:pStyle w:val="ListParagraph"/>
        <w:numPr>
          <w:ilvl w:val="1"/>
          <w:numId w:val="3"/>
        </w:numPr>
        <w:spacing w:line="240" w:lineRule="auto"/>
      </w:pPr>
      <w:r>
        <w:t>Jan 20 – no class</w:t>
      </w:r>
    </w:p>
    <w:p w14:paraId="5E592F8B" w14:textId="4D228700" w:rsidR="009F2704" w:rsidRDefault="009F2704" w:rsidP="009F2704">
      <w:pPr>
        <w:pStyle w:val="ListParagraph"/>
        <w:numPr>
          <w:ilvl w:val="1"/>
          <w:numId w:val="3"/>
        </w:numPr>
        <w:spacing w:line="240" w:lineRule="auto"/>
      </w:pPr>
      <w:r>
        <w:t>Jan 2</w:t>
      </w:r>
      <w:r w:rsidR="0069643E">
        <w:t>2</w:t>
      </w:r>
    </w:p>
    <w:p w14:paraId="1E81DBDD" w14:textId="582AFD51" w:rsidR="009F2704" w:rsidRDefault="009F2704" w:rsidP="009F2704">
      <w:pPr>
        <w:pStyle w:val="ListParagraph"/>
        <w:numPr>
          <w:ilvl w:val="2"/>
          <w:numId w:val="3"/>
        </w:numPr>
        <w:spacing w:line="240" w:lineRule="auto"/>
      </w:pPr>
      <w:r>
        <w:t>Ishay</w:t>
      </w:r>
      <w:r w:rsidR="00255162">
        <w:t xml:space="preserve">, Micheline.  2008. </w:t>
      </w:r>
      <w:r>
        <w:t xml:space="preserve"> </w:t>
      </w:r>
      <w:r w:rsidR="00255162" w:rsidRPr="00255162">
        <w:rPr>
          <w:i/>
          <w:iCs/>
        </w:rPr>
        <w:t xml:space="preserve">The </w:t>
      </w:r>
      <w:r w:rsidRPr="00255162">
        <w:rPr>
          <w:i/>
          <w:iCs/>
        </w:rPr>
        <w:t>History of Human Rights</w:t>
      </w:r>
      <w:r w:rsidR="00255162" w:rsidRPr="00255162">
        <w:rPr>
          <w:i/>
          <w:iCs/>
        </w:rPr>
        <w:t>:  From Ancient Times to the Globalization Era.</w:t>
      </w:r>
      <w:r w:rsidR="00255162">
        <w:t xml:space="preserve">  University of California Press.</w:t>
      </w:r>
      <w:r>
        <w:t xml:space="preserve"> Ch. 1, Ch. </w:t>
      </w:r>
      <w:proofErr w:type="gramStart"/>
      <w:r>
        <w:t>2</w:t>
      </w:r>
      <w:r w:rsidR="00255162">
        <w:t xml:space="preserve">  (</w:t>
      </w:r>
      <w:proofErr w:type="gramEnd"/>
      <w:r w:rsidR="00255162">
        <w:t>On Canvas)</w:t>
      </w:r>
    </w:p>
    <w:p w14:paraId="4650B5DE" w14:textId="027AE0AB" w:rsidR="004A0132" w:rsidRDefault="00000000" w:rsidP="009F2704">
      <w:pPr>
        <w:pStyle w:val="ListParagraph"/>
        <w:numPr>
          <w:ilvl w:val="2"/>
          <w:numId w:val="3"/>
        </w:numPr>
        <w:spacing w:line="240" w:lineRule="auto"/>
      </w:pPr>
      <w:hyperlink r:id="rId14" w:history="1">
        <w:r w:rsidR="004A0132" w:rsidRPr="000E03AE">
          <w:rPr>
            <w:rStyle w:val="Hyperlink"/>
          </w:rPr>
          <w:t>https://www.theunpopulist.net/p/liberalism-isnt-a-western-concept</w:t>
        </w:r>
      </w:hyperlink>
      <w:r w:rsidR="004A0132">
        <w:t xml:space="preserve"> </w:t>
      </w:r>
    </w:p>
    <w:p w14:paraId="76DC6421" w14:textId="20B1DCCD" w:rsidR="009F2704" w:rsidRDefault="009F2704" w:rsidP="009F2704">
      <w:pPr>
        <w:pStyle w:val="ListParagraph"/>
        <w:numPr>
          <w:ilvl w:val="1"/>
          <w:numId w:val="3"/>
        </w:numPr>
        <w:spacing w:line="240" w:lineRule="auto"/>
      </w:pPr>
      <w:r>
        <w:t>Jan 2</w:t>
      </w:r>
      <w:r w:rsidR="0069643E">
        <w:t>4</w:t>
      </w:r>
    </w:p>
    <w:p w14:paraId="4D39707A" w14:textId="57105ED9" w:rsidR="009F2704" w:rsidRDefault="003C0722" w:rsidP="009F2704">
      <w:pPr>
        <w:pStyle w:val="ListParagraph"/>
        <w:numPr>
          <w:ilvl w:val="2"/>
          <w:numId w:val="3"/>
        </w:numPr>
        <w:spacing w:line="240" w:lineRule="auto"/>
      </w:pPr>
      <w:r>
        <w:t xml:space="preserve">Witte, John, M. Christian Green and John Witte.  2011.  </w:t>
      </w:r>
      <w:r w:rsidR="009F2704">
        <w:t>Religion and Human Rights</w:t>
      </w:r>
      <w:r>
        <w:t xml:space="preserve">:  An Introduction.  Oxford University Press.  </w:t>
      </w:r>
      <w:hyperlink r:id="rId15" w:history="1">
        <w:r w:rsidR="009F2704" w:rsidRPr="001E2821">
          <w:rPr>
            <w:rStyle w:val="Hyperlink"/>
          </w:rPr>
          <w:t>https://ebookcentral.proquest.com/lib/ucb/detail.action?docID=800833</w:t>
        </w:r>
      </w:hyperlink>
      <w:r>
        <w:t xml:space="preserve">.  </w:t>
      </w:r>
      <w:proofErr w:type="spellStart"/>
      <w:r w:rsidR="00134934">
        <w:t>C</w:t>
      </w:r>
      <w:r w:rsidR="009F2704">
        <w:t>h</w:t>
      </w:r>
      <w:r>
        <w:t>s</w:t>
      </w:r>
      <w:proofErr w:type="spellEnd"/>
      <w:r w:rsidR="009F2704">
        <w:t>. 3, 5</w:t>
      </w:r>
      <w:r>
        <w:t>, 7</w:t>
      </w:r>
      <w:proofErr w:type="gramStart"/>
      <w:r>
        <w:t>.  (</w:t>
      </w:r>
      <w:proofErr w:type="gramEnd"/>
      <w:r>
        <w:t>On Canvas)</w:t>
      </w:r>
    </w:p>
    <w:p w14:paraId="7C69C577" w14:textId="0587846B" w:rsidR="004A0132" w:rsidRDefault="003C0722" w:rsidP="00F433AF">
      <w:pPr>
        <w:pStyle w:val="ListParagraph"/>
        <w:numPr>
          <w:ilvl w:val="2"/>
          <w:numId w:val="3"/>
        </w:numPr>
        <w:spacing w:line="240" w:lineRule="auto"/>
      </w:pPr>
      <w:r>
        <w:lastRenderedPageBreak/>
        <w:t xml:space="preserve">Lodi, Hafsa.  </w:t>
      </w:r>
      <w:proofErr w:type="gramStart"/>
      <w:r>
        <w:t>2022.  “</w:t>
      </w:r>
      <w:proofErr w:type="gramEnd"/>
      <w:r>
        <w:t xml:space="preserve">Muslim Feminists Are Not </w:t>
      </w:r>
      <w:proofErr w:type="spellStart"/>
      <w:r>
        <w:t>Hereyou’re</w:t>
      </w:r>
      <w:proofErr w:type="spellEnd"/>
      <w:r>
        <w:t xml:space="preserve"> your Misconceptions About Their Faith.”  </w:t>
      </w:r>
      <w:r w:rsidR="00134934">
        <w:t xml:space="preserve">Refinery29.  </w:t>
      </w:r>
      <w:hyperlink r:id="rId16" w:history="1">
        <w:r w:rsidR="00134934" w:rsidRPr="005426B5">
          <w:rPr>
            <w:rStyle w:val="Hyperlink"/>
          </w:rPr>
          <w:t>https://www.refinery29.com/en-gb/muslim-feminism-womens-rights</w:t>
        </w:r>
      </w:hyperlink>
      <w:r w:rsidR="009F2704">
        <w:t xml:space="preserve"> </w:t>
      </w:r>
    </w:p>
    <w:p w14:paraId="2BD8D9D0" w14:textId="77777777" w:rsidR="009F2704" w:rsidRDefault="009F2704" w:rsidP="009F2704">
      <w:pPr>
        <w:pStyle w:val="ListParagraph"/>
        <w:numPr>
          <w:ilvl w:val="0"/>
          <w:numId w:val="3"/>
        </w:numPr>
        <w:spacing w:line="240" w:lineRule="auto"/>
      </w:pPr>
      <w:r>
        <w:t>Week 3 – why do states violate human rights?</w:t>
      </w:r>
    </w:p>
    <w:p w14:paraId="3928CA38" w14:textId="0E578F82" w:rsidR="009F2704" w:rsidRDefault="009F2704" w:rsidP="009F2704">
      <w:pPr>
        <w:pStyle w:val="ListParagraph"/>
        <w:numPr>
          <w:ilvl w:val="1"/>
          <w:numId w:val="3"/>
        </w:numPr>
        <w:spacing w:line="240" w:lineRule="auto"/>
      </w:pPr>
      <w:r>
        <w:t>Jan 2</w:t>
      </w:r>
      <w:r w:rsidR="0069643E">
        <w:t>7</w:t>
      </w:r>
      <w:r>
        <w:t xml:space="preserve"> – Iran pt. 1</w:t>
      </w:r>
    </w:p>
    <w:p w14:paraId="468B8038" w14:textId="15B6C515" w:rsidR="008C7365" w:rsidRDefault="008C7365" w:rsidP="008C7365">
      <w:pPr>
        <w:pStyle w:val="ListParagraph"/>
        <w:numPr>
          <w:ilvl w:val="2"/>
          <w:numId w:val="3"/>
        </w:numPr>
        <w:spacing w:line="240" w:lineRule="auto"/>
      </w:pPr>
      <w:r>
        <w:t xml:space="preserve">“The Islamic Republic’s Power Centers.”  Council on Foreign Relations.  </w:t>
      </w:r>
      <w:hyperlink r:id="rId17" w:history="1">
        <w:r w:rsidRPr="005426B5">
          <w:rPr>
            <w:rStyle w:val="Hyperlink"/>
          </w:rPr>
          <w:t>https://www.cfr.org/article/islamic-republics-power-centers</w:t>
        </w:r>
      </w:hyperlink>
    </w:p>
    <w:p w14:paraId="4367438C" w14:textId="43B08D89" w:rsidR="008C7365" w:rsidRDefault="008C7365" w:rsidP="008C7365">
      <w:pPr>
        <w:pStyle w:val="ListParagraph"/>
        <w:numPr>
          <w:ilvl w:val="2"/>
          <w:numId w:val="3"/>
        </w:numPr>
        <w:spacing w:line="240" w:lineRule="auto"/>
      </w:pPr>
      <w:r>
        <w:t xml:space="preserve">“Iran </w:t>
      </w:r>
      <w:proofErr w:type="gramStart"/>
      <w:r>
        <w:t>2022”  Amnesty</w:t>
      </w:r>
      <w:proofErr w:type="gramEnd"/>
      <w:r>
        <w:t xml:space="preserve"> International.  </w:t>
      </w:r>
      <w:hyperlink r:id="rId18" w:history="1">
        <w:r w:rsidRPr="005426B5">
          <w:rPr>
            <w:rStyle w:val="Hyperlink"/>
          </w:rPr>
          <w:t>https://www.amnesty.org/en/location/middle-east-and-north-africa/iran/report-iran/</w:t>
        </w:r>
      </w:hyperlink>
    </w:p>
    <w:p w14:paraId="11034B87" w14:textId="05C82E54" w:rsidR="008C7365" w:rsidRDefault="00E85A62" w:rsidP="008C7365">
      <w:pPr>
        <w:pStyle w:val="ListParagraph"/>
        <w:numPr>
          <w:ilvl w:val="2"/>
          <w:numId w:val="3"/>
        </w:numPr>
        <w:spacing w:line="240" w:lineRule="auto"/>
      </w:pPr>
      <w:proofErr w:type="spellStart"/>
      <w:r>
        <w:t>Ziabari</w:t>
      </w:r>
      <w:proofErr w:type="spellEnd"/>
      <w:r>
        <w:t xml:space="preserve">, Kourosh.  </w:t>
      </w:r>
      <w:proofErr w:type="gramStart"/>
      <w:r>
        <w:t>2023.  “</w:t>
      </w:r>
      <w:proofErr w:type="gramEnd"/>
      <w:r>
        <w:t xml:space="preserve">Female Protests in Iran:  One Year Later.”  USIP.  </w:t>
      </w:r>
      <w:hyperlink r:id="rId19" w:history="1">
        <w:r w:rsidRPr="005426B5">
          <w:rPr>
            <w:rStyle w:val="Hyperlink"/>
          </w:rPr>
          <w:t>https://iranprimer.usip.org/blog/2023/sep/06/protests-anniversary-one-year-later</w:t>
        </w:r>
      </w:hyperlink>
      <w:r>
        <w:t xml:space="preserve"> </w:t>
      </w:r>
    </w:p>
    <w:p w14:paraId="439EC689" w14:textId="428A0966" w:rsidR="0093004A" w:rsidRDefault="0093004A" w:rsidP="008C7365">
      <w:pPr>
        <w:pStyle w:val="ListParagraph"/>
        <w:numPr>
          <w:ilvl w:val="2"/>
          <w:numId w:val="3"/>
        </w:numPr>
        <w:spacing w:line="240" w:lineRule="auto"/>
      </w:pPr>
      <w:r>
        <w:t xml:space="preserve">Milani, Abbas.  </w:t>
      </w:r>
      <w:proofErr w:type="gramStart"/>
      <w:r>
        <w:t>2010.  “</w:t>
      </w:r>
      <w:proofErr w:type="gramEnd"/>
      <w:r>
        <w:t xml:space="preserve">The Green Movement.”  USIP.  </w:t>
      </w:r>
      <w:hyperlink r:id="rId20" w:history="1">
        <w:r w:rsidRPr="005426B5">
          <w:rPr>
            <w:rStyle w:val="Hyperlink"/>
          </w:rPr>
          <w:t>https://iranprimer.usip.org/resource/green-movement</w:t>
        </w:r>
      </w:hyperlink>
    </w:p>
    <w:p w14:paraId="5E1DBF65" w14:textId="2E013529" w:rsidR="0093004A" w:rsidRDefault="0093004A" w:rsidP="008C7365">
      <w:pPr>
        <w:pStyle w:val="ListParagraph"/>
        <w:numPr>
          <w:ilvl w:val="2"/>
          <w:numId w:val="3"/>
        </w:numPr>
        <w:spacing w:line="240" w:lineRule="auto"/>
      </w:pPr>
      <w:proofErr w:type="spellStart"/>
      <w:r>
        <w:t>Alfoneh</w:t>
      </w:r>
      <w:proofErr w:type="spellEnd"/>
      <w:r>
        <w:t xml:space="preserve">, Ali.  </w:t>
      </w:r>
      <w:proofErr w:type="gramStart"/>
      <w:r>
        <w:t>2010.  “</w:t>
      </w:r>
      <w:proofErr w:type="gramEnd"/>
      <w:r>
        <w:t>All the Guards Men:  Iran’s Silent Revolution.”  World Affairs.  173(3):  73-79.  (On Canvas)</w:t>
      </w:r>
    </w:p>
    <w:p w14:paraId="0665D123" w14:textId="3BF38B6F" w:rsidR="00092289" w:rsidRDefault="009F2704" w:rsidP="0096041B">
      <w:pPr>
        <w:pStyle w:val="ListParagraph"/>
        <w:numPr>
          <w:ilvl w:val="1"/>
          <w:numId w:val="3"/>
        </w:numPr>
        <w:spacing w:line="240" w:lineRule="auto"/>
      </w:pPr>
      <w:r>
        <w:t xml:space="preserve">Jan </w:t>
      </w:r>
      <w:r w:rsidR="0069643E">
        <w:t>29</w:t>
      </w:r>
      <w:r>
        <w:t xml:space="preserve"> – repression</w:t>
      </w:r>
    </w:p>
    <w:p w14:paraId="2999BF3F" w14:textId="63206039" w:rsidR="00EA186E" w:rsidRDefault="00EA186E" w:rsidP="00092289">
      <w:pPr>
        <w:pStyle w:val="ListParagraph"/>
        <w:numPr>
          <w:ilvl w:val="2"/>
          <w:numId w:val="3"/>
        </w:numPr>
        <w:spacing w:line="240" w:lineRule="auto"/>
      </w:pPr>
      <w:proofErr w:type="spellStart"/>
      <w:r>
        <w:t>deMeritt</w:t>
      </w:r>
      <w:proofErr w:type="spellEnd"/>
      <w:r>
        <w:t xml:space="preserve">, Jacqueline H.R.  </w:t>
      </w:r>
      <w:proofErr w:type="gramStart"/>
      <w:r>
        <w:t>2016.  “</w:t>
      </w:r>
      <w:proofErr w:type="gramEnd"/>
      <w:r w:rsidRPr="00EA186E">
        <w:t>The Strategic Use of State Repression and Political Violence</w:t>
      </w:r>
      <w:r>
        <w:t>”  Oxford Research Encyclopedias.</w:t>
      </w:r>
    </w:p>
    <w:p w14:paraId="5FFCC260" w14:textId="472675F1" w:rsidR="009F2704" w:rsidRDefault="00EA186E" w:rsidP="00092289">
      <w:pPr>
        <w:pStyle w:val="ListParagraph"/>
        <w:numPr>
          <w:ilvl w:val="2"/>
          <w:numId w:val="3"/>
        </w:numPr>
        <w:spacing w:line="240" w:lineRule="auto"/>
      </w:pPr>
      <w:r w:rsidRPr="00EA186E">
        <w:t xml:space="preserve">Hafner-Burton, E. M. (2014). </w:t>
      </w:r>
      <w:r>
        <w:t>“</w:t>
      </w:r>
      <w:r w:rsidRPr="00EA186E">
        <w:t>A social science of human rights.</w:t>
      </w:r>
      <w:r>
        <w:t>”</w:t>
      </w:r>
      <w:r w:rsidRPr="00EA186E">
        <w:t xml:space="preserve"> Journal of Peace Research, 51(2), 273–286. http://www.jstor.org/stable/24557421</w:t>
      </w:r>
    </w:p>
    <w:p w14:paraId="7EB9BFDA" w14:textId="15714371" w:rsidR="009F2704" w:rsidRDefault="0069643E" w:rsidP="009F2704">
      <w:pPr>
        <w:pStyle w:val="ListParagraph"/>
        <w:numPr>
          <w:ilvl w:val="1"/>
          <w:numId w:val="3"/>
        </w:numPr>
        <w:spacing w:line="240" w:lineRule="auto"/>
      </w:pPr>
      <w:r>
        <w:t>Jan 31</w:t>
      </w:r>
      <w:r w:rsidR="009F2704">
        <w:t xml:space="preserve"> – </w:t>
      </w:r>
      <w:r w:rsidR="00EA186E">
        <w:t>repression pt. 2</w:t>
      </w:r>
    </w:p>
    <w:p w14:paraId="155D1DAB" w14:textId="1B2D80B3" w:rsidR="00B57D20" w:rsidRDefault="00F229F1" w:rsidP="00F6489E">
      <w:pPr>
        <w:pStyle w:val="ListParagraph"/>
        <w:numPr>
          <w:ilvl w:val="2"/>
          <w:numId w:val="3"/>
        </w:numPr>
        <w:spacing w:line="240" w:lineRule="auto"/>
      </w:pPr>
      <w:r>
        <w:t>Hassan,</w:t>
      </w:r>
      <w:r w:rsidR="00E74389">
        <w:t xml:space="preserve"> Mai</w:t>
      </w:r>
      <w:r>
        <w:t xml:space="preserve"> Daniel Mattingly, Elizabeth R. Nugent</w:t>
      </w:r>
      <w:r w:rsidR="00E74389">
        <w:t>.  2022</w:t>
      </w:r>
      <w:r>
        <w:t xml:space="preserve"> </w:t>
      </w:r>
      <w:r w:rsidR="00E74389">
        <w:t xml:space="preserve">“Political Control.” </w:t>
      </w:r>
      <w:r>
        <w:t>Annual Review of Political Science</w:t>
      </w:r>
      <w:r w:rsidR="00E74389">
        <w:t xml:space="preserve">. </w:t>
      </w:r>
      <w:r>
        <w:t xml:space="preserve"> 25:1, 155-174</w:t>
      </w:r>
    </w:p>
    <w:p w14:paraId="0488F880" w14:textId="61611099" w:rsidR="00F229F1" w:rsidRDefault="00F229F1" w:rsidP="00F6489E">
      <w:pPr>
        <w:pStyle w:val="ListParagraph"/>
        <w:numPr>
          <w:ilvl w:val="2"/>
          <w:numId w:val="3"/>
        </w:numPr>
        <w:spacing w:line="240" w:lineRule="auto"/>
      </w:pPr>
      <w:r w:rsidRPr="00F229F1">
        <w:t xml:space="preserve">Frantz, E., &amp; Kendall-Taylor, A. </w:t>
      </w:r>
      <w:r w:rsidR="00E74389">
        <w:t xml:space="preserve"> </w:t>
      </w:r>
      <w:proofErr w:type="gramStart"/>
      <w:r w:rsidRPr="00F229F1">
        <w:t xml:space="preserve">2014. </w:t>
      </w:r>
      <w:r w:rsidR="00E74389">
        <w:t xml:space="preserve"> “</w:t>
      </w:r>
      <w:proofErr w:type="gramEnd"/>
      <w:r w:rsidRPr="00F229F1">
        <w:t>A dictator’s toolkit: Understanding how co-optation affects repression in autocracies.</w:t>
      </w:r>
      <w:r w:rsidR="00E74389">
        <w:t xml:space="preserve">” </w:t>
      </w:r>
      <w:r w:rsidRPr="00F229F1">
        <w:t xml:space="preserve"> Journal of Peace Research, 51(3), 332–346. http://www.jstor.org/stable/24557483</w:t>
      </w:r>
    </w:p>
    <w:p w14:paraId="39966302" w14:textId="01C129C4" w:rsidR="009F2704" w:rsidRDefault="009F2704" w:rsidP="009F2704">
      <w:pPr>
        <w:pStyle w:val="ListParagraph"/>
        <w:numPr>
          <w:ilvl w:val="0"/>
          <w:numId w:val="3"/>
        </w:numPr>
        <w:spacing w:line="240" w:lineRule="auto"/>
      </w:pPr>
      <w:r>
        <w:t xml:space="preserve">Week 4 – </w:t>
      </w:r>
      <w:r w:rsidR="00A84D24">
        <w:t>Minority rights</w:t>
      </w:r>
    </w:p>
    <w:p w14:paraId="596122F6" w14:textId="43CB18F8" w:rsidR="009F2704" w:rsidRDefault="009F2704" w:rsidP="009F2704">
      <w:pPr>
        <w:pStyle w:val="ListParagraph"/>
        <w:numPr>
          <w:ilvl w:val="1"/>
          <w:numId w:val="3"/>
        </w:numPr>
        <w:spacing w:line="240" w:lineRule="auto"/>
      </w:pPr>
      <w:r>
        <w:t xml:space="preserve">Feb </w:t>
      </w:r>
      <w:r w:rsidR="0069643E">
        <w:t>3</w:t>
      </w:r>
      <w:r>
        <w:t xml:space="preserve"> – </w:t>
      </w:r>
      <w:r w:rsidR="00B53C62">
        <w:t>repression cont</w:t>
      </w:r>
      <w:r w:rsidR="008017F2">
        <w:t>.</w:t>
      </w:r>
    </w:p>
    <w:p w14:paraId="30B2D9E5" w14:textId="77777777" w:rsidR="001B53B4" w:rsidRPr="00DB388F" w:rsidRDefault="001B53B4" w:rsidP="001B53B4">
      <w:pPr>
        <w:pStyle w:val="ListParagraph"/>
        <w:numPr>
          <w:ilvl w:val="2"/>
          <w:numId w:val="3"/>
        </w:numPr>
        <w:spacing w:line="240" w:lineRule="auto"/>
      </w:pPr>
      <w:r>
        <w:t xml:space="preserve">Kuran, Timur.  </w:t>
      </w:r>
      <w:proofErr w:type="gramStart"/>
      <w:r>
        <w:t>2001.  “</w:t>
      </w:r>
      <w:proofErr w:type="gramEnd"/>
      <w:r>
        <w:t>Sparks and Prairie Fires:  A Theory of Unanticipated Political Revolution.”  Public Choice.  61(1):  41-74</w:t>
      </w:r>
    </w:p>
    <w:p w14:paraId="59F9B4F1" w14:textId="178BD615" w:rsidR="00B53C62" w:rsidRDefault="00B53C62" w:rsidP="00CE5AAB">
      <w:pPr>
        <w:pStyle w:val="ListParagraph"/>
        <w:numPr>
          <w:ilvl w:val="2"/>
          <w:numId w:val="3"/>
        </w:numPr>
        <w:spacing w:line="240" w:lineRule="auto"/>
      </w:pPr>
      <w:r>
        <w:t>Palmer</w:t>
      </w:r>
      <w:r w:rsidR="001B53B4">
        <w:t xml:space="preserve">, Ada.  </w:t>
      </w:r>
      <w:proofErr w:type="gramStart"/>
      <w:r w:rsidR="001B53B4">
        <w:t>2024.  “</w:t>
      </w:r>
      <w:proofErr w:type="gramEnd"/>
      <w:r w:rsidR="001B53B4">
        <w:t xml:space="preserve">Tools for Thinking About Censorship.”  Ex Urbe Blog.  </w:t>
      </w:r>
      <w:hyperlink r:id="rId21" w:history="1">
        <w:r w:rsidR="001B53B4" w:rsidRPr="00865264">
          <w:rPr>
            <w:rStyle w:val="Hyperlink"/>
          </w:rPr>
          <w:t>https://www.exurbe.com/tools-for-thinking-about-censorship/</w:t>
        </w:r>
      </w:hyperlink>
      <w:r w:rsidR="001B53B4">
        <w:t xml:space="preserve"> </w:t>
      </w:r>
    </w:p>
    <w:p w14:paraId="0C25A61C" w14:textId="75B7282E" w:rsidR="009F2704" w:rsidRDefault="009F2704" w:rsidP="00CE5AAB">
      <w:pPr>
        <w:pStyle w:val="ListParagraph"/>
        <w:numPr>
          <w:ilvl w:val="1"/>
          <w:numId w:val="3"/>
        </w:numPr>
        <w:spacing w:line="240" w:lineRule="auto"/>
      </w:pPr>
      <w:r>
        <w:t xml:space="preserve">Feb </w:t>
      </w:r>
      <w:r w:rsidR="0069643E">
        <w:t>5</w:t>
      </w:r>
      <w:r>
        <w:t xml:space="preserve"> – </w:t>
      </w:r>
      <w:r w:rsidR="004241FF">
        <w:t>Minority rights</w:t>
      </w:r>
    </w:p>
    <w:p w14:paraId="6B8B805E" w14:textId="4E086685" w:rsidR="00A75CEB" w:rsidRDefault="00B12BE6" w:rsidP="00CE5AAB">
      <w:pPr>
        <w:pStyle w:val="ListParagraph"/>
        <w:numPr>
          <w:ilvl w:val="2"/>
          <w:numId w:val="3"/>
        </w:numPr>
        <w:spacing w:line="240" w:lineRule="auto"/>
      </w:pPr>
      <w:r>
        <w:t xml:space="preserve">Scribner, Colleen.  </w:t>
      </w:r>
      <w:proofErr w:type="gramStart"/>
      <w:r>
        <w:t>2019.  “</w:t>
      </w:r>
      <w:proofErr w:type="gramEnd"/>
      <w:r>
        <w:t xml:space="preserve">Why Strongmen Attack Women’s Rights.”  Freedom House.  </w:t>
      </w:r>
      <w:hyperlink r:id="rId22" w:history="1">
        <w:r w:rsidRPr="002E58E6">
          <w:rPr>
            <w:rStyle w:val="Hyperlink"/>
          </w:rPr>
          <w:t>https://freedomhouse.org/article/why-strongmen-attack-womens-rights</w:t>
        </w:r>
      </w:hyperlink>
      <w:r>
        <w:t xml:space="preserve"> </w:t>
      </w:r>
    </w:p>
    <w:p w14:paraId="01D9C2B0" w14:textId="47C1A95F" w:rsidR="00CE5AAB" w:rsidRDefault="00CE5AAB" w:rsidP="00CE5AAB">
      <w:pPr>
        <w:pStyle w:val="ListParagraph"/>
        <w:numPr>
          <w:ilvl w:val="2"/>
          <w:numId w:val="3"/>
        </w:numPr>
        <w:spacing w:line="240" w:lineRule="auto"/>
      </w:pPr>
      <w:r w:rsidRPr="00CE5AAB">
        <w:t>Ayoub</w:t>
      </w:r>
      <w:r>
        <w:t>, Phillip M.</w:t>
      </w:r>
      <w:r w:rsidRPr="00CE5AAB">
        <w:t xml:space="preserve"> </w:t>
      </w:r>
      <w:r>
        <w:t xml:space="preserve"> </w:t>
      </w:r>
      <w:proofErr w:type="gramStart"/>
      <w:r w:rsidRPr="00CE5AAB">
        <w:t>2014</w:t>
      </w:r>
      <w:r>
        <w:t xml:space="preserve">. </w:t>
      </w:r>
      <w:r w:rsidRPr="00CE5AAB">
        <w:t xml:space="preserve"> </w:t>
      </w:r>
      <w:r>
        <w:t>“</w:t>
      </w:r>
      <w:proofErr w:type="gramEnd"/>
      <w:r w:rsidRPr="00CE5AAB">
        <w:t>With Arms Wide Shut: Threat Perception, Norm Reception, and Mobilized Resistance to LGBT Rights</w:t>
      </w:r>
      <w:r>
        <w:t xml:space="preserve">.” </w:t>
      </w:r>
      <w:r w:rsidRPr="00CE5AAB">
        <w:t xml:space="preserve"> </w:t>
      </w:r>
      <w:r w:rsidRPr="00CE5AAB">
        <w:rPr>
          <w:i/>
          <w:iCs/>
        </w:rPr>
        <w:t>Journal of Human Rights</w:t>
      </w:r>
      <w:r>
        <w:t>.</w:t>
      </w:r>
      <w:r w:rsidRPr="00CE5AAB">
        <w:t xml:space="preserve"> 13</w:t>
      </w:r>
      <w:r>
        <w:t>(</w:t>
      </w:r>
      <w:r w:rsidRPr="00CE5AAB">
        <w:t>3</w:t>
      </w:r>
      <w:r>
        <w:t>):</w:t>
      </w:r>
      <w:r w:rsidRPr="00CE5AAB">
        <w:t xml:space="preserve"> 337-362</w:t>
      </w:r>
      <w:r>
        <w:t>.</w:t>
      </w:r>
      <w:r w:rsidRPr="00CE5AAB">
        <w:t xml:space="preserve"> DOI: 10.1080/14754835.2014.919213</w:t>
      </w:r>
    </w:p>
    <w:p w14:paraId="66FD8F49" w14:textId="47CBF5FA" w:rsidR="00A75CEB" w:rsidRPr="00CE5AAB" w:rsidRDefault="00A75CEB" w:rsidP="00CE5AAB">
      <w:pPr>
        <w:pStyle w:val="ListParagraph"/>
        <w:numPr>
          <w:ilvl w:val="2"/>
          <w:numId w:val="3"/>
        </w:numPr>
        <w:spacing w:line="240" w:lineRule="auto"/>
      </w:pPr>
      <w:r w:rsidRPr="00A75CEB">
        <w:t>Posner, D</w:t>
      </w:r>
      <w:r>
        <w:t>aniel</w:t>
      </w:r>
      <w:r w:rsidRPr="00A75CEB">
        <w:t xml:space="preserve"> N. </w:t>
      </w:r>
      <w:r>
        <w:t xml:space="preserve"> </w:t>
      </w:r>
      <w:proofErr w:type="gramStart"/>
      <w:r w:rsidRPr="00A75CEB">
        <w:t>2004.</w:t>
      </w:r>
      <w:r>
        <w:t xml:space="preserve"> </w:t>
      </w:r>
      <w:r w:rsidRPr="00A75CEB">
        <w:t xml:space="preserve"> </w:t>
      </w:r>
      <w:r>
        <w:t>“</w:t>
      </w:r>
      <w:proofErr w:type="gramEnd"/>
      <w:r w:rsidRPr="00A75CEB">
        <w:t xml:space="preserve">The Political Salience of Cultural Difference: Why Chewas and </w:t>
      </w:r>
      <w:proofErr w:type="spellStart"/>
      <w:r w:rsidRPr="00A75CEB">
        <w:t>Tumbukas</w:t>
      </w:r>
      <w:proofErr w:type="spellEnd"/>
      <w:r w:rsidRPr="00A75CEB">
        <w:t xml:space="preserve"> Are Allies in Zambia and Adversaries in Malawi.</w:t>
      </w:r>
      <w:r>
        <w:t xml:space="preserve">” </w:t>
      </w:r>
      <w:r w:rsidRPr="00A75CEB">
        <w:t xml:space="preserve"> </w:t>
      </w:r>
      <w:r w:rsidRPr="00A75CEB">
        <w:rPr>
          <w:i/>
          <w:iCs/>
        </w:rPr>
        <w:t>The American Political Science Review</w:t>
      </w:r>
      <w:r>
        <w:t>.</w:t>
      </w:r>
      <w:r w:rsidRPr="00A75CEB">
        <w:t xml:space="preserve"> 98(4), 529–545. http://www.jstor.org/stable/4145323</w:t>
      </w:r>
    </w:p>
    <w:p w14:paraId="4C4845CB" w14:textId="51B26C88" w:rsidR="002D7F5E" w:rsidRDefault="009F2704" w:rsidP="002708D6">
      <w:pPr>
        <w:pStyle w:val="ListParagraph"/>
        <w:numPr>
          <w:ilvl w:val="1"/>
          <w:numId w:val="3"/>
        </w:numPr>
        <w:spacing w:line="240" w:lineRule="auto"/>
      </w:pPr>
      <w:r>
        <w:t xml:space="preserve">Feb </w:t>
      </w:r>
      <w:r w:rsidR="0069643E">
        <w:t>7</w:t>
      </w:r>
      <w:r>
        <w:t xml:space="preserve"> </w:t>
      </w:r>
    </w:p>
    <w:p w14:paraId="195C90F4" w14:textId="1CE25CF8" w:rsidR="009F2704" w:rsidRDefault="009F2704" w:rsidP="00CE5AAB">
      <w:pPr>
        <w:pStyle w:val="ListParagraph"/>
        <w:numPr>
          <w:ilvl w:val="0"/>
          <w:numId w:val="3"/>
        </w:numPr>
        <w:spacing w:line="240" w:lineRule="auto"/>
      </w:pPr>
      <w:r>
        <w:lastRenderedPageBreak/>
        <w:t xml:space="preserve">Week 5 </w:t>
      </w:r>
      <w:r w:rsidR="00DD1F87">
        <w:t xml:space="preserve">– protecting </w:t>
      </w:r>
      <w:r w:rsidR="00A84D24">
        <w:t>human rights</w:t>
      </w:r>
    </w:p>
    <w:p w14:paraId="44FA82A2" w14:textId="77777777" w:rsidR="002708D6" w:rsidRDefault="009F2704" w:rsidP="002708D6">
      <w:pPr>
        <w:pStyle w:val="ListParagraph"/>
        <w:numPr>
          <w:ilvl w:val="1"/>
          <w:numId w:val="3"/>
        </w:numPr>
        <w:spacing w:line="240" w:lineRule="auto"/>
      </w:pPr>
      <w:r>
        <w:t xml:space="preserve">Feb </w:t>
      </w:r>
      <w:r w:rsidR="0069643E">
        <w:t>10</w:t>
      </w:r>
      <w:r w:rsidR="00A84D24">
        <w:t xml:space="preserve"> </w:t>
      </w:r>
      <w:r w:rsidR="002708D6">
        <w:t xml:space="preserve">– Iran pt. 2 </w:t>
      </w:r>
    </w:p>
    <w:p w14:paraId="597269E6" w14:textId="77777777" w:rsidR="002708D6" w:rsidRDefault="002708D6" w:rsidP="002708D6">
      <w:pPr>
        <w:pStyle w:val="ListParagraph"/>
        <w:numPr>
          <w:ilvl w:val="2"/>
          <w:numId w:val="3"/>
        </w:numPr>
        <w:spacing w:line="240" w:lineRule="auto"/>
      </w:pPr>
      <w:r>
        <w:t xml:space="preserve">Parsa, Misagh.  </w:t>
      </w:r>
      <w:proofErr w:type="gramStart"/>
      <w:r>
        <w:t>2020.  “</w:t>
      </w:r>
      <w:proofErr w:type="gramEnd"/>
      <w:r>
        <w:t>Authoritarian Survival:  Iran’s Republic of Repression.”  Journal of Democracy.  31(3):  54-68</w:t>
      </w:r>
    </w:p>
    <w:p w14:paraId="15558FB9" w14:textId="77777777" w:rsidR="002708D6" w:rsidRDefault="002708D6" w:rsidP="002708D6">
      <w:pPr>
        <w:pStyle w:val="ListParagraph"/>
        <w:numPr>
          <w:ilvl w:val="2"/>
          <w:numId w:val="3"/>
        </w:numPr>
        <w:spacing w:line="240" w:lineRule="auto"/>
      </w:pPr>
      <w:r>
        <w:t xml:space="preserve">Berger, Miriam.  </w:t>
      </w:r>
      <w:proofErr w:type="gramStart"/>
      <w:r>
        <w:t>2023.  “</w:t>
      </w:r>
      <w:proofErr w:type="gramEnd"/>
      <w:r>
        <w:t xml:space="preserve">A year after Mahsa Amini’s death:  Repression and defiance in Iran.”  Washington Post.  </w:t>
      </w:r>
      <w:hyperlink r:id="rId23" w:history="1">
        <w:r w:rsidRPr="002E58E6">
          <w:rPr>
            <w:rStyle w:val="Hyperlink"/>
          </w:rPr>
          <w:t>https://www.washingtonpost.com/world/2023/09/16/iran-mahsa-amini-anniversary-protests/</w:t>
        </w:r>
      </w:hyperlink>
      <w:r>
        <w:t xml:space="preserve"> (also on Canvas)</w:t>
      </w:r>
    </w:p>
    <w:p w14:paraId="2793CC8C" w14:textId="77777777" w:rsidR="002708D6" w:rsidRDefault="009F2704" w:rsidP="002708D6">
      <w:pPr>
        <w:pStyle w:val="ListParagraph"/>
        <w:numPr>
          <w:ilvl w:val="1"/>
          <w:numId w:val="3"/>
        </w:numPr>
        <w:spacing w:line="240" w:lineRule="auto"/>
      </w:pPr>
      <w:r>
        <w:t>Feb 1</w:t>
      </w:r>
      <w:r w:rsidR="0069643E">
        <w:t>2</w:t>
      </w:r>
      <w:r w:rsidR="00A84D24">
        <w:t xml:space="preserve"> </w:t>
      </w:r>
      <w:r w:rsidR="002708D6">
        <w:t xml:space="preserve">– democracy </w:t>
      </w:r>
    </w:p>
    <w:p w14:paraId="6C1AE335" w14:textId="77777777" w:rsidR="002708D6" w:rsidRDefault="002708D6" w:rsidP="002708D6">
      <w:pPr>
        <w:pStyle w:val="ListParagraph"/>
        <w:numPr>
          <w:ilvl w:val="2"/>
          <w:numId w:val="3"/>
        </w:numPr>
        <w:spacing w:line="240" w:lineRule="auto"/>
      </w:pPr>
      <w:r>
        <w:t xml:space="preserve">Conrad, Courtenay Ryals and Will H. Moore.  </w:t>
      </w:r>
      <w:proofErr w:type="gramStart"/>
      <w:r>
        <w:t>2010.  “</w:t>
      </w:r>
      <w:proofErr w:type="gramEnd"/>
      <w:r>
        <w:t>What Stops Torture?”  American Journal of Political Science.  54(2):  459-476.</w:t>
      </w:r>
    </w:p>
    <w:p w14:paraId="5E8B6BFA" w14:textId="77777777" w:rsidR="002708D6" w:rsidRDefault="002708D6" w:rsidP="002708D6">
      <w:pPr>
        <w:pStyle w:val="ListParagraph"/>
        <w:numPr>
          <w:ilvl w:val="2"/>
          <w:numId w:val="3"/>
        </w:numPr>
        <w:spacing w:line="240" w:lineRule="auto"/>
      </w:pPr>
      <w:r w:rsidRPr="005B403B">
        <w:t>Davenport, C</w:t>
      </w:r>
      <w:r>
        <w:t>hristian</w:t>
      </w:r>
      <w:r w:rsidRPr="005B403B">
        <w:t xml:space="preserve"> &amp; Armstrong, D</w:t>
      </w:r>
      <w:r>
        <w:t>avid</w:t>
      </w:r>
      <w:r w:rsidRPr="005B403B">
        <w:t xml:space="preserve"> A. 2004. </w:t>
      </w:r>
      <w:r>
        <w:t xml:space="preserve"> “</w:t>
      </w:r>
      <w:r w:rsidRPr="005B403B">
        <w:t>Democracy and the Violation of Human Rights: A Statistical Analysis from 1976 to 1996.</w:t>
      </w:r>
      <w:r>
        <w:t>”</w:t>
      </w:r>
      <w:r w:rsidRPr="005B403B">
        <w:t xml:space="preserve"> American Journal of Political Science, 48(3), 538–554. </w:t>
      </w:r>
      <w:hyperlink r:id="rId24" w:history="1">
        <w:r w:rsidRPr="001A7FAA">
          <w:rPr>
            <w:rStyle w:val="Hyperlink"/>
          </w:rPr>
          <w:t>https://doi.org/10.2307/1519915</w:t>
        </w:r>
      </w:hyperlink>
      <w:r>
        <w:t xml:space="preserve">  (don’t focus on math on either piece)</w:t>
      </w:r>
    </w:p>
    <w:p w14:paraId="6CE8BB1D" w14:textId="77777777" w:rsidR="002708D6" w:rsidRDefault="009F2704" w:rsidP="002708D6">
      <w:pPr>
        <w:pStyle w:val="ListParagraph"/>
        <w:numPr>
          <w:ilvl w:val="1"/>
          <w:numId w:val="3"/>
        </w:numPr>
        <w:spacing w:line="240" w:lineRule="auto"/>
      </w:pPr>
      <w:r>
        <w:t>Feb 1</w:t>
      </w:r>
      <w:r w:rsidR="0069643E">
        <w:t>4</w:t>
      </w:r>
      <w:r w:rsidR="00A84D24">
        <w:t xml:space="preserve"> </w:t>
      </w:r>
      <w:r w:rsidR="002708D6">
        <w:t xml:space="preserve">– international institutions </w:t>
      </w:r>
    </w:p>
    <w:p w14:paraId="375F3FF2" w14:textId="77777777" w:rsidR="002708D6" w:rsidRDefault="002708D6" w:rsidP="002708D6">
      <w:pPr>
        <w:pStyle w:val="ListParagraph"/>
        <w:numPr>
          <w:ilvl w:val="2"/>
          <w:numId w:val="3"/>
        </w:numPr>
        <w:spacing w:line="240" w:lineRule="auto"/>
      </w:pPr>
      <w:r w:rsidRPr="00F15C2C">
        <w:t xml:space="preserve">Hafner-Burton EM, Mansfield ED, Pevehouse JCW. </w:t>
      </w:r>
      <w:proofErr w:type="gramStart"/>
      <w:r>
        <w:t>2015.  “</w:t>
      </w:r>
      <w:proofErr w:type="gramEnd"/>
      <w:r w:rsidRPr="00F15C2C">
        <w:t>Human Rights Institutions, Sovereignty Costs and Democratization.</w:t>
      </w:r>
      <w:r>
        <w:t xml:space="preserve">” </w:t>
      </w:r>
      <w:r w:rsidRPr="00F15C2C">
        <w:t xml:space="preserve"> </w:t>
      </w:r>
      <w:r w:rsidRPr="00F15C2C">
        <w:rPr>
          <w:i/>
          <w:iCs/>
        </w:rPr>
        <w:t>British Journal of Political Science</w:t>
      </w:r>
      <w:r w:rsidRPr="00F15C2C">
        <w:t>.</w:t>
      </w:r>
      <w:r>
        <w:t xml:space="preserve">  </w:t>
      </w:r>
      <w:r w:rsidRPr="00F15C2C">
        <w:t>45(1):1-27. doi:10.1017/S0007123413000240</w:t>
      </w:r>
    </w:p>
    <w:p w14:paraId="374FA77A" w14:textId="5C24FCDB" w:rsidR="00893A0E" w:rsidRDefault="00893A0E" w:rsidP="002708D6">
      <w:pPr>
        <w:pStyle w:val="ListParagraph"/>
        <w:numPr>
          <w:ilvl w:val="1"/>
          <w:numId w:val="3"/>
        </w:numPr>
        <w:spacing w:line="240" w:lineRule="auto"/>
      </w:pPr>
    </w:p>
    <w:p w14:paraId="7F6BD191" w14:textId="23A0A1D4" w:rsidR="00DD1F87" w:rsidRDefault="009F2704" w:rsidP="00DD1F87">
      <w:pPr>
        <w:pStyle w:val="ListParagraph"/>
        <w:numPr>
          <w:ilvl w:val="0"/>
          <w:numId w:val="3"/>
        </w:numPr>
        <w:spacing w:line="240" w:lineRule="auto"/>
      </w:pPr>
      <w:r>
        <w:t xml:space="preserve">Week 6 </w:t>
      </w:r>
    </w:p>
    <w:p w14:paraId="4430DD22" w14:textId="77777777" w:rsidR="002708D6" w:rsidRDefault="00DD1F87" w:rsidP="002708D6">
      <w:pPr>
        <w:pStyle w:val="ListParagraph"/>
        <w:numPr>
          <w:ilvl w:val="1"/>
          <w:numId w:val="3"/>
        </w:numPr>
        <w:spacing w:line="240" w:lineRule="auto"/>
      </w:pPr>
      <w:r>
        <w:t>Feb 1</w:t>
      </w:r>
      <w:r w:rsidR="0069643E">
        <w:t>7</w:t>
      </w:r>
      <w:r w:rsidR="002708D6">
        <w:t>– norms</w:t>
      </w:r>
    </w:p>
    <w:p w14:paraId="21A03799" w14:textId="77777777" w:rsidR="002708D6" w:rsidRDefault="002708D6" w:rsidP="002708D6">
      <w:pPr>
        <w:pStyle w:val="ListParagraph"/>
        <w:numPr>
          <w:ilvl w:val="2"/>
          <w:numId w:val="3"/>
        </w:numPr>
        <w:spacing w:line="240" w:lineRule="auto"/>
      </w:pPr>
      <w:r w:rsidRPr="00893A0E">
        <w:t xml:space="preserve">Finnemore, M., &amp; Sikkink, K. (1998). </w:t>
      </w:r>
      <w:r>
        <w:t>“</w:t>
      </w:r>
      <w:r w:rsidRPr="00893A0E">
        <w:t>International Norm Dynamics and Political Change.</w:t>
      </w:r>
      <w:r>
        <w:t xml:space="preserve">” </w:t>
      </w:r>
      <w:r w:rsidRPr="00893A0E">
        <w:t xml:space="preserve"> </w:t>
      </w:r>
      <w:r w:rsidRPr="00893A0E">
        <w:rPr>
          <w:i/>
          <w:iCs/>
        </w:rPr>
        <w:t>International Organization</w:t>
      </w:r>
      <w:r w:rsidRPr="00893A0E">
        <w:t xml:space="preserve">, 52(4), 887–917. </w:t>
      </w:r>
      <w:hyperlink r:id="rId25" w:history="1">
        <w:r w:rsidRPr="001A7FAA">
          <w:rPr>
            <w:rStyle w:val="Hyperlink"/>
          </w:rPr>
          <w:t>http://www.jstor.org/stable/2601361</w:t>
        </w:r>
      </w:hyperlink>
      <w:r>
        <w:t xml:space="preserve"> </w:t>
      </w:r>
    </w:p>
    <w:p w14:paraId="1A819EAF" w14:textId="77777777" w:rsidR="002708D6" w:rsidRDefault="002708D6" w:rsidP="002708D6">
      <w:pPr>
        <w:pStyle w:val="ListParagraph"/>
        <w:numPr>
          <w:ilvl w:val="2"/>
          <w:numId w:val="3"/>
        </w:numPr>
        <w:spacing w:line="240" w:lineRule="auto"/>
      </w:pPr>
      <w:r w:rsidRPr="00893A0E">
        <w:t xml:space="preserve">Hafner-Burton, E. M. (2008). </w:t>
      </w:r>
      <w:r>
        <w:t>“</w:t>
      </w:r>
      <w:r w:rsidRPr="00893A0E">
        <w:t>Sticks and Stones: Naming and Shaming the Human Rights Enforcement Problem.</w:t>
      </w:r>
      <w:r>
        <w:t xml:space="preserve">” </w:t>
      </w:r>
      <w:r w:rsidRPr="00893A0E">
        <w:t xml:space="preserve"> International Organization, 62(4), 689–716. </w:t>
      </w:r>
      <w:hyperlink r:id="rId26" w:history="1">
        <w:r w:rsidRPr="001A7FAA">
          <w:rPr>
            <w:rStyle w:val="Hyperlink"/>
          </w:rPr>
          <w:t>http://www.jstor.org/stable/40071894</w:t>
        </w:r>
      </w:hyperlink>
      <w:r>
        <w:t xml:space="preserve">  (689-696, 707-713 (except tables)</w:t>
      </w:r>
    </w:p>
    <w:p w14:paraId="18493375" w14:textId="642CA1FD" w:rsidR="00DD1F87" w:rsidRDefault="00DD1F87" w:rsidP="00DD1F87">
      <w:pPr>
        <w:pStyle w:val="ListParagraph"/>
        <w:numPr>
          <w:ilvl w:val="1"/>
          <w:numId w:val="3"/>
        </w:numPr>
        <w:spacing w:line="240" w:lineRule="auto"/>
      </w:pPr>
      <w:r>
        <w:t xml:space="preserve">Feb </w:t>
      </w:r>
      <w:r w:rsidR="0069643E">
        <w:t>19</w:t>
      </w:r>
      <w:r w:rsidR="004E4548">
        <w:t xml:space="preserve"> – laws of war</w:t>
      </w:r>
    </w:p>
    <w:p w14:paraId="51A47B18" w14:textId="77777777" w:rsidR="004E4548" w:rsidRDefault="004E4548" w:rsidP="004E4548">
      <w:pPr>
        <w:pStyle w:val="ListParagraph"/>
        <w:numPr>
          <w:ilvl w:val="2"/>
          <w:numId w:val="3"/>
        </w:numPr>
        <w:spacing w:line="240" w:lineRule="auto"/>
      </w:pPr>
      <w:r>
        <w:t>Borda 2008 – Introduction to International Humanitarian Law (On Canvas)</w:t>
      </w:r>
    </w:p>
    <w:p w14:paraId="1A9FA039" w14:textId="5144FCBD" w:rsidR="004A0132" w:rsidRDefault="004A0132" w:rsidP="004A0132">
      <w:pPr>
        <w:pStyle w:val="ListParagraph"/>
        <w:numPr>
          <w:ilvl w:val="2"/>
          <w:numId w:val="3"/>
        </w:numPr>
        <w:spacing w:line="240" w:lineRule="auto"/>
      </w:pPr>
      <w:r>
        <w:t xml:space="preserve">Geneva Conventions, Protocol I </w:t>
      </w:r>
      <w:hyperlink r:id="rId27" w:history="1">
        <w:r w:rsidRPr="00FD6E6F">
          <w:rPr>
            <w:rStyle w:val="Hyperlink"/>
          </w:rPr>
          <w:t>https://www.un.org/en/genocideprevention/documents/atrocity-crimes/Doc.34_AP-I-EN.pdf</w:t>
        </w:r>
      </w:hyperlink>
      <w:r>
        <w:t xml:space="preserve">  (Articles 8-20, 32-34, 35, 37-38, 41, 44-45, 48-58, 59-71, 87)</w:t>
      </w:r>
    </w:p>
    <w:p w14:paraId="5C2AA9DB" w14:textId="6ACE32E9" w:rsidR="00DD1F87" w:rsidRDefault="00DD1F87" w:rsidP="00DD1F87">
      <w:pPr>
        <w:pStyle w:val="ListParagraph"/>
        <w:numPr>
          <w:ilvl w:val="1"/>
          <w:numId w:val="3"/>
        </w:numPr>
        <w:spacing w:line="240" w:lineRule="auto"/>
      </w:pPr>
      <w:r>
        <w:t xml:space="preserve">Feb </w:t>
      </w:r>
      <w:r w:rsidR="0069643E">
        <w:t>21</w:t>
      </w:r>
    </w:p>
    <w:p w14:paraId="664BD72C" w14:textId="76114F2B" w:rsidR="000213D2" w:rsidRDefault="000213D2" w:rsidP="00945428">
      <w:pPr>
        <w:pStyle w:val="ListParagraph"/>
        <w:numPr>
          <w:ilvl w:val="2"/>
          <w:numId w:val="3"/>
        </w:numPr>
        <w:spacing w:line="240" w:lineRule="auto"/>
      </w:pPr>
      <w:r w:rsidRPr="000213D2">
        <w:t xml:space="preserve">Lo, </w:t>
      </w:r>
      <w:r w:rsidR="00A44758" w:rsidRPr="00A44758">
        <w:t>Ping-</w:t>
      </w:r>
      <w:proofErr w:type="spellStart"/>
      <w:r w:rsidR="00A44758" w:rsidRPr="00A44758">
        <w:t>cheung</w:t>
      </w:r>
      <w:proofErr w:type="spellEnd"/>
      <w:r w:rsidRPr="000213D2">
        <w:t>.</w:t>
      </w:r>
      <w:r w:rsidR="00A44758">
        <w:t xml:space="preserve">  </w:t>
      </w:r>
      <w:proofErr w:type="gramStart"/>
      <w:r w:rsidRPr="000213D2">
        <w:t>2012.</w:t>
      </w:r>
      <w:r w:rsidR="00A44758">
        <w:t xml:space="preserve">  “</w:t>
      </w:r>
      <w:proofErr w:type="gramEnd"/>
      <w:r w:rsidR="00A44758">
        <w:t xml:space="preserve">The ‘Art of War’ Corpus and Chinese Just War Ethics Past and Present.” </w:t>
      </w:r>
      <w:r w:rsidRPr="000213D2">
        <w:t xml:space="preserve"> The Journal of Religious Ethics, 40(3), 404–446. </w:t>
      </w:r>
      <w:hyperlink r:id="rId28" w:history="1">
        <w:r w:rsidRPr="00FB1C11">
          <w:rPr>
            <w:rStyle w:val="Hyperlink"/>
          </w:rPr>
          <w:t>http://www.jstor.org/stable/23250704</w:t>
        </w:r>
      </w:hyperlink>
    </w:p>
    <w:p w14:paraId="3D09C5B6" w14:textId="5A07DA21" w:rsidR="00A44758" w:rsidRDefault="009D20D5" w:rsidP="000943F6">
      <w:pPr>
        <w:pStyle w:val="ListParagraph"/>
        <w:numPr>
          <w:ilvl w:val="2"/>
          <w:numId w:val="3"/>
        </w:numPr>
        <w:spacing w:line="240" w:lineRule="auto"/>
      </w:pPr>
      <w:r>
        <w:t xml:space="preserve">Makram, Abbes.  </w:t>
      </w:r>
      <w:proofErr w:type="gramStart"/>
      <w:r>
        <w:t>2014.  “</w:t>
      </w:r>
      <w:proofErr w:type="gramEnd"/>
      <w:r>
        <w:t>Can We Speak of Just War in Islam?”  History of Political Thought.  35(2):  234-261.  (Recommended)</w:t>
      </w:r>
    </w:p>
    <w:p w14:paraId="428E2F0E" w14:textId="77777777" w:rsidR="00441B8E" w:rsidRDefault="00441B8E" w:rsidP="00441B8E">
      <w:pPr>
        <w:spacing w:line="240" w:lineRule="auto"/>
      </w:pPr>
    </w:p>
    <w:p w14:paraId="125B3A87" w14:textId="77777777" w:rsidR="00441B8E" w:rsidRDefault="00441B8E" w:rsidP="00441B8E">
      <w:pPr>
        <w:spacing w:line="240" w:lineRule="auto"/>
      </w:pPr>
    </w:p>
    <w:p w14:paraId="64B52AC7" w14:textId="77777777" w:rsidR="00441B8E" w:rsidRDefault="00441B8E" w:rsidP="00441B8E">
      <w:pPr>
        <w:spacing w:line="240" w:lineRule="auto"/>
      </w:pPr>
    </w:p>
    <w:p w14:paraId="00D79302" w14:textId="30541B16" w:rsidR="009F2704" w:rsidRDefault="009F2704" w:rsidP="009F2704">
      <w:pPr>
        <w:pStyle w:val="ListParagraph"/>
        <w:numPr>
          <w:ilvl w:val="0"/>
          <w:numId w:val="3"/>
        </w:numPr>
        <w:spacing w:line="240" w:lineRule="auto"/>
      </w:pPr>
      <w:r>
        <w:lastRenderedPageBreak/>
        <w:t xml:space="preserve">Week 7 – </w:t>
      </w:r>
      <w:r w:rsidR="00DD1F87">
        <w:t>why are war crimes committed?</w:t>
      </w:r>
    </w:p>
    <w:p w14:paraId="692F5E82" w14:textId="7FD210EF" w:rsidR="009F2704" w:rsidRDefault="009F2704" w:rsidP="009F2704">
      <w:pPr>
        <w:pStyle w:val="ListParagraph"/>
        <w:numPr>
          <w:ilvl w:val="1"/>
          <w:numId w:val="3"/>
        </w:numPr>
        <w:spacing w:line="240" w:lineRule="auto"/>
      </w:pPr>
      <w:r>
        <w:t xml:space="preserve">Feb </w:t>
      </w:r>
      <w:r w:rsidR="0069643E">
        <w:t>24</w:t>
      </w:r>
      <w:r>
        <w:t xml:space="preserve"> – </w:t>
      </w:r>
      <w:r w:rsidR="00DD1F87">
        <w:t>Bosnia pt. 1</w:t>
      </w:r>
    </w:p>
    <w:p w14:paraId="4334B452" w14:textId="77777777" w:rsidR="00441B8E" w:rsidRDefault="00441B8E" w:rsidP="00C0368F">
      <w:pPr>
        <w:pStyle w:val="ListParagraph"/>
        <w:numPr>
          <w:ilvl w:val="2"/>
          <w:numId w:val="3"/>
        </w:numPr>
        <w:spacing w:line="240" w:lineRule="auto"/>
      </w:pPr>
      <w:r>
        <w:rPr>
          <w:b/>
          <w:bCs/>
        </w:rPr>
        <w:t>Paper 1 due</w:t>
      </w:r>
      <w:r>
        <w:t xml:space="preserve"> </w:t>
      </w:r>
    </w:p>
    <w:p w14:paraId="403FAC4D" w14:textId="5AF1A9B7" w:rsidR="00C0368F" w:rsidRDefault="00441B8E" w:rsidP="00C0368F">
      <w:pPr>
        <w:pStyle w:val="ListParagraph"/>
        <w:numPr>
          <w:ilvl w:val="2"/>
          <w:numId w:val="3"/>
        </w:numPr>
        <w:spacing w:line="240" w:lineRule="auto"/>
      </w:pPr>
      <w:hyperlink r:id="rId29" w:history="1">
        <w:r w:rsidRPr="0077424F">
          <w:rPr>
            <w:rStyle w:val="Hyperlink"/>
          </w:rPr>
          <w:t>https://ecfr.eu/publication/bosnia-to-war-to-dayton-and-to-its-slow-peace/</w:t>
        </w:r>
      </w:hyperlink>
    </w:p>
    <w:p w14:paraId="5E3F965D" w14:textId="2B056B39" w:rsidR="00C0368F" w:rsidRDefault="00000000" w:rsidP="00C0368F">
      <w:pPr>
        <w:pStyle w:val="ListParagraph"/>
        <w:numPr>
          <w:ilvl w:val="2"/>
          <w:numId w:val="3"/>
        </w:numPr>
        <w:spacing w:line="240" w:lineRule="auto"/>
      </w:pPr>
      <w:hyperlink r:id="rId30" w:history="1">
        <w:r w:rsidR="00FF3F6B" w:rsidRPr="00CA7D18">
          <w:rPr>
            <w:rStyle w:val="Hyperlink"/>
          </w:rPr>
          <w:t>https://www.hrw.org/reports/pdfs/b/bosnia/bosnia944.pdf</w:t>
        </w:r>
      </w:hyperlink>
    </w:p>
    <w:p w14:paraId="15FAD0E7" w14:textId="7B5AF7C1" w:rsidR="00FF3F6B" w:rsidRDefault="00000000" w:rsidP="00C0368F">
      <w:pPr>
        <w:pStyle w:val="ListParagraph"/>
        <w:numPr>
          <w:ilvl w:val="2"/>
          <w:numId w:val="3"/>
        </w:numPr>
        <w:spacing w:line="240" w:lineRule="auto"/>
      </w:pPr>
      <w:hyperlink r:id="rId31" w:history="1">
        <w:r w:rsidR="00F27412" w:rsidRPr="00CA7D18">
          <w:rPr>
            <w:rStyle w:val="Hyperlink"/>
          </w:rPr>
          <w:t>https://origins.osu.edu/milestones/srebrenica-massacre-genocide-denial-memory?language_content_entity=en</w:t>
        </w:r>
      </w:hyperlink>
      <w:r w:rsidR="00F27412">
        <w:t xml:space="preserve"> </w:t>
      </w:r>
    </w:p>
    <w:p w14:paraId="4ADE2EB8" w14:textId="08F90FBB" w:rsidR="00F27412" w:rsidRDefault="00000000" w:rsidP="00C0368F">
      <w:pPr>
        <w:pStyle w:val="ListParagraph"/>
        <w:numPr>
          <w:ilvl w:val="2"/>
          <w:numId w:val="3"/>
        </w:numPr>
        <w:spacing w:line="240" w:lineRule="auto"/>
      </w:pPr>
      <w:hyperlink r:id="rId32" w:history="1">
        <w:r w:rsidR="00F27412" w:rsidRPr="00CA7D18">
          <w:rPr>
            <w:rStyle w:val="Hyperlink"/>
          </w:rPr>
          <w:t>https://www.gendercide.org/case_srebrenica.html</w:t>
        </w:r>
      </w:hyperlink>
      <w:r w:rsidR="00F27412">
        <w:t xml:space="preserve"> </w:t>
      </w:r>
    </w:p>
    <w:p w14:paraId="59499690" w14:textId="1DD04CCF" w:rsidR="009F2704" w:rsidRDefault="009F2704" w:rsidP="009F2704">
      <w:pPr>
        <w:pStyle w:val="ListParagraph"/>
        <w:numPr>
          <w:ilvl w:val="1"/>
          <w:numId w:val="3"/>
        </w:numPr>
        <w:spacing w:line="240" w:lineRule="auto"/>
      </w:pPr>
      <w:r>
        <w:t>Feb 2</w:t>
      </w:r>
      <w:r w:rsidR="0069643E">
        <w:t>6</w:t>
      </w:r>
      <w:r>
        <w:t xml:space="preserve"> – </w:t>
      </w:r>
      <w:r w:rsidR="00DD1F87">
        <w:t>Why are war crimes committed</w:t>
      </w:r>
      <w:r w:rsidR="00566A14">
        <w:t>?</w:t>
      </w:r>
    </w:p>
    <w:p w14:paraId="168EA17F" w14:textId="5D225DCF" w:rsidR="006710FF" w:rsidRDefault="006710FF" w:rsidP="00945428">
      <w:pPr>
        <w:pStyle w:val="ListParagraph"/>
        <w:numPr>
          <w:ilvl w:val="2"/>
          <w:numId w:val="3"/>
        </w:numPr>
        <w:spacing w:line="240" w:lineRule="auto"/>
      </w:pPr>
      <w:r>
        <w:t xml:space="preserve">Valentino, Benjamin A.  </w:t>
      </w:r>
      <w:proofErr w:type="gramStart"/>
      <w:r>
        <w:t>2014.  “</w:t>
      </w:r>
      <w:proofErr w:type="gramEnd"/>
      <w:r>
        <w:t xml:space="preserve">Why We Kill: The Political Science of Political Violence against Civilians.”  </w:t>
      </w:r>
      <w:r w:rsidRPr="006710FF">
        <w:rPr>
          <w:i/>
          <w:iCs/>
        </w:rPr>
        <w:t>Annual Review of Political Science.</w:t>
      </w:r>
      <w:r w:rsidRPr="006710FF">
        <w:t xml:space="preserve"> </w:t>
      </w:r>
      <w:r>
        <w:t>17(1): 89-103.</w:t>
      </w:r>
    </w:p>
    <w:p w14:paraId="3BAE50C2" w14:textId="7C313D16" w:rsidR="006710FF" w:rsidRDefault="006710FF" w:rsidP="006710FF">
      <w:pPr>
        <w:pStyle w:val="ListParagraph"/>
        <w:numPr>
          <w:ilvl w:val="2"/>
          <w:numId w:val="3"/>
        </w:numPr>
        <w:spacing w:line="240" w:lineRule="auto"/>
      </w:pPr>
      <w:r>
        <w:t xml:space="preserve">Klas, Brian.  </w:t>
      </w:r>
      <w:proofErr w:type="gramStart"/>
      <w:r>
        <w:t>2022.  “</w:t>
      </w:r>
      <w:proofErr w:type="gramEnd"/>
      <w:r>
        <w:t xml:space="preserve">The Conventional Wisdom About War Crimes is Wrong.”  </w:t>
      </w:r>
      <w:r>
        <w:rPr>
          <w:i/>
          <w:iCs/>
        </w:rPr>
        <w:t>The Atlantic.</w:t>
      </w:r>
      <w:r>
        <w:t xml:space="preserve">  </w:t>
      </w:r>
      <w:hyperlink r:id="rId33" w:history="1">
        <w:r w:rsidRPr="007A2D7E">
          <w:rPr>
            <w:rStyle w:val="Hyperlink"/>
          </w:rPr>
          <w:t>https://www.theatlantic.com/ideas/archive/2022/12/russia-ukraine-ideology-motivates-war-criminals-soldiers/672367/</w:t>
        </w:r>
      </w:hyperlink>
      <w:r>
        <w:t xml:space="preserve">  (Also on Canvas)</w:t>
      </w:r>
    </w:p>
    <w:p w14:paraId="772208D9" w14:textId="0351281C" w:rsidR="009F2704" w:rsidRDefault="0069643E" w:rsidP="009F2704">
      <w:pPr>
        <w:pStyle w:val="ListParagraph"/>
        <w:numPr>
          <w:ilvl w:val="1"/>
          <w:numId w:val="3"/>
        </w:numPr>
        <w:spacing w:line="240" w:lineRule="auto"/>
      </w:pPr>
      <w:r>
        <w:t>Feb 28</w:t>
      </w:r>
      <w:r w:rsidR="009F2704">
        <w:t xml:space="preserve"> </w:t>
      </w:r>
      <w:r w:rsidR="00DD1F87">
        <w:t>–</w:t>
      </w:r>
      <w:r w:rsidR="009F2704">
        <w:t xml:space="preserve"> </w:t>
      </w:r>
      <w:r w:rsidR="00566A14">
        <w:t>Why are war crimes committed?</w:t>
      </w:r>
    </w:p>
    <w:p w14:paraId="195A284E" w14:textId="2C42996B" w:rsidR="006B25A1" w:rsidRDefault="006B25A1" w:rsidP="00945428">
      <w:pPr>
        <w:pStyle w:val="ListParagraph"/>
        <w:numPr>
          <w:ilvl w:val="2"/>
          <w:numId w:val="3"/>
        </w:numPr>
        <w:spacing w:line="240" w:lineRule="auto"/>
      </w:pPr>
      <w:proofErr w:type="spellStart"/>
      <w:r>
        <w:t>Balcells</w:t>
      </w:r>
      <w:proofErr w:type="spellEnd"/>
      <w:r>
        <w:t xml:space="preserve">, Laia and Jessica A. Stanton.  </w:t>
      </w:r>
      <w:proofErr w:type="gramStart"/>
      <w:r>
        <w:t>2021.  “</w:t>
      </w:r>
      <w:proofErr w:type="gramEnd"/>
      <w:r>
        <w:t xml:space="preserve">Violence Against Civilians During Armed Conflict: Moving Beyond the Macro- and Micro-Level Divide.”  </w:t>
      </w:r>
      <w:r w:rsidRPr="006B25A1">
        <w:rPr>
          <w:i/>
          <w:iCs/>
        </w:rPr>
        <w:t xml:space="preserve">Annual Review of Political Science.  </w:t>
      </w:r>
      <w:r>
        <w:t>24(1): 45-69</w:t>
      </w:r>
    </w:p>
    <w:p w14:paraId="78F696C4" w14:textId="4F7D7846" w:rsidR="006B25A1" w:rsidRDefault="00000000" w:rsidP="006B25A1">
      <w:pPr>
        <w:pStyle w:val="ListParagraph"/>
        <w:numPr>
          <w:ilvl w:val="2"/>
          <w:numId w:val="3"/>
        </w:numPr>
        <w:spacing w:line="240" w:lineRule="auto"/>
      </w:pPr>
      <w:hyperlink r:id="rId34" w:history="1">
        <w:r w:rsidR="00077E65" w:rsidRPr="00CA7D18">
          <w:rPr>
            <w:rStyle w:val="Hyperlink"/>
          </w:rPr>
          <w:t>https://warontherocks.com/2020/10/when-women-commit-war-crimes/</w:t>
        </w:r>
      </w:hyperlink>
      <w:r w:rsidR="00077E65">
        <w:t xml:space="preserve"> </w:t>
      </w:r>
    </w:p>
    <w:p w14:paraId="6FBA544E" w14:textId="643D0A47" w:rsidR="009F2704" w:rsidRDefault="009F2704" w:rsidP="009F2704">
      <w:pPr>
        <w:pStyle w:val="ListParagraph"/>
        <w:numPr>
          <w:ilvl w:val="0"/>
          <w:numId w:val="3"/>
        </w:numPr>
        <w:spacing w:line="240" w:lineRule="auto"/>
      </w:pPr>
      <w:r>
        <w:t xml:space="preserve">Week 8 – </w:t>
      </w:r>
      <w:r w:rsidR="00DD1F87">
        <w:t>genocide and ethnic cleansing</w:t>
      </w:r>
    </w:p>
    <w:p w14:paraId="5A412EB1" w14:textId="5119B8DF" w:rsidR="009F2704" w:rsidRDefault="009F2704" w:rsidP="009F2704">
      <w:pPr>
        <w:pStyle w:val="ListParagraph"/>
        <w:numPr>
          <w:ilvl w:val="1"/>
          <w:numId w:val="3"/>
        </w:numPr>
        <w:spacing w:line="240" w:lineRule="auto"/>
      </w:pPr>
      <w:r>
        <w:t xml:space="preserve">March </w:t>
      </w:r>
      <w:r w:rsidR="0069643E">
        <w:t>3</w:t>
      </w:r>
      <w:r w:rsidR="00DD1F87">
        <w:t xml:space="preserve"> – </w:t>
      </w:r>
      <w:r w:rsidR="00566A14">
        <w:t>Sexual violence in conflict</w:t>
      </w:r>
    </w:p>
    <w:p w14:paraId="3C6A7117" w14:textId="77777777" w:rsidR="00566A14" w:rsidRPr="00DB388F" w:rsidRDefault="00566A14" w:rsidP="00566A14">
      <w:pPr>
        <w:numPr>
          <w:ilvl w:val="2"/>
          <w:numId w:val="3"/>
        </w:numPr>
        <w:tabs>
          <w:tab w:val="left" w:pos="4189"/>
        </w:tabs>
        <w:spacing w:line="240" w:lineRule="auto"/>
      </w:pPr>
      <w:proofErr w:type="spellStart"/>
      <w:r w:rsidRPr="00DB388F">
        <w:t>Nordas</w:t>
      </w:r>
      <w:proofErr w:type="spellEnd"/>
      <w:r>
        <w:t>, Ragnhild</w:t>
      </w:r>
      <w:r w:rsidRPr="00DB388F">
        <w:t xml:space="preserve"> and </w:t>
      </w:r>
      <w:r>
        <w:t xml:space="preserve">Dara Kay </w:t>
      </w:r>
      <w:r w:rsidRPr="00DB388F">
        <w:t>Cohen</w:t>
      </w:r>
      <w:r>
        <w:t xml:space="preserve">.  </w:t>
      </w:r>
      <w:proofErr w:type="gramStart"/>
      <w:r>
        <w:t>2021.</w:t>
      </w:r>
      <w:r w:rsidRPr="00DB388F">
        <w:t xml:space="preserve"> </w:t>
      </w:r>
      <w:r>
        <w:t xml:space="preserve"> “</w:t>
      </w:r>
      <w:proofErr w:type="gramEnd"/>
      <w:r w:rsidRPr="00DB388F">
        <w:t>Conflict-Related Sexual Violence</w:t>
      </w:r>
      <w:r>
        <w:t xml:space="preserve">.”  </w:t>
      </w:r>
      <w:r>
        <w:rPr>
          <w:i/>
        </w:rPr>
        <w:t>Annual Review of Political Science.</w:t>
      </w:r>
      <w:r>
        <w:rPr>
          <w:iCs/>
        </w:rPr>
        <w:t xml:space="preserve">  24: (193-211)</w:t>
      </w:r>
    </w:p>
    <w:p w14:paraId="6F2C950D" w14:textId="4E456487" w:rsidR="00DD1F87" w:rsidRDefault="009F2704" w:rsidP="00DD1F87">
      <w:pPr>
        <w:pStyle w:val="ListParagraph"/>
        <w:numPr>
          <w:ilvl w:val="1"/>
          <w:numId w:val="3"/>
        </w:numPr>
        <w:spacing w:line="240" w:lineRule="auto"/>
      </w:pPr>
      <w:r>
        <w:t xml:space="preserve">March </w:t>
      </w:r>
      <w:r w:rsidR="0069643E">
        <w:t>5</w:t>
      </w:r>
      <w:r w:rsidR="00DD1F87">
        <w:t xml:space="preserve"> – </w:t>
      </w:r>
      <w:r w:rsidR="00566A14">
        <w:t>What is genocide?</w:t>
      </w:r>
    </w:p>
    <w:p w14:paraId="249CDDCB" w14:textId="098B5A96" w:rsidR="003776C4" w:rsidRDefault="003776C4" w:rsidP="003776C4">
      <w:pPr>
        <w:pStyle w:val="ListParagraph"/>
        <w:numPr>
          <w:ilvl w:val="2"/>
          <w:numId w:val="3"/>
        </w:numPr>
        <w:spacing w:line="240" w:lineRule="auto"/>
      </w:pPr>
      <w:r>
        <w:t xml:space="preserve">Genocide convention.  </w:t>
      </w:r>
      <w:hyperlink r:id="rId35" w:history="1">
        <w:r w:rsidRPr="00922ED1">
          <w:rPr>
            <w:rStyle w:val="Hyperlink"/>
          </w:rPr>
          <w:t>https://www.un.org/en/genocideprevention/documents/atrocity-crimes/Doc.1_Convention%20on%20the%20Prevention%20and%20Punishment%20of%20the%20Crime%20of%20Genocide.pdf</w:t>
        </w:r>
      </w:hyperlink>
      <w:r>
        <w:t xml:space="preserve">  (Through Article IX)</w:t>
      </w:r>
    </w:p>
    <w:p w14:paraId="38547E4E" w14:textId="6EDBCF72" w:rsidR="003776C4" w:rsidRPr="009B5629" w:rsidRDefault="009B5629" w:rsidP="003776C4">
      <w:pPr>
        <w:pStyle w:val="ListParagraph"/>
        <w:numPr>
          <w:ilvl w:val="2"/>
          <w:numId w:val="3"/>
        </w:numPr>
        <w:spacing w:line="240" w:lineRule="auto"/>
      </w:pPr>
      <w:r>
        <w:t xml:space="preserve">Lemkin, Raphael.  1944.  </w:t>
      </w:r>
      <w:r w:rsidRPr="009B5629">
        <w:rPr>
          <w:i/>
        </w:rPr>
        <w:t>Axis Rule in Occupied Europe: Laws of Occupation - Analysis of Government - Proposals for Redress</w:t>
      </w:r>
      <w:r>
        <w:rPr>
          <w:i/>
        </w:rPr>
        <w:t>.</w:t>
      </w:r>
      <w:r>
        <w:rPr>
          <w:iCs/>
        </w:rPr>
        <w:t xml:space="preserve">  Ch. IX:  Genocide</w:t>
      </w:r>
    </w:p>
    <w:p w14:paraId="3D9C7F81" w14:textId="42332231" w:rsidR="009B5629" w:rsidRDefault="00000000" w:rsidP="009B5629">
      <w:pPr>
        <w:pStyle w:val="ListParagraph"/>
        <w:numPr>
          <w:ilvl w:val="3"/>
          <w:numId w:val="3"/>
        </w:numPr>
        <w:spacing w:line="240" w:lineRule="auto"/>
      </w:pPr>
      <w:hyperlink r:id="rId36" w:history="1">
        <w:r w:rsidR="009B5629" w:rsidRPr="00922ED1">
          <w:rPr>
            <w:rStyle w:val="Hyperlink"/>
          </w:rPr>
          <w:t>http://www.preventgenocide.org/lemkin/AxisRule1944-1.htm</w:t>
        </w:r>
      </w:hyperlink>
    </w:p>
    <w:p w14:paraId="5C32FDE9" w14:textId="4C6DDD3C" w:rsidR="009B5629" w:rsidRDefault="00000000" w:rsidP="009B5629">
      <w:pPr>
        <w:pStyle w:val="ListParagraph"/>
        <w:numPr>
          <w:ilvl w:val="3"/>
          <w:numId w:val="3"/>
        </w:numPr>
        <w:spacing w:line="240" w:lineRule="auto"/>
      </w:pPr>
      <w:hyperlink r:id="rId37" w:history="1">
        <w:r w:rsidR="009B5629" w:rsidRPr="00922ED1">
          <w:rPr>
            <w:rStyle w:val="Hyperlink"/>
          </w:rPr>
          <w:t>http://www.preventgenocide.org/lemkin/AxisRule1944-2.htm</w:t>
        </w:r>
      </w:hyperlink>
    </w:p>
    <w:p w14:paraId="18DD7C3D" w14:textId="19832D4C" w:rsidR="009B5629" w:rsidRDefault="00000000" w:rsidP="009B5629">
      <w:pPr>
        <w:pStyle w:val="ListParagraph"/>
        <w:numPr>
          <w:ilvl w:val="3"/>
          <w:numId w:val="3"/>
        </w:numPr>
        <w:spacing w:line="240" w:lineRule="auto"/>
      </w:pPr>
      <w:hyperlink r:id="rId38" w:history="1">
        <w:r w:rsidR="009B5629" w:rsidRPr="00922ED1">
          <w:rPr>
            <w:rStyle w:val="Hyperlink"/>
          </w:rPr>
          <w:t>http://www.preventgenocide.org/lemkin/AxisRule1944-3.htm</w:t>
        </w:r>
      </w:hyperlink>
      <w:r w:rsidR="009B5629">
        <w:t xml:space="preserve"> </w:t>
      </w:r>
    </w:p>
    <w:p w14:paraId="06EB0168" w14:textId="67EC538F" w:rsidR="003776C4" w:rsidRDefault="009B5629" w:rsidP="003776C4">
      <w:pPr>
        <w:pStyle w:val="ListParagraph"/>
        <w:numPr>
          <w:ilvl w:val="2"/>
          <w:numId w:val="3"/>
        </w:numPr>
        <w:spacing w:line="240" w:lineRule="auto"/>
      </w:pPr>
      <w:r>
        <w:t xml:space="preserve">Jenne, Erin. K.  </w:t>
      </w:r>
      <w:proofErr w:type="gramStart"/>
      <w:r>
        <w:t>2016.  “</w:t>
      </w:r>
      <w:proofErr w:type="gramEnd"/>
      <w:r>
        <w:t xml:space="preserve">The causes and consequences of ethnic cleansing.”  In.  </w:t>
      </w:r>
      <w:r w:rsidRPr="009B5629">
        <w:t xml:space="preserve">Karl Cordell, </w:t>
      </w:r>
      <w:r>
        <w:t xml:space="preserve">and </w:t>
      </w:r>
      <w:r w:rsidRPr="009B5629">
        <w:t>Stefan Wolff</w:t>
      </w:r>
      <w:r>
        <w:t xml:space="preserve">.  </w:t>
      </w:r>
      <w:r>
        <w:rPr>
          <w:i/>
          <w:iCs/>
        </w:rPr>
        <w:t xml:space="preserve">The Routledge Handbook of Ethnic Conflict.  </w:t>
      </w:r>
      <w:r>
        <w:t xml:space="preserve">London:  Routledge.  </w:t>
      </w:r>
    </w:p>
    <w:p w14:paraId="1A17FCBA" w14:textId="521939D5" w:rsidR="0094511E" w:rsidRDefault="0094511E" w:rsidP="007D7483">
      <w:pPr>
        <w:pStyle w:val="ListParagraph"/>
        <w:numPr>
          <w:ilvl w:val="2"/>
          <w:numId w:val="3"/>
        </w:numPr>
        <w:spacing w:line="240" w:lineRule="auto"/>
      </w:pPr>
      <w:r>
        <w:t xml:space="preserve">Hughes, James.  </w:t>
      </w:r>
      <w:proofErr w:type="gramStart"/>
      <w:r>
        <w:t>2016.  “</w:t>
      </w:r>
      <w:proofErr w:type="gramEnd"/>
      <w:r>
        <w:t xml:space="preserve">Genocide  In.  </w:t>
      </w:r>
      <w:r w:rsidRPr="009B5629">
        <w:t xml:space="preserve">Karl Cordell, </w:t>
      </w:r>
      <w:r>
        <w:t xml:space="preserve">and </w:t>
      </w:r>
      <w:r w:rsidRPr="009B5629">
        <w:t>Stefan Wolff</w:t>
      </w:r>
      <w:r>
        <w:t xml:space="preserve">.  </w:t>
      </w:r>
      <w:r>
        <w:rPr>
          <w:i/>
          <w:iCs/>
        </w:rPr>
        <w:t xml:space="preserve">The Routledge Handbook of Ethnic Conflict.  </w:t>
      </w:r>
      <w:r>
        <w:t xml:space="preserve">London:  Routledge.  </w:t>
      </w:r>
    </w:p>
    <w:p w14:paraId="22554BA0" w14:textId="0930338A" w:rsidR="009F2704" w:rsidRDefault="009F2704" w:rsidP="009F2704">
      <w:pPr>
        <w:pStyle w:val="ListParagraph"/>
        <w:numPr>
          <w:ilvl w:val="1"/>
          <w:numId w:val="3"/>
        </w:numPr>
        <w:spacing w:line="240" w:lineRule="auto"/>
      </w:pPr>
      <w:r>
        <w:t xml:space="preserve">March </w:t>
      </w:r>
      <w:r w:rsidR="0069643E">
        <w:t>7</w:t>
      </w:r>
      <w:r>
        <w:t xml:space="preserve"> </w:t>
      </w:r>
      <w:r w:rsidR="00DD1F87">
        <w:t xml:space="preserve">– </w:t>
      </w:r>
      <w:r w:rsidR="00566A14">
        <w:t>Causes of genocide</w:t>
      </w:r>
    </w:p>
    <w:p w14:paraId="01E604C8" w14:textId="62705BC5" w:rsidR="00156620" w:rsidRDefault="00156620" w:rsidP="00945428">
      <w:pPr>
        <w:pStyle w:val="ListParagraph"/>
        <w:numPr>
          <w:ilvl w:val="2"/>
          <w:numId w:val="3"/>
        </w:numPr>
        <w:spacing w:line="240" w:lineRule="auto"/>
      </w:pPr>
      <w:r>
        <w:t xml:space="preserve">Stanton, Gregory H.  </w:t>
      </w:r>
      <w:proofErr w:type="gramStart"/>
      <w:r>
        <w:t>2016.  “</w:t>
      </w:r>
      <w:proofErr w:type="gramEnd"/>
      <w:r>
        <w:t xml:space="preserve">10 Stages of Genocide.”  </w:t>
      </w:r>
      <w:hyperlink r:id="rId39" w:history="1">
        <w:r w:rsidRPr="00922ED1">
          <w:rPr>
            <w:rStyle w:val="Hyperlink"/>
          </w:rPr>
          <w:t>http://genocidewatch.net/genocide-2/8-stages-of-genocide/</w:t>
        </w:r>
      </w:hyperlink>
      <w:r>
        <w:t xml:space="preserve"> </w:t>
      </w:r>
    </w:p>
    <w:p w14:paraId="7FB3196F" w14:textId="4D2790AC" w:rsidR="00156620" w:rsidRDefault="00156620" w:rsidP="00945428">
      <w:pPr>
        <w:pStyle w:val="ListParagraph"/>
        <w:numPr>
          <w:ilvl w:val="2"/>
          <w:numId w:val="3"/>
        </w:numPr>
        <w:spacing w:line="240" w:lineRule="auto"/>
      </w:pPr>
      <w:r w:rsidRPr="00156620">
        <w:lastRenderedPageBreak/>
        <w:t>Verdeja, E</w:t>
      </w:r>
      <w:r>
        <w:t>rnesto</w:t>
      </w:r>
      <w:r w:rsidRPr="00156620">
        <w:t>.</w:t>
      </w:r>
      <w:r>
        <w:t xml:space="preserve"> </w:t>
      </w:r>
      <w:r w:rsidRPr="00156620">
        <w:t xml:space="preserve"> </w:t>
      </w:r>
      <w:proofErr w:type="gramStart"/>
      <w:r w:rsidRPr="00156620">
        <w:t>2012.</w:t>
      </w:r>
      <w:r>
        <w:t xml:space="preserve"> </w:t>
      </w:r>
      <w:r w:rsidRPr="00156620">
        <w:t xml:space="preserve"> </w:t>
      </w:r>
      <w:r>
        <w:t>“</w:t>
      </w:r>
      <w:proofErr w:type="gramEnd"/>
      <w:r w:rsidRPr="00156620">
        <w:t>The Political Science of Genocide: Outlines of an Emerging Research Agenda.</w:t>
      </w:r>
      <w:r>
        <w:t xml:space="preserve">” </w:t>
      </w:r>
      <w:r w:rsidRPr="00156620">
        <w:t xml:space="preserve"> </w:t>
      </w:r>
      <w:r w:rsidRPr="00156620">
        <w:rPr>
          <w:i/>
          <w:iCs/>
        </w:rPr>
        <w:t>Perspectives on Politics</w:t>
      </w:r>
      <w:r w:rsidRPr="00156620">
        <w:t xml:space="preserve">, 10(2), 307–321. </w:t>
      </w:r>
      <w:hyperlink r:id="rId40" w:history="1">
        <w:r w:rsidRPr="00922ED1">
          <w:rPr>
            <w:rStyle w:val="Hyperlink"/>
          </w:rPr>
          <w:t>http://www.jstor.org/stable/41479553</w:t>
        </w:r>
      </w:hyperlink>
      <w:r>
        <w:t xml:space="preserve"> </w:t>
      </w:r>
    </w:p>
    <w:p w14:paraId="503E6AC8" w14:textId="44017B8D" w:rsidR="009F2704" w:rsidRDefault="009F2704" w:rsidP="009F2704">
      <w:pPr>
        <w:pStyle w:val="ListParagraph"/>
        <w:numPr>
          <w:ilvl w:val="0"/>
          <w:numId w:val="3"/>
        </w:numPr>
        <w:spacing w:line="240" w:lineRule="auto"/>
      </w:pPr>
      <w:r>
        <w:t xml:space="preserve">Week 9 – </w:t>
      </w:r>
      <w:r w:rsidR="00DD1F87">
        <w:t>preventing war crimes and genocide</w:t>
      </w:r>
    </w:p>
    <w:p w14:paraId="0593656F" w14:textId="439CA0AE" w:rsidR="009F2704" w:rsidRDefault="009F2704" w:rsidP="009F2704">
      <w:pPr>
        <w:pStyle w:val="ListParagraph"/>
        <w:numPr>
          <w:ilvl w:val="1"/>
          <w:numId w:val="3"/>
        </w:numPr>
        <w:spacing w:line="240" w:lineRule="auto"/>
      </w:pPr>
      <w:r>
        <w:t>March 1</w:t>
      </w:r>
      <w:r w:rsidR="0069643E">
        <w:t>0</w:t>
      </w:r>
      <w:r w:rsidR="00773420">
        <w:t xml:space="preserve"> – Bosnia pt. 2</w:t>
      </w:r>
    </w:p>
    <w:p w14:paraId="3D4BCE75" w14:textId="0BF0FF8D" w:rsidR="00773420" w:rsidRDefault="00E21577" w:rsidP="00773420">
      <w:pPr>
        <w:pStyle w:val="ListParagraph"/>
        <w:numPr>
          <w:ilvl w:val="2"/>
          <w:numId w:val="3"/>
        </w:numPr>
        <w:spacing w:line="240" w:lineRule="auto"/>
      </w:pPr>
      <w:r>
        <w:t xml:space="preserve">Daalder, Ivo H.  </w:t>
      </w:r>
      <w:proofErr w:type="gramStart"/>
      <w:r>
        <w:t>1998.  “</w:t>
      </w:r>
      <w:proofErr w:type="gramEnd"/>
      <w:r>
        <w:t xml:space="preserve">Decision to Intervene:  How the War in Bosnia Ended.”  Brookings.  </w:t>
      </w:r>
      <w:hyperlink r:id="rId41" w:history="1">
        <w:r w:rsidRPr="00922ED1">
          <w:rPr>
            <w:rStyle w:val="Hyperlink"/>
          </w:rPr>
          <w:t>https://www.brookings.edu/articles/decision-to-intervene-how-the-war-in-bosnia-ended/</w:t>
        </w:r>
      </w:hyperlink>
      <w:r w:rsidR="00773420">
        <w:t xml:space="preserve"> </w:t>
      </w:r>
    </w:p>
    <w:p w14:paraId="3D05B84B" w14:textId="551D7E7A" w:rsidR="00E21577" w:rsidRDefault="00E21577" w:rsidP="00773420">
      <w:pPr>
        <w:pStyle w:val="ListParagraph"/>
        <w:numPr>
          <w:ilvl w:val="2"/>
          <w:numId w:val="3"/>
        </w:numPr>
        <w:spacing w:line="240" w:lineRule="auto"/>
      </w:pPr>
      <w:r>
        <w:t xml:space="preserve">McAllister, Jacqueline R.  </w:t>
      </w:r>
      <w:proofErr w:type="gramStart"/>
      <w:r>
        <w:t>2020.  “</w:t>
      </w:r>
      <w:proofErr w:type="gramEnd"/>
      <w:r>
        <w:t xml:space="preserve">Deterring Wartime Atrocities:  Hard Lessons from the Yugoslav Tribunal.”  </w:t>
      </w:r>
      <w:r>
        <w:rPr>
          <w:i/>
          <w:iCs/>
        </w:rPr>
        <w:t xml:space="preserve">International Security.  </w:t>
      </w:r>
      <w:r>
        <w:t>44(3):  84-128.</w:t>
      </w:r>
    </w:p>
    <w:p w14:paraId="02A70096" w14:textId="58ED4CB6" w:rsidR="009F2704" w:rsidRDefault="009F2704" w:rsidP="009F2704">
      <w:pPr>
        <w:pStyle w:val="ListParagraph"/>
        <w:numPr>
          <w:ilvl w:val="1"/>
          <w:numId w:val="3"/>
        </w:numPr>
        <w:spacing w:line="240" w:lineRule="auto"/>
      </w:pPr>
      <w:r>
        <w:t xml:space="preserve">March </w:t>
      </w:r>
      <w:proofErr w:type="gramStart"/>
      <w:r>
        <w:t>1</w:t>
      </w:r>
      <w:r w:rsidR="0069643E">
        <w:t>2</w:t>
      </w:r>
      <w:r w:rsidR="00217B3E">
        <w:t xml:space="preserve"> </w:t>
      </w:r>
      <w:r w:rsidR="003D155A">
        <w:t xml:space="preserve"> -</w:t>
      </w:r>
      <w:proofErr w:type="gramEnd"/>
      <w:r w:rsidR="003D155A">
        <w:t xml:space="preserve"> preventing war crimes</w:t>
      </w:r>
    </w:p>
    <w:p w14:paraId="2D76F181" w14:textId="33B9C6B2" w:rsidR="003D155A" w:rsidRDefault="003D155A" w:rsidP="003D155A">
      <w:pPr>
        <w:pStyle w:val="ListParagraph"/>
        <w:numPr>
          <w:ilvl w:val="2"/>
          <w:numId w:val="3"/>
        </w:numPr>
        <w:spacing w:line="240" w:lineRule="auto"/>
      </w:pPr>
      <w:r w:rsidRPr="003D155A">
        <w:t>Morrow, J</w:t>
      </w:r>
      <w:r>
        <w:t>ames</w:t>
      </w:r>
      <w:r w:rsidRPr="003D155A">
        <w:t xml:space="preserve"> D. </w:t>
      </w:r>
      <w:r w:rsidR="00270D62">
        <w:t xml:space="preserve"> </w:t>
      </w:r>
      <w:proofErr w:type="gramStart"/>
      <w:r w:rsidRPr="003D155A">
        <w:t>2007.</w:t>
      </w:r>
      <w:r w:rsidR="00270D62">
        <w:t xml:space="preserve"> </w:t>
      </w:r>
      <w:r w:rsidRPr="003D155A">
        <w:t xml:space="preserve"> </w:t>
      </w:r>
      <w:r w:rsidR="00270D62">
        <w:t>“</w:t>
      </w:r>
      <w:proofErr w:type="gramEnd"/>
      <w:r w:rsidRPr="003D155A">
        <w:t>When Do States Follow the Laws of War?</w:t>
      </w:r>
      <w:r w:rsidR="00270D62">
        <w:t xml:space="preserve">” </w:t>
      </w:r>
      <w:r w:rsidRPr="003D155A">
        <w:t xml:space="preserve"> The American Political Science Review, 101(3), 559–572. </w:t>
      </w:r>
      <w:hyperlink r:id="rId42" w:history="1">
        <w:r w:rsidRPr="00DD1CB6">
          <w:rPr>
            <w:rStyle w:val="Hyperlink"/>
          </w:rPr>
          <w:t>http://www.jstor.org/stable/27644466</w:t>
        </w:r>
      </w:hyperlink>
    </w:p>
    <w:p w14:paraId="0C8FF729" w14:textId="5964279F" w:rsidR="003D155A" w:rsidRDefault="003D155A" w:rsidP="003D155A">
      <w:pPr>
        <w:pStyle w:val="ListParagraph"/>
        <w:numPr>
          <w:ilvl w:val="2"/>
          <w:numId w:val="3"/>
        </w:numPr>
        <w:spacing w:line="240" w:lineRule="auto"/>
      </w:pPr>
      <w:r w:rsidRPr="003D155A">
        <w:t>Chu, J</w:t>
      </w:r>
      <w:r>
        <w:t>onathan</w:t>
      </w:r>
      <w:r w:rsidRPr="003D155A">
        <w:t xml:space="preserve"> A. 2019.</w:t>
      </w:r>
      <w:r w:rsidR="00270D62">
        <w:t xml:space="preserve"> </w:t>
      </w:r>
      <w:r w:rsidRPr="003D155A">
        <w:t xml:space="preserve"> </w:t>
      </w:r>
      <w:r w:rsidR="00270D62">
        <w:t>“</w:t>
      </w:r>
      <w:r w:rsidRPr="003D155A">
        <w:t>A Clash of Norms? How Reciprocity and International Humanitarian Law affect American Opinion on the Treatment of POWs.</w:t>
      </w:r>
      <w:r w:rsidR="00270D62">
        <w:t xml:space="preserve">” </w:t>
      </w:r>
      <w:r w:rsidRPr="003D155A">
        <w:t xml:space="preserve"> </w:t>
      </w:r>
      <w:r w:rsidRPr="00270D62">
        <w:rPr>
          <w:i/>
          <w:iCs/>
        </w:rPr>
        <w:t xml:space="preserve">The Journal of Conflict Resolution, </w:t>
      </w:r>
      <w:r w:rsidRPr="003D155A">
        <w:t xml:space="preserve">63(5), 1140–1164. </w:t>
      </w:r>
      <w:hyperlink r:id="rId43" w:history="1">
        <w:r w:rsidRPr="00DD1CB6">
          <w:rPr>
            <w:rStyle w:val="Hyperlink"/>
          </w:rPr>
          <w:t>https://www.jstor.org/stable/48597357</w:t>
        </w:r>
      </w:hyperlink>
      <w:r>
        <w:t xml:space="preserve"> </w:t>
      </w:r>
      <w:r w:rsidR="008228EA">
        <w:t>(</w:t>
      </w:r>
      <w:r w:rsidR="00270D62">
        <w:t>skim)</w:t>
      </w:r>
    </w:p>
    <w:p w14:paraId="5BCE22E1" w14:textId="258EEEE2" w:rsidR="009F2704" w:rsidRDefault="009F2704" w:rsidP="009F2704">
      <w:pPr>
        <w:pStyle w:val="ListParagraph"/>
        <w:numPr>
          <w:ilvl w:val="1"/>
          <w:numId w:val="3"/>
        </w:numPr>
        <w:spacing w:line="240" w:lineRule="auto"/>
      </w:pPr>
      <w:r>
        <w:t>March 1</w:t>
      </w:r>
      <w:r w:rsidR="0069643E">
        <w:t>4</w:t>
      </w:r>
      <w:r w:rsidR="00DD1F87">
        <w:t xml:space="preserve"> </w:t>
      </w:r>
      <w:r w:rsidR="00217B3E">
        <w:t xml:space="preserve">– </w:t>
      </w:r>
      <w:r w:rsidR="003A685D">
        <w:t>preventing war crimes</w:t>
      </w:r>
    </w:p>
    <w:p w14:paraId="70BC1BD5" w14:textId="71DE4A7B" w:rsidR="006F4600" w:rsidRDefault="006F4600" w:rsidP="006F4600">
      <w:pPr>
        <w:pStyle w:val="ListParagraph"/>
        <w:numPr>
          <w:ilvl w:val="2"/>
          <w:numId w:val="3"/>
        </w:numPr>
        <w:spacing w:line="240" w:lineRule="auto"/>
      </w:pPr>
      <w:r w:rsidRPr="006F4600">
        <w:t xml:space="preserve">Forsythe, D. P., Olsen, T. D., Payne, L. A., Reiter, A. G., De Ycaza, C., Schabas, W., &amp; Heine, J. </w:t>
      </w:r>
      <w:r>
        <w:t xml:space="preserve"> </w:t>
      </w:r>
      <w:proofErr w:type="gramStart"/>
      <w:r w:rsidRPr="006F4600">
        <w:t>2011.</w:t>
      </w:r>
      <w:r>
        <w:t xml:space="preserve"> </w:t>
      </w:r>
      <w:r w:rsidRPr="006F4600">
        <w:t xml:space="preserve"> </w:t>
      </w:r>
      <w:r>
        <w:t>“</w:t>
      </w:r>
      <w:proofErr w:type="gramEnd"/>
      <w:r w:rsidRPr="006F4600">
        <w:t>Transitional Justice: The Quest for Theory to Inform Policy.</w:t>
      </w:r>
      <w:r>
        <w:t xml:space="preserve">” </w:t>
      </w:r>
      <w:r w:rsidRPr="006F4600">
        <w:t xml:space="preserve"> </w:t>
      </w:r>
      <w:r w:rsidRPr="006F4600">
        <w:rPr>
          <w:i/>
          <w:iCs/>
        </w:rPr>
        <w:t>International Studies Review</w:t>
      </w:r>
      <w:r w:rsidRPr="006F4600">
        <w:t>, 13(3), 554–578. http://www.jstor.org/stable/23016738</w:t>
      </w:r>
      <w:r>
        <w:t xml:space="preserve"> </w:t>
      </w:r>
    </w:p>
    <w:p w14:paraId="0E1CE7E9" w14:textId="1535757B" w:rsidR="009F2704" w:rsidRDefault="009F2704" w:rsidP="009F2704">
      <w:pPr>
        <w:pStyle w:val="ListParagraph"/>
        <w:numPr>
          <w:ilvl w:val="0"/>
          <w:numId w:val="3"/>
        </w:numPr>
        <w:spacing w:line="240" w:lineRule="auto"/>
      </w:pPr>
      <w:r>
        <w:t xml:space="preserve">Week 10 – </w:t>
      </w:r>
      <w:r w:rsidR="00DD1F87">
        <w:t>reducing suffering in war</w:t>
      </w:r>
    </w:p>
    <w:p w14:paraId="05F99BC8" w14:textId="3CCE263B" w:rsidR="009F2704" w:rsidRDefault="009F2704" w:rsidP="009F2704">
      <w:pPr>
        <w:pStyle w:val="ListParagraph"/>
        <w:numPr>
          <w:ilvl w:val="1"/>
          <w:numId w:val="3"/>
        </w:numPr>
        <w:spacing w:line="240" w:lineRule="auto"/>
      </w:pPr>
      <w:r>
        <w:t>March 1</w:t>
      </w:r>
      <w:r w:rsidR="0069643E">
        <w:t>7</w:t>
      </w:r>
      <w:r w:rsidR="00217B3E">
        <w:t xml:space="preserve"> </w:t>
      </w:r>
      <w:r w:rsidR="006E383A">
        <w:t>–</w:t>
      </w:r>
      <w:r w:rsidR="00217B3E">
        <w:t xml:space="preserve"> </w:t>
      </w:r>
    </w:p>
    <w:p w14:paraId="716B11A8" w14:textId="77777777" w:rsidR="00336B61" w:rsidRDefault="00336B61" w:rsidP="00336B61">
      <w:pPr>
        <w:pStyle w:val="ListParagraph"/>
        <w:numPr>
          <w:ilvl w:val="2"/>
          <w:numId w:val="3"/>
        </w:numPr>
        <w:spacing w:line="240" w:lineRule="auto"/>
      </w:pPr>
    </w:p>
    <w:p w14:paraId="53D9FBBB" w14:textId="0D749AE0" w:rsidR="009F2704" w:rsidRDefault="009F2704" w:rsidP="009F2704">
      <w:pPr>
        <w:pStyle w:val="ListParagraph"/>
        <w:numPr>
          <w:ilvl w:val="1"/>
          <w:numId w:val="3"/>
        </w:numPr>
        <w:spacing w:line="240" w:lineRule="auto"/>
      </w:pPr>
      <w:r>
        <w:t xml:space="preserve">March </w:t>
      </w:r>
      <w:r w:rsidR="0069643E">
        <w:t>19</w:t>
      </w:r>
      <w:r w:rsidR="006E383A">
        <w:t xml:space="preserve"> – Intervention and peacekeeping</w:t>
      </w:r>
    </w:p>
    <w:p w14:paraId="3A349D7B" w14:textId="4B4DC901" w:rsidR="006E383A" w:rsidRDefault="006E383A" w:rsidP="00BA7FF0">
      <w:pPr>
        <w:pStyle w:val="ListParagraph"/>
        <w:numPr>
          <w:ilvl w:val="2"/>
          <w:numId w:val="3"/>
        </w:numPr>
        <w:spacing w:line="240" w:lineRule="auto"/>
      </w:pPr>
      <w:r>
        <w:t xml:space="preserve">O’Hanlon, Michael E.  </w:t>
      </w:r>
      <w:proofErr w:type="gramStart"/>
      <w:r>
        <w:t>2000.  “</w:t>
      </w:r>
      <w:proofErr w:type="gramEnd"/>
      <w:r>
        <w:t xml:space="preserve">Doing It Right:  The Future of Humanitarian Intervention.”  Brookings.  </w:t>
      </w:r>
      <w:hyperlink r:id="rId44" w:history="1">
        <w:r w:rsidRPr="00BE1361">
          <w:rPr>
            <w:rStyle w:val="Hyperlink"/>
          </w:rPr>
          <w:t>https://www.brookings.edu/articles/doing-it-right-the-future-of-humanitarian-intervention/</w:t>
        </w:r>
      </w:hyperlink>
      <w:r>
        <w:t xml:space="preserve"> </w:t>
      </w:r>
    </w:p>
    <w:p w14:paraId="6C9B17FD" w14:textId="671386B1" w:rsidR="009F2704" w:rsidRDefault="009F2704" w:rsidP="009F2704">
      <w:pPr>
        <w:pStyle w:val="ListParagraph"/>
        <w:numPr>
          <w:ilvl w:val="1"/>
          <w:numId w:val="3"/>
        </w:numPr>
        <w:spacing w:line="240" w:lineRule="auto"/>
      </w:pPr>
      <w:r>
        <w:t>March 2</w:t>
      </w:r>
      <w:r w:rsidR="0069643E">
        <w:t>1</w:t>
      </w:r>
    </w:p>
    <w:p w14:paraId="1F076B17" w14:textId="2C1E85BC" w:rsidR="00823BE3" w:rsidRDefault="00823BE3" w:rsidP="00823BE3">
      <w:pPr>
        <w:pStyle w:val="ListParagraph"/>
        <w:numPr>
          <w:ilvl w:val="2"/>
          <w:numId w:val="3"/>
        </w:numPr>
        <w:spacing w:line="240" w:lineRule="auto"/>
      </w:pPr>
      <w:r w:rsidRPr="006E383A">
        <w:t>Hultman, L</w:t>
      </w:r>
      <w:r>
        <w:t>isa</w:t>
      </w:r>
      <w:r w:rsidRPr="006E383A">
        <w:t>,</w:t>
      </w:r>
      <w:r>
        <w:t xml:space="preserve"> Jacob</w:t>
      </w:r>
      <w:r w:rsidRPr="006E383A">
        <w:t xml:space="preserve"> Kathman, </w:t>
      </w:r>
      <w:r>
        <w:t>and Megan</w:t>
      </w:r>
      <w:r w:rsidRPr="006E383A">
        <w:t xml:space="preserve"> Shannon.</w:t>
      </w:r>
      <w:r>
        <w:t xml:space="preserve"> </w:t>
      </w:r>
      <w:r w:rsidRPr="006E383A">
        <w:t xml:space="preserve"> </w:t>
      </w:r>
      <w:proofErr w:type="gramStart"/>
      <w:r w:rsidRPr="006E383A">
        <w:t>2013.</w:t>
      </w:r>
      <w:r>
        <w:t xml:space="preserve"> </w:t>
      </w:r>
      <w:r w:rsidRPr="006E383A">
        <w:t xml:space="preserve"> </w:t>
      </w:r>
      <w:r>
        <w:t>“</w:t>
      </w:r>
      <w:proofErr w:type="gramEnd"/>
      <w:r w:rsidRPr="006E383A">
        <w:t>United Nations Peacekeeping and Civilian Protection in Civil War.</w:t>
      </w:r>
      <w:r>
        <w:t xml:space="preserve">” </w:t>
      </w:r>
      <w:r w:rsidRPr="006E383A">
        <w:t xml:space="preserve"> </w:t>
      </w:r>
      <w:r w:rsidRPr="006E383A">
        <w:rPr>
          <w:i/>
          <w:iCs/>
        </w:rPr>
        <w:t>American Journal of Political Science</w:t>
      </w:r>
      <w:r>
        <w:t xml:space="preserve">. </w:t>
      </w:r>
      <w:r w:rsidRPr="006E383A">
        <w:t xml:space="preserve"> 57(4), 875–891. </w:t>
      </w:r>
      <w:hyperlink r:id="rId45" w:history="1">
        <w:r w:rsidRPr="007E5B41">
          <w:rPr>
            <w:rStyle w:val="Hyperlink"/>
          </w:rPr>
          <w:t>http://www.jstor.org/stable/23496662</w:t>
        </w:r>
      </w:hyperlink>
      <w:r>
        <w:t xml:space="preserve"> </w:t>
      </w:r>
    </w:p>
    <w:p w14:paraId="14F423B3" w14:textId="55C19A3B" w:rsidR="009F2704" w:rsidRDefault="009F2704" w:rsidP="009F2704">
      <w:pPr>
        <w:pStyle w:val="ListParagraph"/>
        <w:numPr>
          <w:ilvl w:val="0"/>
          <w:numId w:val="3"/>
        </w:numPr>
        <w:spacing w:line="240" w:lineRule="auto"/>
      </w:pPr>
      <w:r>
        <w:t>Spring Break – March 2</w:t>
      </w:r>
      <w:r w:rsidR="0069643E">
        <w:t>4</w:t>
      </w:r>
      <w:r>
        <w:t>-2</w:t>
      </w:r>
      <w:r w:rsidR="0069643E">
        <w:t>8</w:t>
      </w:r>
    </w:p>
    <w:p w14:paraId="750A34F5" w14:textId="77777777" w:rsidR="009F2704" w:rsidRDefault="009F2704" w:rsidP="009F2704">
      <w:pPr>
        <w:pStyle w:val="ListParagraph"/>
        <w:numPr>
          <w:ilvl w:val="0"/>
          <w:numId w:val="3"/>
        </w:numPr>
        <w:spacing w:line="240" w:lineRule="auto"/>
      </w:pPr>
      <w:r>
        <w:t>Week 11 – positive rights</w:t>
      </w:r>
    </w:p>
    <w:p w14:paraId="239E9E48" w14:textId="1B8FD3F1" w:rsidR="009F2704" w:rsidRDefault="0069643E" w:rsidP="009F2704">
      <w:pPr>
        <w:pStyle w:val="ListParagraph"/>
        <w:numPr>
          <w:ilvl w:val="1"/>
          <w:numId w:val="3"/>
        </w:numPr>
        <w:spacing w:line="240" w:lineRule="auto"/>
      </w:pPr>
      <w:r>
        <w:t>March 31</w:t>
      </w:r>
    </w:p>
    <w:p w14:paraId="29B476E4" w14:textId="1623D9DA" w:rsidR="009E6819" w:rsidRDefault="009E6819" w:rsidP="009E6819">
      <w:pPr>
        <w:pStyle w:val="ListParagraph"/>
        <w:numPr>
          <w:ilvl w:val="2"/>
          <w:numId w:val="3"/>
        </w:numPr>
        <w:spacing w:line="240" w:lineRule="auto"/>
      </w:pPr>
      <w:r>
        <w:t>Peacekeeping (no additional reading)</w:t>
      </w:r>
    </w:p>
    <w:p w14:paraId="64C48001" w14:textId="7DFE8E1F" w:rsidR="009F2704" w:rsidRDefault="009F2704" w:rsidP="009F2704">
      <w:pPr>
        <w:pStyle w:val="ListParagraph"/>
        <w:numPr>
          <w:ilvl w:val="1"/>
          <w:numId w:val="3"/>
        </w:numPr>
        <w:spacing w:line="240" w:lineRule="auto"/>
      </w:pPr>
      <w:r>
        <w:t xml:space="preserve">April </w:t>
      </w:r>
      <w:r w:rsidR="0069643E">
        <w:t>2</w:t>
      </w:r>
    </w:p>
    <w:p w14:paraId="108049AE" w14:textId="4359D37B" w:rsidR="009E6819" w:rsidRDefault="009E6819" w:rsidP="009E6819">
      <w:pPr>
        <w:pStyle w:val="ListParagraph"/>
        <w:numPr>
          <w:ilvl w:val="2"/>
          <w:numId w:val="3"/>
        </w:numPr>
        <w:spacing w:line="240" w:lineRule="auto"/>
      </w:pPr>
      <w:r>
        <w:t>International Covenant on Economic, Social, and Cultural Rights</w:t>
      </w:r>
      <w:r w:rsidR="0028393E">
        <w:t xml:space="preserve">.  </w:t>
      </w:r>
      <w:hyperlink r:id="rId46" w:history="1">
        <w:r w:rsidR="0028393E" w:rsidRPr="003C6EFF">
          <w:rPr>
            <w:rStyle w:val="Hyperlink"/>
          </w:rPr>
          <w:t>https://www.ohchr.org/en/instruments-mechanisms/instruments/international-covenant-economic-social-and-cultural-rights</w:t>
        </w:r>
      </w:hyperlink>
      <w:r w:rsidR="0028393E">
        <w:t xml:space="preserve"> (Read through Article 15, plus Article 25)</w:t>
      </w:r>
    </w:p>
    <w:p w14:paraId="4617D861" w14:textId="5729F4F6" w:rsidR="009E6819" w:rsidRDefault="009E6819" w:rsidP="00AF797B">
      <w:pPr>
        <w:pStyle w:val="ListParagraph"/>
        <w:numPr>
          <w:ilvl w:val="2"/>
          <w:numId w:val="3"/>
        </w:numPr>
        <w:spacing w:line="240" w:lineRule="auto"/>
      </w:pPr>
      <w:r>
        <w:lastRenderedPageBreak/>
        <w:t xml:space="preserve">Ishay, Micheline.  2008.  </w:t>
      </w:r>
      <w:r w:rsidRPr="009E6819">
        <w:rPr>
          <w:i/>
          <w:iCs/>
        </w:rPr>
        <w:t>The History of Human Rights:  From Ancient Times to the Globalization Era.</w:t>
      </w:r>
      <w:r>
        <w:t xml:space="preserve">  University of California Press. Ch. 3.  (On Canvas)</w:t>
      </w:r>
    </w:p>
    <w:p w14:paraId="616F83F2" w14:textId="4694EBEC" w:rsidR="009F2704" w:rsidRDefault="009F2704" w:rsidP="009F2704">
      <w:pPr>
        <w:pStyle w:val="ListParagraph"/>
        <w:numPr>
          <w:ilvl w:val="1"/>
          <w:numId w:val="3"/>
        </w:numPr>
        <w:spacing w:line="240" w:lineRule="auto"/>
      </w:pPr>
      <w:r>
        <w:t xml:space="preserve">April </w:t>
      </w:r>
      <w:r w:rsidR="0069643E">
        <w:t>4</w:t>
      </w:r>
    </w:p>
    <w:p w14:paraId="1909380D" w14:textId="77777777" w:rsidR="008017F2" w:rsidRPr="00F006FD" w:rsidRDefault="008017F2" w:rsidP="008017F2">
      <w:pPr>
        <w:pStyle w:val="ListParagraph"/>
        <w:numPr>
          <w:ilvl w:val="2"/>
          <w:numId w:val="3"/>
        </w:numPr>
        <w:spacing w:line="240" w:lineRule="auto"/>
      </w:pPr>
      <w:r>
        <w:rPr>
          <w:b/>
          <w:bCs/>
        </w:rPr>
        <w:t>Paper 2 due</w:t>
      </w:r>
    </w:p>
    <w:p w14:paraId="1DABE38B" w14:textId="10282F53" w:rsidR="00F006FD" w:rsidRDefault="00F006FD" w:rsidP="000943F6">
      <w:pPr>
        <w:pStyle w:val="ListParagraph"/>
        <w:numPr>
          <w:ilvl w:val="2"/>
          <w:numId w:val="3"/>
        </w:numPr>
        <w:spacing w:line="240" w:lineRule="auto"/>
      </w:pPr>
      <w:r>
        <w:t xml:space="preserve">Sen, Amartya.  “Development as Capability </w:t>
      </w:r>
      <w:proofErr w:type="gramStart"/>
      <w:r>
        <w:t>Expansion”  (</w:t>
      </w:r>
      <w:proofErr w:type="gramEnd"/>
      <w:r>
        <w:t>On Canvas)</w:t>
      </w:r>
    </w:p>
    <w:p w14:paraId="0E25D619" w14:textId="77777777" w:rsidR="009F2704" w:rsidRDefault="009F2704" w:rsidP="009F2704">
      <w:pPr>
        <w:pStyle w:val="ListParagraph"/>
        <w:numPr>
          <w:ilvl w:val="0"/>
          <w:numId w:val="3"/>
        </w:numPr>
        <w:spacing w:line="240" w:lineRule="auto"/>
      </w:pPr>
      <w:r>
        <w:t>Week 12 – explaining differences in development</w:t>
      </w:r>
    </w:p>
    <w:p w14:paraId="5C93483C" w14:textId="13499313" w:rsidR="009F2704" w:rsidRDefault="009F2704" w:rsidP="009F2704">
      <w:pPr>
        <w:pStyle w:val="ListParagraph"/>
        <w:numPr>
          <w:ilvl w:val="1"/>
          <w:numId w:val="3"/>
        </w:numPr>
        <w:spacing w:line="240" w:lineRule="auto"/>
      </w:pPr>
      <w:r>
        <w:t xml:space="preserve">April </w:t>
      </w:r>
      <w:r w:rsidR="0069643E">
        <w:t>7</w:t>
      </w:r>
    </w:p>
    <w:p w14:paraId="40078FA1" w14:textId="299747FF" w:rsidR="00175723" w:rsidRDefault="00642F6F" w:rsidP="00EA26E6">
      <w:pPr>
        <w:numPr>
          <w:ilvl w:val="2"/>
          <w:numId w:val="3"/>
        </w:numPr>
        <w:spacing w:line="240" w:lineRule="auto"/>
      </w:pPr>
      <w:r w:rsidRPr="00642F6F">
        <w:rPr>
          <w:rFonts w:cs="Times New Roman"/>
          <w:szCs w:val="24"/>
        </w:rPr>
        <w:t xml:space="preserve">Ahmed, Sadiq and Ashutosh Varshney.  </w:t>
      </w:r>
      <w:proofErr w:type="gramStart"/>
      <w:r w:rsidRPr="00642F6F">
        <w:rPr>
          <w:rFonts w:cs="Times New Roman"/>
          <w:szCs w:val="24"/>
        </w:rPr>
        <w:t>2012.  “</w:t>
      </w:r>
      <w:proofErr w:type="gramEnd"/>
      <w:r w:rsidRPr="00642F6F">
        <w:rPr>
          <w:rFonts w:cs="Times New Roman"/>
          <w:szCs w:val="24"/>
        </w:rPr>
        <w:t xml:space="preserve">Battles Half Won:  Political Economy of India’s Growth and Economic Policy Since Independence.”  In Ghate, Chetan.  </w:t>
      </w:r>
      <w:r w:rsidRPr="00642F6F">
        <w:rPr>
          <w:rFonts w:cs="Times New Roman"/>
          <w:i/>
          <w:szCs w:val="24"/>
        </w:rPr>
        <w:t xml:space="preserve">The Oxford Handbook of the Indian Economy.  </w:t>
      </w:r>
      <w:r w:rsidRPr="00642F6F">
        <w:rPr>
          <w:rFonts w:cs="Times New Roman"/>
          <w:iCs/>
          <w:szCs w:val="24"/>
        </w:rPr>
        <w:t>Oxford University Press.</w:t>
      </w:r>
    </w:p>
    <w:p w14:paraId="194706C2" w14:textId="60A137B8" w:rsidR="009F2704" w:rsidRDefault="009F2704" w:rsidP="009F2704">
      <w:pPr>
        <w:pStyle w:val="ListParagraph"/>
        <w:numPr>
          <w:ilvl w:val="1"/>
          <w:numId w:val="3"/>
        </w:numPr>
        <w:spacing w:line="240" w:lineRule="auto"/>
      </w:pPr>
      <w:r>
        <w:t xml:space="preserve">April </w:t>
      </w:r>
      <w:r w:rsidR="0069643E">
        <w:t>9</w:t>
      </w:r>
    </w:p>
    <w:p w14:paraId="407380C2" w14:textId="3962E835" w:rsidR="007702E4" w:rsidRDefault="007702E4" w:rsidP="004B6995">
      <w:pPr>
        <w:pStyle w:val="ListParagraph"/>
        <w:numPr>
          <w:ilvl w:val="2"/>
          <w:numId w:val="3"/>
        </w:numPr>
        <w:spacing w:line="240" w:lineRule="auto"/>
      </w:pPr>
      <w:r>
        <w:t>Lorenz, Andreas; Hans-</w:t>
      </w:r>
      <w:proofErr w:type="spellStart"/>
      <w:r>
        <w:t>Rimber</w:t>
      </w:r>
      <w:proofErr w:type="spellEnd"/>
      <w:r>
        <w:t xml:space="preserve"> Hemmer, and Sebastian Ahlfeld(2005) : “The Economic Growth Debate - Geography versus Institutions: Is There Anything Really New?,”   </w:t>
      </w:r>
      <w:proofErr w:type="spellStart"/>
      <w:r>
        <w:t>Entwicklungsökonomische</w:t>
      </w:r>
      <w:proofErr w:type="spellEnd"/>
      <w:r>
        <w:t xml:space="preserve"> </w:t>
      </w:r>
      <w:proofErr w:type="spellStart"/>
      <w:r>
        <w:t>Diskussionsbeiträge</w:t>
      </w:r>
      <w:proofErr w:type="spellEnd"/>
      <w:r>
        <w:t xml:space="preserve">, No. 34, Justus-Liebig-Universität </w:t>
      </w:r>
      <w:proofErr w:type="spellStart"/>
      <w:r>
        <w:t>Gießen</w:t>
      </w:r>
      <w:proofErr w:type="spellEnd"/>
      <w:r>
        <w:t xml:space="preserve">, </w:t>
      </w:r>
      <w:proofErr w:type="spellStart"/>
      <w:r>
        <w:t>Professur</w:t>
      </w:r>
      <w:proofErr w:type="spellEnd"/>
      <w:r>
        <w:t xml:space="preserve"> für </w:t>
      </w:r>
      <w:proofErr w:type="spellStart"/>
      <w:r>
        <w:t>Volkswirtschaftslehre</w:t>
      </w:r>
      <w:proofErr w:type="spellEnd"/>
      <w:r>
        <w:t xml:space="preserve"> und </w:t>
      </w:r>
      <w:proofErr w:type="spellStart"/>
      <w:r>
        <w:t>Entwicklungsländerforschung</w:t>
      </w:r>
      <w:proofErr w:type="spellEnd"/>
      <w:r>
        <w:t xml:space="preserve">, </w:t>
      </w:r>
      <w:proofErr w:type="spellStart"/>
      <w:r>
        <w:t>Gießen</w:t>
      </w:r>
      <w:proofErr w:type="spellEnd"/>
      <w:r>
        <w:t xml:space="preserve">  </w:t>
      </w:r>
      <w:hyperlink r:id="rId47" w:history="1">
        <w:r w:rsidRPr="00D632AD">
          <w:rPr>
            <w:rStyle w:val="Hyperlink"/>
          </w:rPr>
          <w:t>https://www.econstor.eu/bitstream/10419/22390/1/dp34.pdf</w:t>
        </w:r>
      </w:hyperlink>
      <w:r>
        <w:t xml:space="preserve"> </w:t>
      </w:r>
    </w:p>
    <w:p w14:paraId="6135F4BD" w14:textId="6C5C5D29" w:rsidR="007702E4" w:rsidRDefault="007702E4" w:rsidP="004B6995">
      <w:pPr>
        <w:pStyle w:val="ListParagraph"/>
        <w:numPr>
          <w:ilvl w:val="2"/>
          <w:numId w:val="3"/>
        </w:numPr>
        <w:spacing w:line="240" w:lineRule="auto"/>
      </w:pPr>
      <w:r>
        <w:t xml:space="preserve">Sen, Amartya.  </w:t>
      </w:r>
      <w:proofErr w:type="gramStart"/>
      <w:r>
        <w:t>2021.  “</w:t>
      </w:r>
      <w:proofErr w:type="gramEnd"/>
      <w:r>
        <w:t xml:space="preserve">Illusions of empire:  Amartya Sen on what British rule really did for India.”  The Guardian.  </w:t>
      </w:r>
      <w:hyperlink r:id="rId48" w:history="1">
        <w:r w:rsidRPr="00D632AD">
          <w:rPr>
            <w:rStyle w:val="Hyperlink"/>
          </w:rPr>
          <w:t>https://www.theguardian.com/world/2021/jun/29/british-empire-india-amartya-sen</w:t>
        </w:r>
      </w:hyperlink>
      <w:r>
        <w:t xml:space="preserve"> </w:t>
      </w:r>
    </w:p>
    <w:p w14:paraId="54DAF59A" w14:textId="6ABC2051" w:rsidR="009F2704" w:rsidRDefault="009F2704" w:rsidP="009F2704">
      <w:pPr>
        <w:pStyle w:val="ListParagraph"/>
        <w:numPr>
          <w:ilvl w:val="1"/>
          <w:numId w:val="3"/>
        </w:numPr>
        <w:spacing w:line="240" w:lineRule="auto"/>
      </w:pPr>
      <w:r>
        <w:t>April 1</w:t>
      </w:r>
      <w:r w:rsidR="0069643E">
        <w:t>1</w:t>
      </w:r>
    </w:p>
    <w:p w14:paraId="7BCC4EC7" w14:textId="0FC586D2" w:rsidR="005950A7" w:rsidRDefault="005950A7" w:rsidP="005950A7">
      <w:pPr>
        <w:pStyle w:val="ListParagraph"/>
        <w:numPr>
          <w:ilvl w:val="2"/>
          <w:numId w:val="3"/>
        </w:numPr>
        <w:spacing w:line="240" w:lineRule="auto"/>
      </w:pPr>
      <w:r w:rsidRPr="005950A7">
        <w:t>Brady, D</w:t>
      </w:r>
      <w:r>
        <w:t>avid and Benjamin</w:t>
      </w:r>
      <w:r w:rsidRPr="005950A7">
        <w:t xml:space="preserve"> </w:t>
      </w:r>
      <w:proofErr w:type="spellStart"/>
      <w:r w:rsidRPr="005950A7">
        <w:t>Sosnaud</w:t>
      </w:r>
      <w:proofErr w:type="spellEnd"/>
      <w:r w:rsidRPr="005950A7">
        <w:t xml:space="preserve">. </w:t>
      </w:r>
      <w:r>
        <w:t xml:space="preserve"> </w:t>
      </w:r>
      <w:proofErr w:type="gramStart"/>
      <w:r w:rsidRPr="005950A7">
        <w:t>2010.</w:t>
      </w:r>
      <w:r>
        <w:t xml:space="preserve"> </w:t>
      </w:r>
      <w:r w:rsidRPr="005950A7">
        <w:t xml:space="preserve"> </w:t>
      </w:r>
      <w:r>
        <w:t>“</w:t>
      </w:r>
      <w:proofErr w:type="gramEnd"/>
      <w:r w:rsidRPr="005950A7">
        <w:t>The Politics of Economic Inequality.</w:t>
      </w:r>
      <w:r>
        <w:t xml:space="preserve">” </w:t>
      </w:r>
      <w:r w:rsidRPr="005950A7">
        <w:t xml:space="preserve"> In: Leicht, K.T., Jenkins, J.C. (eds) </w:t>
      </w:r>
      <w:r w:rsidRPr="005950A7">
        <w:rPr>
          <w:i/>
          <w:iCs/>
        </w:rPr>
        <w:t>Handbook of Politics. Handbooks of Sociology and Social Research</w:t>
      </w:r>
      <w:r w:rsidRPr="005950A7">
        <w:t>. Springer, New York, NY. https://doi.org/10.1007/978-0-387-68930-2_28</w:t>
      </w:r>
    </w:p>
    <w:p w14:paraId="6F0CE677" w14:textId="77777777" w:rsidR="009F2704" w:rsidRDefault="009F2704" w:rsidP="009F2704">
      <w:pPr>
        <w:pStyle w:val="ListParagraph"/>
        <w:numPr>
          <w:ilvl w:val="0"/>
          <w:numId w:val="3"/>
        </w:numPr>
        <w:spacing w:line="240" w:lineRule="auto"/>
      </w:pPr>
      <w:r>
        <w:t>Week 13 – development strategies</w:t>
      </w:r>
    </w:p>
    <w:p w14:paraId="5CF2550C" w14:textId="3B2A9E93" w:rsidR="009F2704" w:rsidRDefault="009F2704" w:rsidP="009F2704">
      <w:pPr>
        <w:pStyle w:val="ListParagraph"/>
        <w:numPr>
          <w:ilvl w:val="1"/>
          <w:numId w:val="3"/>
        </w:numPr>
        <w:spacing w:line="240" w:lineRule="auto"/>
      </w:pPr>
      <w:r>
        <w:t>April 1</w:t>
      </w:r>
      <w:r w:rsidR="0069643E">
        <w:t>4</w:t>
      </w:r>
    </w:p>
    <w:p w14:paraId="44B51953" w14:textId="77777777" w:rsidR="003A7605" w:rsidRDefault="003A7605" w:rsidP="000E693E">
      <w:pPr>
        <w:numPr>
          <w:ilvl w:val="2"/>
          <w:numId w:val="3"/>
        </w:numPr>
        <w:spacing w:line="240" w:lineRule="auto"/>
        <w:rPr>
          <w:rFonts w:cs="Times New Roman"/>
          <w:szCs w:val="24"/>
        </w:rPr>
      </w:pPr>
      <w:r>
        <w:rPr>
          <w:rFonts w:cs="Times New Roman"/>
          <w:szCs w:val="24"/>
        </w:rPr>
        <w:t>“</w:t>
      </w:r>
      <w:r w:rsidRPr="004061A7">
        <w:rPr>
          <w:rFonts w:cs="Times New Roman"/>
          <w:szCs w:val="24"/>
        </w:rPr>
        <w:t>Explaining the Solow Model of Economic Growth</w:t>
      </w:r>
      <w:r>
        <w:rPr>
          <w:rFonts w:cs="Times New Roman"/>
          <w:szCs w:val="24"/>
        </w:rPr>
        <w:t xml:space="preserve">.”  2022.  Economics Online.  </w:t>
      </w:r>
      <w:hyperlink r:id="rId49" w:history="1">
        <w:r w:rsidRPr="00BE3DA5">
          <w:rPr>
            <w:rStyle w:val="Hyperlink"/>
            <w:rFonts w:cs="Times New Roman"/>
            <w:szCs w:val="24"/>
          </w:rPr>
          <w:t>https://www.economicsonline.co.uk/definitions/solowmodel.html/</w:t>
        </w:r>
      </w:hyperlink>
    </w:p>
    <w:p w14:paraId="102709F1" w14:textId="0D948186" w:rsidR="003A7605" w:rsidRDefault="003A7605" w:rsidP="000E693E">
      <w:pPr>
        <w:pStyle w:val="ListParagraph"/>
        <w:numPr>
          <w:ilvl w:val="2"/>
          <w:numId w:val="3"/>
        </w:numPr>
        <w:spacing w:line="240" w:lineRule="auto"/>
      </w:pPr>
      <w:r w:rsidRPr="003A7605">
        <w:t>Mankiw, N. Gregory, David Romer, and David N. Weil.</w:t>
      </w:r>
      <w:r>
        <w:t xml:space="preserve">  1992.</w:t>
      </w:r>
      <w:r w:rsidRPr="003A7605">
        <w:t xml:space="preserve"> “A Contribution to the Empirics of Economic Growth.” </w:t>
      </w:r>
      <w:r w:rsidRPr="003A7605">
        <w:rPr>
          <w:i/>
          <w:iCs/>
        </w:rPr>
        <w:t xml:space="preserve">The Quarterly Journal of Economics. </w:t>
      </w:r>
      <w:r w:rsidRPr="003A7605">
        <w:t>107</w:t>
      </w:r>
      <w:r>
        <w:t>(2)</w:t>
      </w:r>
      <w:r w:rsidRPr="003A7605">
        <w:t>: 407–37. https://doi.org/10.2307/2118477.</w:t>
      </w:r>
    </w:p>
    <w:p w14:paraId="57B583E7" w14:textId="6D8C7200" w:rsidR="009F2704" w:rsidRDefault="009F2704" w:rsidP="000E693E">
      <w:pPr>
        <w:pStyle w:val="ListParagraph"/>
        <w:numPr>
          <w:ilvl w:val="1"/>
          <w:numId w:val="3"/>
        </w:numPr>
        <w:spacing w:line="240" w:lineRule="auto"/>
      </w:pPr>
      <w:r>
        <w:t>April 1</w:t>
      </w:r>
      <w:r w:rsidR="0069643E">
        <w:t>6</w:t>
      </w:r>
    </w:p>
    <w:p w14:paraId="227F4417" w14:textId="4B9F9D96" w:rsidR="00420A58" w:rsidRDefault="00420A58" w:rsidP="00420A58">
      <w:pPr>
        <w:numPr>
          <w:ilvl w:val="2"/>
          <w:numId w:val="3"/>
        </w:numPr>
        <w:spacing w:line="240" w:lineRule="auto"/>
        <w:rPr>
          <w:rFonts w:cs="Times New Roman"/>
          <w:szCs w:val="24"/>
        </w:rPr>
      </w:pPr>
      <w:r>
        <w:rPr>
          <w:rFonts w:cs="Times New Roman"/>
          <w:szCs w:val="24"/>
        </w:rPr>
        <w:t xml:space="preserve">Gibson, Martha Liebler and Michael D. Ward.  </w:t>
      </w:r>
      <w:proofErr w:type="gramStart"/>
      <w:r>
        <w:rPr>
          <w:rFonts w:cs="Times New Roman"/>
          <w:szCs w:val="24"/>
        </w:rPr>
        <w:t>1992.  “</w:t>
      </w:r>
      <w:proofErr w:type="gramEnd"/>
      <w:r>
        <w:rPr>
          <w:rFonts w:cs="Times New Roman"/>
          <w:szCs w:val="24"/>
        </w:rPr>
        <w:t xml:space="preserve">Export Orientation:  Pathway or Artifact?”  </w:t>
      </w:r>
      <w:r>
        <w:rPr>
          <w:rFonts w:cs="Times New Roman"/>
          <w:i/>
          <w:iCs/>
          <w:szCs w:val="24"/>
        </w:rPr>
        <w:t xml:space="preserve">International Studies Quarterly.  </w:t>
      </w:r>
      <w:r>
        <w:rPr>
          <w:rFonts w:cs="Times New Roman"/>
          <w:szCs w:val="24"/>
        </w:rPr>
        <w:t xml:space="preserve">36(3):  331-343 </w:t>
      </w:r>
    </w:p>
    <w:p w14:paraId="08FA6306" w14:textId="4017045A" w:rsidR="000E693E" w:rsidRDefault="00EF323F" w:rsidP="000E693E">
      <w:pPr>
        <w:pStyle w:val="ListParagraph"/>
        <w:numPr>
          <w:ilvl w:val="2"/>
          <w:numId w:val="3"/>
        </w:numPr>
        <w:spacing w:line="240" w:lineRule="auto"/>
      </w:pPr>
      <w:r w:rsidRPr="00EF323F">
        <w:t xml:space="preserve">HARMAN, SOPHIE, and DAVID WILLIAMS. </w:t>
      </w:r>
      <w:proofErr w:type="gramStart"/>
      <w:r>
        <w:t xml:space="preserve">2014.  </w:t>
      </w:r>
      <w:r w:rsidRPr="00EF323F">
        <w:t>“</w:t>
      </w:r>
      <w:proofErr w:type="gramEnd"/>
      <w:r w:rsidRPr="00EF323F">
        <w:t xml:space="preserve">International Development in Transition.” </w:t>
      </w:r>
      <w:r w:rsidRPr="00EF323F">
        <w:rPr>
          <w:i/>
          <w:iCs/>
        </w:rPr>
        <w:t>International Affairs.</w:t>
      </w:r>
      <w:r>
        <w:t xml:space="preserve">  </w:t>
      </w:r>
      <w:r w:rsidRPr="00EF323F">
        <w:t>90</w:t>
      </w:r>
      <w:r>
        <w:t>(4)</w:t>
      </w:r>
      <w:r w:rsidRPr="00EF323F">
        <w:t xml:space="preserve">: 925–41. </w:t>
      </w:r>
      <w:hyperlink r:id="rId50" w:history="1">
        <w:r w:rsidRPr="006416C2">
          <w:rPr>
            <w:rStyle w:val="Hyperlink"/>
          </w:rPr>
          <w:t>http://www.jstor.org/stable/24538205</w:t>
        </w:r>
      </w:hyperlink>
      <w:r w:rsidRPr="00EF323F">
        <w:t>.</w:t>
      </w:r>
      <w:r>
        <w:t xml:space="preserve"> </w:t>
      </w:r>
    </w:p>
    <w:p w14:paraId="699206E3" w14:textId="1BA23CA5" w:rsidR="009F2704" w:rsidRDefault="009F2704" w:rsidP="000E693E">
      <w:pPr>
        <w:pStyle w:val="ListParagraph"/>
        <w:numPr>
          <w:ilvl w:val="1"/>
          <w:numId w:val="3"/>
        </w:numPr>
        <w:spacing w:line="240" w:lineRule="auto"/>
      </w:pPr>
      <w:r>
        <w:t>April 1</w:t>
      </w:r>
      <w:r w:rsidR="0069643E">
        <w:t>8</w:t>
      </w:r>
    </w:p>
    <w:p w14:paraId="0A01037B" w14:textId="77777777" w:rsidR="000E693E" w:rsidRPr="000E693E" w:rsidRDefault="000E693E" w:rsidP="000E693E">
      <w:pPr>
        <w:pStyle w:val="ListParagraph"/>
        <w:numPr>
          <w:ilvl w:val="2"/>
          <w:numId w:val="3"/>
        </w:numPr>
        <w:spacing w:line="240" w:lineRule="auto"/>
      </w:pPr>
      <w:r w:rsidRPr="000E693E">
        <w:t>Rudra, Nita. 2002. “Globalization and the Decline of the Welfare State in Less-Developed Countries.” International Organization 56 (Spring): 411-45.</w:t>
      </w:r>
    </w:p>
    <w:p w14:paraId="6A95AD71" w14:textId="0E225326" w:rsidR="000E693E" w:rsidRDefault="000E693E" w:rsidP="000E693E">
      <w:pPr>
        <w:pStyle w:val="ListParagraph"/>
        <w:numPr>
          <w:ilvl w:val="2"/>
          <w:numId w:val="3"/>
        </w:numPr>
        <w:spacing w:line="240" w:lineRule="auto"/>
      </w:pPr>
      <w:r w:rsidRPr="000E693E">
        <w:lastRenderedPageBreak/>
        <w:t xml:space="preserve">Scheve, Kenneth and Matthew Slaughter.  </w:t>
      </w:r>
      <w:proofErr w:type="gramStart"/>
      <w:r w:rsidRPr="000E693E">
        <w:t>2004.  “</w:t>
      </w:r>
      <w:proofErr w:type="gramEnd"/>
      <w:r w:rsidRPr="000E693E">
        <w:t xml:space="preserve">Economic Insecurity and the Globalization of Production.”  American Journal of Political Science.  48(4):  662-674.  </w:t>
      </w:r>
    </w:p>
    <w:p w14:paraId="221F27BB" w14:textId="77777777" w:rsidR="009F2704" w:rsidRDefault="009F2704" w:rsidP="009F2704">
      <w:pPr>
        <w:pStyle w:val="ListParagraph"/>
        <w:numPr>
          <w:ilvl w:val="0"/>
          <w:numId w:val="3"/>
        </w:numPr>
        <w:spacing w:line="240" w:lineRule="auto"/>
      </w:pPr>
      <w:r>
        <w:t>Week 14 – helping individuals</w:t>
      </w:r>
    </w:p>
    <w:p w14:paraId="2043EEAD" w14:textId="4317A977" w:rsidR="009F2704" w:rsidRDefault="009F2704" w:rsidP="009F2704">
      <w:pPr>
        <w:pStyle w:val="ListParagraph"/>
        <w:numPr>
          <w:ilvl w:val="1"/>
          <w:numId w:val="3"/>
        </w:numPr>
        <w:spacing w:line="240" w:lineRule="auto"/>
      </w:pPr>
      <w:r>
        <w:t>April 2</w:t>
      </w:r>
      <w:r w:rsidR="0069643E">
        <w:t>1</w:t>
      </w:r>
    </w:p>
    <w:p w14:paraId="34F83F2B" w14:textId="4E5B939F" w:rsidR="00277104" w:rsidRDefault="00277104" w:rsidP="00083DA3">
      <w:pPr>
        <w:numPr>
          <w:ilvl w:val="2"/>
          <w:numId w:val="3"/>
        </w:numPr>
        <w:spacing w:line="240" w:lineRule="auto"/>
        <w:rPr>
          <w:rFonts w:cs="Times New Roman"/>
          <w:szCs w:val="24"/>
        </w:rPr>
      </w:pPr>
      <w:proofErr w:type="spellStart"/>
      <w:r w:rsidRPr="00277104">
        <w:rPr>
          <w:rFonts w:cs="Times New Roman"/>
          <w:szCs w:val="24"/>
        </w:rPr>
        <w:t>Ravallion</w:t>
      </w:r>
      <w:proofErr w:type="spellEnd"/>
      <w:r w:rsidRPr="00277104">
        <w:rPr>
          <w:rFonts w:cs="Times New Roman"/>
          <w:szCs w:val="24"/>
        </w:rPr>
        <w:t>, M</w:t>
      </w:r>
      <w:r>
        <w:rPr>
          <w:rFonts w:cs="Times New Roman"/>
          <w:szCs w:val="24"/>
        </w:rPr>
        <w:t xml:space="preserve">artin.  </w:t>
      </w:r>
      <w:r w:rsidRPr="00277104">
        <w:rPr>
          <w:rFonts w:cs="Times New Roman"/>
          <w:szCs w:val="24"/>
        </w:rPr>
        <w:t>2011.</w:t>
      </w:r>
      <w:r>
        <w:rPr>
          <w:rFonts w:cs="Times New Roman"/>
          <w:szCs w:val="24"/>
        </w:rPr>
        <w:t xml:space="preserve"> </w:t>
      </w:r>
      <w:r w:rsidRPr="00277104">
        <w:rPr>
          <w:rFonts w:cs="Times New Roman"/>
          <w:szCs w:val="24"/>
        </w:rPr>
        <w:t xml:space="preserve"> A Comparative Perspective on Poverty Reduction in Brazil, China, and India. </w:t>
      </w:r>
      <w:r w:rsidRPr="00277104">
        <w:rPr>
          <w:rFonts w:cs="Times New Roman"/>
          <w:i/>
          <w:iCs/>
          <w:szCs w:val="24"/>
        </w:rPr>
        <w:t xml:space="preserve">The World Bank Research Observer, </w:t>
      </w:r>
      <w:r w:rsidRPr="00277104">
        <w:rPr>
          <w:rFonts w:cs="Times New Roman"/>
          <w:szCs w:val="24"/>
        </w:rPr>
        <w:t>26(1), 71–104. http://www.jstor.org/stable/41261423</w:t>
      </w:r>
    </w:p>
    <w:p w14:paraId="56CD7122" w14:textId="0B2848B1" w:rsidR="00083DA3" w:rsidRDefault="008E767C" w:rsidP="00083DA3">
      <w:pPr>
        <w:pStyle w:val="ListParagraph"/>
        <w:numPr>
          <w:ilvl w:val="2"/>
          <w:numId w:val="3"/>
        </w:numPr>
        <w:spacing w:line="240" w:lineRule="auto"/>
      </w:pPr>
      <w:proofErr w:type="spellStart"/>
      <w:r>
        <w:t>Pfeffermann</w:t>
      </w:r>
      <w:proofErr w:type="spellEnd"/>
      <w:r>
        <w:t xml:space="preserve">, Guy.  </w:t>
      </w:r>
      <w:proofErr w:type="gramStart"/>
      <w:r>
        <w:t>2001.  “</w:t>
      </w:r>
      <w:proofErr w:type="gramEnd"/>
      <w:r>
        <w:t xml:space="preserve">Poverty Reduction in Developing Countries:  The Role of Private Enterprise.”  </w:t>
      </w:r>
      <w:r>
        <w:rPr>
          <w:i/>
          <w:iCs/>
        </w:rPr>
        <w:t>Finance and Development.</w:t>
      </w:r>
      <w:r>
        <w:t xml:space="preserve">  38(2).  </w:t>
      </w:r>
      <w:hyperlink r:id="rId51" w:history="1">
        <w:r w:rsidRPr="00CF5D7E">
          <w:rPr>
            <w:rStyle w:val="Hyperlink"/>
          </w:rPr>
          <w:t>https://www.imf.org/external/pubs/ft/fandd/2001/06/pfefferm.htm</w:t>
        </w:r>
      </w:hyperlink>
      <w:r>
        <w:t xml:space="preserve"> </w:t>
      </w:r>
    </w:p>
    <w:p w14:paraId="69283019" w14:textId="3F2EAC38" w:rsidR="009F2704" w:rsidRDefault="009F2704" w:rsidP="009F2704">
      <w:pPr>
        <w:pStyle w:val="ListParagraph"/>
        <w:numPr>
          <w:ilvl w:val="1"/>
          <w:numId w:val="3"/>
        </w:numPr>
        <w:spacing w:line="240" w:lineRule="auto"/>
      </w:pPr>
      <w:r>
        <w:t>April 2</w:t>
      </w:r>
      <w:r w:rsidR="0069643E">
        <w:t>3</w:t>
      </w:r>
    </w:p>
    <w:p w14:paraId="3377DEB7" w14:textId="77777777" w:rsidR="008E767C" w:rsidRPr="004706A8" w:rsidRDefault="008E767C" w:rsidP="008E767C">
      <w:pPr>
        <w:numPr>
          <w:ilvl w:val="2"/>
          <w:numId w:val="3"/>
        </w:numPr>
        <w:spacing w:line="240" w:lineRule="auto"/>
        <w:rPr>
          <w:rFonts w:cs="Times New Roman"/>
          <w:szCs w:val="24"/>
        </w:rPr>
      </w:pPr>
      <w:r>
        <w:rPr>
          <w:rFonts w:cs="Times New Roman"/>
          <w:szCs w:val="24"/>
        </w:rPr>
        <w:t xml:space="preserve">Chowdhury, Prabal Roy.  </w:t>
      </w:r>
      <w:proofErr w:type="gramStart"/>
      <w:r>
        <w:rPr>
          <w:rFonts w:cs="Times New Roman"/>
          <w:szCs w:val="24"/>
        </w:rPr>
        <w:t>2012.  “</w:t>
      </w:r>
      <w:proofErr w:type="gramEnd"/>
      <w:r>
        <w:rPr>
          <w:rFonts w:cs="Times New Roman"/>
          <w:szCs w:val="24"/>
        </w:rPr>
        <w:t xml:space="preserve">Microfinance:  The </w:t>
      </w:r>
      <w:proofErr w:type="spellStart"/>
      <w:r>
        <w:rPr>
          <w:rFonts w:cs="Times New Roman"/>
          <w:szCs w:val="24"/>
        </w:rPr>
        <w:t>Shg</w:t>
      </w:r>
      <w:proofErr w:type="spellEnd"/>
      <w:r>
        <w:rPr>
          <w:rFonts w:cs="Times New Roman"/>
          <w:szCs w:val="24"/>
        </w:rPr>
        <w:t xml:space="preserve">-Linkage Program.”  In Ghate, Chetan.  </w:t>
      </w:r>
      <w:r>
        <w:rPr>
          <w:rFonts w:cs="Times New Roman"/>
          <w:i/>
          <w:szCs w:val="24"/>
        </w:rPr>
        <w:t xml:space="preserve">The Oxford Handbook of the Indian Economy.  </w:t>
      </w:r>
      <w:r>
        <w:rPr>
          <w:rFonts w:cs="Times New Roman"/>
          <w:iCs/>
          <w:szCs w:val="24"/>
        </w:rPr>
        <w:t>Oxford University Press.</w:t>
      </w:r>
    </w:p>
    <w:p w14:paraId="4A5A4C3A" w14:textId="045564EA" w:rsidR="004706A8" w:rsidRPr="002D6F34" w:rsidRDefault="004706A8" w:rsidP="008E767C">
      <w:pPr>
        <w:numPr>
          <w:ilvl w:val="2"/>
          <w:numId w:val="3"/>
        </w:numPr>
        <w:spacing w:line="240" w:lineRule="auto"/>
        <w:rPr>
          <w:rFonts w:cs="Times New Roman"/>
          <w:szCs w:val="24"/>
        </w:rPr>
      </w:pPr>
      <w:r w:rsidRPr="004706A8">
        <w:rPr>
          <w:rFonts w:cs="Times New Roman"/>
          <w:szCs w:val="24"/>
        </w:rPr>
        <w:t>Blattman, Christopher, and Paul Niehaus.</w:t>
      </w:r>
      <w:r>
        <w:rPr>
          <w:rFonts w:cs="Times New Roman"/>
          <w:szCs w:val="24"/>
        </w:rPr>
        <w:t xml:space="preserve">  </w:t>
      </w:r>
      <w:proofErr w:type="gramStart"/>
      <w:r>
        <w:rPr>
          <w:rFonts w:cs="Times New Roman"/>
          <w:szCs w:val="24"/>
        </w:rPr>
        <w:t xml:space="preserve">2014. </w:t>
      </w:r>
      <w:r w:rsidRPr="004706A8">
        <w:rPr>
          <w:rFonts w:cs="Times New Roman"/>
          <w:szCs w:val="24"/>
        </w:rPr>
        <w:t xml:space="preserve"> “</w:t>
      </w:r>
      <w:proofErr w:type="gramEnd"/>
      <w:r w:rsidRPr="004706A8">
        <w:rPr>
          <w:rFonts w:cs="Times New Roman"/>
          <w:szCs w:val="24"/>
        </w:rPr>
        <w:t xml:space="preserve">Show Them the Money: Why Giving Cash Helps Alleviate Poverty.” </w:t>
      </w:r>
      <w:r w:rsidRPr="004706A8">
        <w:rPr>
          <w:rFonts w:cs="Times New Roman"/>
          <w:i/>
          <w:iCs/>
          <w:szCs w:val="24"/>
        </w:rPr>
        <w:t>Foreign Affairs</w:t>
      </w:r>
      <w:r w:rsidRPr="004706A8">
        <w:rPr>
          <w:rFonts w:cs="Times New Roman"/>
          <w:szCs w:val="24"/>
        </w:rPr>
        <w:t xml:space="preserve"> 93</w:t>
      </w:r>
      <w:r>
        <w:rPr>
          <w:rFonts w:cs="Times New Roman"/>
          <w:szCs w:val="24"/>
        </w:rPr>
        <w:t>(</w:t>
      </w:r>
      <w:r w:rsidRPr="004706A8">
        <w:rPr>
          <w:rFonts w:cs="Times New Roman"/>
          <w:szCs w:val="24"/>
        </w:rPr>
        <w:t>3</w:t>
      </w:r>
      <w:r>
        <w:rPr>
          <w:rFonts w:cs="Times New Roman"/>
          <w:szCs w:val="24"/>
        </w:rPr>
        <w:t>)</w:t>
      </w:r>
      <w:r w:rsidRPr="004706A8">
        <w:rPr>
          <w:rFonts w:cs="Times New Roman"/>
          <w:szCs w:val="24"/>
        </w:rPr>
        <w:t xml:space="preserve">: 117–26. </w:t>
      </w:r>
      <w:hyperlink r:id="rId52" w:history="1">
        <w:r w:rsidRPr="001C2E30">
          <w:rPr>
            <w:rStyle w:val="Hyperlink"/>
            <w:rFonts w:cs="Times New Roman"/>
            <w:szCs w:val="24"/>
          </w:rPr>
          <w:t>http://www.jstor.org/stable/24483411</w:t>
        </w:r>
      </w:hyperlink>
      <w:r w:rsidRPr="004706A8">
        <w:rPr>
          <w:rFonts w:cs="Times New Roman"/>
          <w:szCs w:val="24"/>
        </w:rPr>
        <w:t>.</w:t>
      </w:r>
      <w:r>
        <w:rPr>
          <w:rFonts w:cs="Times New Roman"/>
          <w:szCs w:val="24"/>
        </w:rPr>
        <w:t xml:space="preserve"> </w:t>
      </w:r>
    </w:p>
    <w:p w14:paraId="45CA1356" w14:textId="7F77D988" w:rsidR="009F2704" w:rsidRDefault="009F2704" w:rsidP="009F2704">
      <w:pPr>
        <w:pStyle w:val="ListParagraph"/>
        <w:numPr>
          <w:ilvl w:val="1"/>
          <w:numId w:val="3"/>
        </w:numPr>
        <w:spacing w:line="240" w:lineRule="auto"/>
      </w:pPr>
      <w:r>
        <w:t>April 2</w:t>
      </w:r>
      <w:r w:rsidR="0069643E">
        <w:t>5</w:t>
      </w:r>
    </w:p>
    <w:p w14:paraId="3F7BB7B0" w14:textId="175D1AE7" w:rsidR="00030B03" w:rsidRDefault="00030B03" w:rsidP="00030B03">
      <w:pPr>
        <w:pStyle w:val="ListParagraph"/>
        <w:numPr>
          <w:ilvl w:val="2"/>
          <w:numId w:val="3"/>
        </w:numPr>
        <w:spacing w:line="240" w:lineRule="auto"/>
      </w:pPr>
      <w:r w:rsidRPr="00030B03">
        <w:t>RADHAKRISHNA, R. (2015). Well-being, Inequality, Poverty and Pathways Out of Poverty in India. Economic and Political Weekly, 50(41), 59–71. http://www.jstor.org/stable/44002715</w:t>
      </w:r>
    </w:p>
    <w:p w14:paraId="7454A56D" w14:textId="77777777" w:rsidR="009F2704" w:rsidRDefault="009F2704" w:rsidP="009F2704">
      <w:pPr>
        <w:pStyle w:val="ListParagraph"/>
        <w:numPr>
          <w:ilvl w:val="0"/>
          <w:numId w:val="3"/>
        </w:numPr>
        <w:spacing w:line="240" w:lineRule="auto"/>
      </w:pPr>
      <w:r>
        <w:t>Week 15 - conclusions</w:t>
      </w:r>
    </w:p>
    <w:p w14:paraId="6E5B48F8" w14:textId="6420B796" w:rsidR="009F2704" w:rsidRDefault="009F2704" w:rsidP="009F2704">
      <w:pPr>
        <w:pStyle w:val="ListParagraph"/>
        <w:numPr>
          <w:ilvl w:val="1"/>
          <w:numId w:val="3"/>
        </w:numPr>
        <w:spacing w:line="240" w:lineRule="auto"/>
      </w:pPr>
      <w:r>
        <w:t>April 2</w:t>
      </w:r>
      <w:r w:rsidR="0069643E">
        <w:t>8</w:t>
      </w:r>
    </w:p>
    <w:p w14:paraId="1DAD7318" w14:textId="77777777" w:rsidR="00F475FE" w:rsidRPr="00FD0F90" w:rsidRDefault="00F475FE" w:rsidP="00F475FE">
      <w:pPr>
        <w:pStyle w:val="ListParagraph"/>
        <w:numPr>
          <w:ilvl w:val="2"/>
          <w:numId w:val="3"/>
        </w:numPr>
        <w:spacing w:line="240" w:lineRule="auto"/>
      </w:pPr>
      <w:r>
        <w:t>Godwin-Gill 2014 – the International Law of Refugee Protection</w:t>
      </w:r>
    </w:p>
    <w:p w14:paraId="50650808" w14:textId="77777777" w:rsidR="00F475FE" w:rsidRDefault="00F475FE" w:rsidP="00F475FE">
      <w:pPr>
        <w:pStyle w:val="ListParagraph"/>
        <w:numPr>
          <w:ilvl w:val="2"/>
          <w:numId w:val="3"/>
        </w:numPr>
        <w:tabs>
          <w:tab w:val="left" w:pos="4189"/>
        </w:tabs>
        <w:spacing w:line="240" w:lineRule="auto"/>
      </w:pPr>
      <w:r>
        <w:t xml:space="preserve">“No Way Out:  The Humanitarian Crisis for Migrants and Asylum Seekers Trapped Between the United States, Mexico and the Northern Triangle of Central </w:t>
      </w:r>
      <w:proofErr w:type="gramStart"/>
      <w:r>
        <w:t>America”  2020</w:t>
      </w:r>
      <w:proofErr w:type="gramEnd"/>
      <w:r>
        <w:t xml:space="preserve">.  Doctors Without Borders.  </w:t>
      </w:r>
      <w:hyperlink r:id="rId53" w:history="1">
        <w:r w:rsidRPr="000C11BD">
          <w:rPr>
            <w:rStyle w:val="Hyperlink"/>
          </w:rPr>
          <w:t>https://www.msf.org/report-no-way-out-central-american-migration</w:t>
        </w:r>
      </w:hyperlink>
      <w:r>
        <w:t xml:space="preserve"> (read full report, also on Canvas)</w:t>
      </w:r>
    </w:p>
    <w:p w14:paraId="3F0B5465" w14:textId="509AD275" w:rsidR="009F2704" w:rsidRDefault="0069643E" w:rsidP="009F2704">
      <w:pPr>
        <w:pStyle w:val="ListParagraph"/>
        <w:numPr>
          <w:ilvl w:val="1"/>
          <w:numId w:val="3"/>
        </w:numPr>
        <w:spacing w:line="240" w:lineRule="auto"/>
      </w:pPr>
      <w:r>
        <w:t>April 30</w:t>
      </w:r>
    </w:p>
    <w:p w14:paraId="5D5EA403" w14:textId="577BBB64" w:rsidR="000943F6" w:rsidRPr="005D55F1" w:rsidRDefault="000943F6" w:rsidP="000943F6">
      <w:pPr>
        <w:pStyle w:val="ListParagraph"/>
        <w:numPr>
          <w:ilvl w:val="2"/>
          <w:numId w:val="3"/>
        </w:numPr>
        <w:spacing w:line="240" w:lineRule="auto"/>
      </w:pPr>
      <w:r>
        <w:rPr>
          <w:b/>
          <w:bCs/>
        </w:rPr>
        <w:t>Paper 3 due</w:t>
      </w:r>
    </w:p>
    <w:p w14:paraId="2A96DCF5" w14:textId="0062EC2D" w:rsidR="005D55F1" w:rsidRDefault="005D55F1" w:rsidP="000943F6">
      <w:pPr>
        <w:pStyle w:val="ListParagraph"/>
        <w:numPr>
          <w:ilvl w:val="2"/>
          <w:numId w:val="3"/>
        </w:numPr>
        <w:spacing w:line="240" w:lineRule="auto"/>
      </w:pPr>
      <w:r w:rsidRPr="005D55F1">
        <w:t>Belloni, R</w:t>
      </w:r>
      <w:r>
        <w:t>oberto</w:t>
      </w:r>
      <w:r w:rsidRPr="005D55F1">
        <w:t xml:space="preserve">. </w:t>
      </w:r>
      <w:r>
        <w:t xml:space="preserve"> </w:t>
      </w:r>
      <w:proofErr w:type="gramStart"/>
      <w:r w:rsidRPr="005D55F1">
        <w:t xml:space="preserve">2007. </w:t>
      </w:r>
      <w:r>
        <w:t xml:space="preserve"> “</w:t>
      </w:r>
      <w:proofErr w:type="gramEnd"/>
      <w:r w:rsidRPr="005D55F1">
        <w:t>The Trouble with Humanitarianism.</w:t>
      </w:r>
      <w:r>
        <w:t xml:space="preserve">” </w:t>
      </w:r>
      <w:r w:rsidRPr="005D55F1">
        <w:t xml:space="preserve"> </w:t>
      </w:r>
      <w:r w:rsidRPr="005D55F1">
        <w:rPr>
          <w:i/>
          <w:iCs/>
        </w:rPr>
        <w:t>Review of International Studies</w:t>
      </w:r>
      <w:r w:rsidRPr="005D55F1">
        <w:t xml:space="preserve">, 33(3), 451–474. </w:t>
      </w:r>
      <w:hyperlink r:id="rId54" w:history="1">
        <w:r w:rsidRPr="00110916">
          <w:rPr>
            <w:rStyle w:val="Hyperlink"/>
          </w:rPr>
          <w:t>http://www.jstor.org/stable/40072187</w:t>
        </w:r>
      </w:hyperlink>
    </w:p>
    <w:p w14:paraId="7CE0184F" w14:textId="3E5A950D" w:rsidR="005D55F1" w:rsidRDefault="005D55F1" w:rsidP="00336B61">
      <w:pPr>
        <w:numPr>
          <w:ilvl w:val="2"/>
          <w:numId w:val="3"/>
        </w:numPr>
        <w:tabs>
          <w:tab w:val="left" w:pos="4189"/>
        </w:tabs>
        <w:spacing w:line="240" w:lineRule="auto"/>
      </w:pPr>
      <w:r>
        <w:t xml:space="preserve">Palmer, Ada.  </w:t>
      </w:r>
      <w:proofErr w:type="gramStart"/>
      <w:r>
        <w:t>2017.  “</w:t>
      </w:r>
      <w:proofErr w:type="gramEnd"/>
      <w:r>
        <w:t xml:space="preserve">On Progress and Historical Change.”  </w:t>
      </w:r>
      <w:hyperlink r:id="rId55" w:history="1">
        <w:r w:rsidRPr="008C5D0A">
          <w:rPr>
            <w:rStyle w:val="Hyperlink"/>
          </w:rPr>
          <w:t>https://www.exurbe.com/on-progress-and-historical-change/</w:t>
        </w:r>
      </w:hyperlink>
      <w:r>
        <w:t xml:space="preserve"> </w:t>
      </w:r>
    </w:p>
    <w:p w14:paraId="30B17BBC" w14:textId="3A6B531C" w:rsidR="009F2704" w:rsidRDefault="009F2704" w:rsidP="009F2704">
      <w:pPr>
        <w:pStyle w:val="ListParagraph"/>
        <w:numPr>
          <w:ilvl w:val="1"/>
          <w:numId w:val="3"/>
        </w:numPr>
        <w:spacing w:line="240" w:lineRule="auto"/>
      </w:pPr>
      <w:r>
        <w:t xml:space="preserve">May </w:t>
      </w:r>
      <w:r w:rsidR="0069643E">
        <w:t>2</w:t>
      </w:r>
      <w:r>
        <w:t xml:space="preserve"> (reading day)</w:t>
      </w:r>
      <w:bookmarkEnd w:id="0"/>
    </w:p>
    <w:p w14:paraId="7E8957A8" w14:textId="110931E6" w:rsidR="0069643E" w:rsidRDefault="000D5678" w:rsidP="0069643E">
      <w:pPr>
        <w:pStyle w:val="ListParagraph"/>
        <w:numPr>
          <w:ilvl w:val="0"/>
          <w:numId w:val="3"/>
        </w:numPr>
        <w:spacing w:line="240" w:lineRule="auto"/>
      </w:pPr>
      <w:r>
        <w:t>May 4 – final exam</w:t>
      </w:r>
      <w:r w:rsidR="00665F46">
        <w:t xml:space="preserve"> day</w:t>
      </w:r>
    </w:p>
    <w:p w14:paraId="365E40E7" w14:textId="0C838FD7" w:rsidR="00665F46" w:rsidRDefault="00665F46" w:rsidP="00665F46">
      <w:pPr>
        <w:pStyle w:val="ListParagraph"/>
        <w:numPr>
          <w:ilvl w:val="1"/>
          <w:numId w:val="3"/>
        </w:numPr>
        <w:spacing w:line="240" w:lineRule="auto"/>
      </w:pPr>
      <w:r>
        <w:rPr>
          <w:b/>
          <w:bCs/>
        </w:rPr>
        <w:t>Reflection paper due</w:t>
      </w:r>
    </w:p>
    <w:p w14:paraId="761ECB16" w14:textId="77777777" w:rsidR="00AB14ED" w:rsidRDefault="00AB14ED" w:rsidP="00AB14ED">
      <w:pPr>
        <w:tabs>
          <w:tab w:val="left" w:pos="4189"/>
        </w:tabs>
        <w:spacing w:line="240" w:lineRule="auto"/>
      </w:pPr>
    </w:p>
    <w:p w14:paraId="12A3FDDD" w14:textId="77777777" w:rsidR="005C1DC2" w:rsidRDefault="005C1DC2" w:rsidP="005C1DC2">
      <w:pPr>
        <w:spacing w:line="240" w:lineRule="auto"/>
        <w:rPr>
          <w:rFonts w:cs="Times New Roman"/>
          <w:szCs w:val="24"/>
        </w:rPr>
      </w:pPr>
    </w:p>
    <w:p w14:paraId="5E6C8A96" w14:textId="77777777" w:rsidR="005C1DC2" w:rsidRDefault="005C1DC2" w:rsidP="005C1DC2">
      <w:pPr>
        <w:spacing w:line="240" w:lineRule="auto"/>
        <w:rPr>
          <w:rFonts w:cs="Times New Roman"/>
          <w:szCs w:val="24"/>
        </w:rPr>
      </w:pPr>
    </w:p>
    <w:p w14:paraId="7298147E" w14:textId="77777777" w:rsidR="005C1DC2" w:rsidRDefault="005C1DC2" w:rsidP="005C1DC2">
      <w:pPr>
        <w:spacing w:line="240" w:lineRule="auto"/>
        <w:rPr>
          <w:rFonts w:cs="Times New Roman"/>
          <w:szCs w:val="24"/>
        </w:rPr>
      </w:pPr>
    </w:p>
    <w:p w14:paraId="222E3E47" w14:textId="77777777" w:rsidR="00A90032" w:rsidRDefault="00A90032" w:rsidP="00A90032">
      <w:pPr>
        <w:spacing w:line="240" w:lineRule="auto"/>
        <w:rPr>
          <w:rFonts w:cs="Times New Roman"/>
          <w:b/>
          <w:bCs/>
          <w:szCs w:val="24"/>
        </w:rPr>
      </w:pPr>
      <w:r>
        <w:rPr>
          <w:rFonts w:cs="Times New Roman"/>
          <w:b/>
          <w:bCs/>
          <w:szCs w:val="24"/>
        </w:rPr>
        <w:t>Policies</w:t>
      </w:r>
    </w:p>
    <w:p w14:paraId="6317E522" w14:textId="77777777" w:rsidR="00A90032" w:rsidRDefault="00A90032" w:rsidP="00A90032">
      <w:pPr>
        <w:spacing w:line="240" w:lineRule="auto"/>
        <w:rPr>
          <w:rFonts w:cs="Times New Roman"/>
          <w:b/>
          <w:bCs/>
          <w:szCs w:val="24"/>
        </w:rPr>
      </w:pPr>
    </w:p>
    <w:p w14:paraId="26BE4429" w14:textId="77777777" w:rsidR="00A90032" w:rsidRPr="00C10740" w:rsidRDefault="00A90032" w:rsidP="00A90032">
      <w:pPr>
        <w:spacing w:line="240" w:lineRule="auto"/>
        <w:rPr>
          <w:rFonts w:cs="Times New Roman"/>
          <w:i/>
          <w:iCs/>
          <w:szCs w:val="24"/>
        </w:rPr>
      </w:pPr>
      <w:r w:rsidRPr="00C10740">
        <w:rPr>
          <w:rFonts w:cs="Times New Roman"/>
          <w:i/>
          <w:iCs/>
          <w:szCs w:val="24"/>
        </w:rPr>
        <w:lastRenderedPageBreak/>
        <w:t>Late policy</w:t>
      </w:r>
    </w:p>
    <w:p w14:paraId="6C49A791" w14:textId="77777777" w:rsidR="00A90032" w:rsidRDefault="00A90032" w:rsidP="00A90032">
      <w:pPr>
        <w:spacing w:line="240" w:lineRule="auto"/>
        <w:rPr>
          <w:rFonts w:cs="Times New Roman"/>
          <w:szCs w:val="24"/>
        </w:rPr>
      </w:pPr>
      <w:r>
        <w:rPr>
          <w:rFonts w:cs="Times New Roman"/>
          <w:szCs w:val="24"/>
        </w:rPr>
        <w:t>Assignments may be turned in late, provided you let me know.  If you need to turn these in late, you MUST e-mail that is will be late (you do not need to provide a reason) AND provide a date by which you will have it completed.  While they will be granted, extensions on the final paper must be limited in order to allow me to finish grading everything on time.</w:t>
      </w:r>
    </w:p>
    <w:p w14:paraId="60AE5B3D" w14:textId="77777777" w:rsidR="00A90032" w:rsidRDefault="00A90032" w:rsidP="00A90032">
      <w:pPr>
        <w:spacing w:line="240" w:lineRule="auto"/>
        <w:rPr>
          <w:rFonts w:cs="Times New Roman"/>
          <w:i/>
          <w:iCs/>
          <w:szCs w:val="24"/>
        </w:rPr>
      </w:pPr>
    </w:p>
    <w:p w14:paraId="1BEF0CDA" w14:textId="77777777" w:rsidR="00A90032" w:rsidRPr="00C87B61" w:rsidRDefault="00A90032" w:rsidP="00A90032">
      <w:pPr>
        <w:spacing w:line="240" w:lineRule="auto"/>
        <w:rPr>
          <w:rFonts w:cs="Times New Roman"/>
          <w:i/>
          <w:szCs w:val="24"/>
        </w:rPr>
      </w:pPr>
      <w:r w:rsidRPr="00C87B61">
        <w:rPr>
          <w:rFonts w:cs="Times New Roman"/>
          <w:i/>
          <w:szCs w:val="24"/>
        </w:rPr>
        <w:t>Communication</w:t>
      </w:r>
    </w:p>
    <w:p w14:paraId="3CCCCAEE" w14:textId="77777777" w:rsidR="00A90032" w:rsidRDefault="00A90032" w:rsidP="00A90032">
      <w:pPr>
        <w:spacing w:line="240" w:lineRule="auto"/>
        <w:rPr>
          <w:rFonts w:cs="Times New Roman"/>
          <w:szCs w:val="24"/>
        </w:rPr>
      </w:pPr>
      <w:r w:rsidRPr="00C87B61">
        <w:rPr>
          <w:rFonts w:cs="Times New Roman"/>
          <w:szCs w:val="24"/>
        </w:rPr>
        <w:t xml:space="preserve">I will use both e-mail and </w:t>
      </w:r>
      <w:r>
        <w:rPr>
          <w:rFonts w:cs="Times New Roman"/>
          <w:szCs w:val="24"/>
        </w:rPr>
        <w:t>Canvas</w:t>
      </w:r>
      <w:r w:rsidRPr="00C87B61">
        <w:rPr>
          <w:rFonts w:cs="Times New Roman"/>
          <w:szCs w:val="24"/>
        </w:rPr>
        <w:t xml:space="preserve"> to communicate important announcements.  You are expected to check both regularly.  The best way to contact me is through e-mail.</w:t>
      </w:r>
      <w:r>
        <w:rPr>
          <w:rFonts w:cs="Times New Roman"/>
          <w:szCs w:val="24"/>
        </w:rPr>
        <w:t xml:space="preserve">  </w:t>
      </w:r>
      <w:r w:rsidRPr="00C87B61">
        <w:rPr>
          <w:rFonts w:cs="Times New Roman"/>
          <w:szCs w:val="24"/>
        </w:rPr>
        <w:t xml:space="preserve">I will </w:t>
      </w:r>
      <w:r>
        <w:rPr>
          <w:rFonts w:cs="Times New Roman"/>
          <w:szCs w:val="24"/>
        </w:rPr>
        <w:t>do my best to respond reasonably promptly, but please be patient</w:t>
      </w:r>
      <w:r w:rsidRPr="00C87B61">
        <w:rPr>
          <w:rFonts w:cs="Times New Roman"/>
          <w:szCs w:val="24"/>
        </w:rPr>
        <w:t xml:space="preserve">.  For more complex issues or substantive </w:t>
      </w:r>
      <w:proofErr w:type="gramStart"/>
      <w:r w:rsidRPr="00C87B61">
        <w:rPr>
          <w:rFonts w:cs="Times New Roman"/>
          <w:szCs w:val="24"/>
        </w:rPr>
        <w:t>questions</w:t>
      </w:r>
      <w:proofErr w:type="gramEnd"/>
      <w:r w:rsidRPr="00C87B61">
        <w:rPr>
          <w:rFonts w:cs="Times New Roman"/>
          <w:szCs w:val="24"/>
        </w:rPr>
        <w:t xml:space="preserve"> I will probably suggest setting up an appointment to meet</w:t>
      </w:r>
      <w:r>
        <w:rPr>
          <w:rFonts w:cs="Times New Roman"/>
          <w:szCs w:val="24"/>
        </w:rPr>
        <w:t>.</w:t>
      </w:r>
      <w:r w:rsidRPr="00C87B61">
        <w:rPr>
          <w:rFonts w:cs="Times New Roman"/>
          <w:szCs w:val="24"/>
        </w:rPr>
        <w:t xml:space="preserve">  </w:t>
      </w:r>
    </w:p>
    <w:p w14:paraId="1791EE18" w14:textId="77777777" w:rsidR="00A90032" w:rsidRDefault="00A90032" w:rsidP="00A90032">
      <w:pPr>
        <w:spacing w:line="240" w:lineRule="auto"/>
        <w:rPr>
          <w:rFonts w:cs="Times New Roman"/>
          <w:szCs w:val="24"/>
        </w:rPr>
      </w:pPr>
    </w:p>
    <w:p w14:paraId="5467DC32" w14:textId="77777777" w:rsidR="00A90032" w:rsidRDefault="00A90032" w:rsidP="00A90032">
      <w:pPr>
        <w:spacing w:line="240" w:lineRule="auto"/>
        <w:rPr>
          <w:rFonts w:cs="Times New Roman"/>
          <w:szCs w:val="24"/>
        </w:rPr>
      </w:pPr>
      <w:r>
        <w:rPr>
          <w:rFonts w:cs="Times New Roman"/>
          <w:szCs w:val="24"/>
        </w:rPr>
        <w:t xml:space="preserve">You may also come in to scheduled office hours at any time without an appointment.  Office hours are times we have set aside to be available to meet with students.  You are welcome to come in and discuss anything relevant to the course.  </w:t>
      </w:r>
    </w:p>
    <w:p w14:paraId="2F773CF6" w14:textId="77777777" w:rsidR="00A90032" w:rsidRDefault="00A90032" w:rsidP="00A90032">
      <w:pPr>
        <w:spacing w:line="240" w:lineRule="auto"/>
        <w:rPr>
          <w:rFonts w:eastAsia="Times New Roman" w:cs="Times New Roman"/>
          <w:i/>
          <w:iCs/>
          <w:szCs w:val="24"/>
        </w:rPr>
      </w:pPr>
    </w:p>
    <w:p w14:paraId="0C6A7832" w14:textId="77777777" w:rsidR="00A90032" w:rsidRDefault="00A90032" w:rsidP="00A90032">
      <w:pPr>
        <w:spacing w:line="240" w:lineRule="auto"/>
        <w:rPr>
          <w:rFonts w:eastAsia="Times New Roman" w:cs="Times New Roman"/>
          <w:i/>
          <w:iCs/>
          <w:szCs w:val="24"/>
        </w:rPr>
      </w:pPr>
      <w:r>
        <w:rPr>
          <w:rFonts w:eastAsia="Times New Roman" w:cs="Times New Roman"/>
          <w:i/>
          <w:iCs/>
          <w:szCs w:val="24"/>
        </w:rPr>
        <w:t>Grading Grievances</w:t>
      </w:r>
      <w:r w:rsidRPr="00C87B61">
        <w:rPr>
          <w:rFonts w:eastAsia="Times New Roman" w:cs="Times New Roman"/>
          <w:i/>
          <w:iCs/>
          <w:szCs w:val="24"/>
        </w:rPr>
        <w:t xml:space="preserve"> </w:t>
      </w:r>
    </w:p>
    <w:p w14:paraId="6B91CCEF" w14:textId="77777777" w:rsidR="00A90032" w:rsidRDefault="00A90032" w:rsidP="00A90032">
      <w:pPr>
        <w:spacing w:line="240" w:lineRule="auto"/>
        <w:rPr>
          <w:rFonts w:eastAsia="Times New Roman" w:cs="Times New Roman"/>
          <w:szCs w:val="24"/>
        </w:rPr>
      </w:pPr>
      <w:r w:rsidRPr="00C87B61">
        <w:rPr>
          <w:rFonts w:eastAsia="Times New Roman" w:cs="Times New Roman"/>
          <w:szCs w:val="24"/>
        </w:rPr>
        <w:t xml:space="preserve">Objectively assigning grades is a tough business, and </w:t>
      </w:r>
      <w:r>
        <w:rPr>
          <w:rFonts w:eastAsia="Times New Roman" w:cs="Times New Roman"/>
          <w:szCs w:val="24"/>
        </w:rPr>
        <w:t>mistakes do happen</w:t>
      </w:r>
      <w:r w:rsidRPr="00C87B61">
        <w:rPr>
          <w:rFonts w:eastAsia="Times New Roman" w:cs="Times New Roman"/>
          <w:szCs w:val="24"/>
        </w:rPr>
        <w:t xml:space="preserve">.  </w:t>
      </w:r>
      <w:r>
        <w:rPr>
          <w:rFonts w:eastAsia="Times New Roman" w:cs="Times New Roman"/>
          <w:szCs w:val="24"/>
        </w:rPr>
        <w:t xml:space="preserve">We are happy to go over the assignment and explain why we assigned the given grade during office hours.  In general, you should first contact your TA for an explanation.  If you wish to appeal a grade, </w:t>
      </w:r>
      <w:r w:rsidRPr="00C87B61">
        <w:rPr>
          <w:rFonts w:eastAsia="Times New Roman" w:cs="Times New Roman"/>
          <w:szCs w:val="24"/>
        </w:rPr>
        <w:t xml:space="preserve">you must submit </w:t>
      </w:r>
      <w:r w:rsidRPr="00C87B61">
        <w:rPr>
          <w:rFonts w:eastAsia="Times New Roman" w:cs="Times New Roman"/>
          <w:i/>
          <w:iCs/>
          <w:szCs w:val="24"/>
        </w:rPr>
        <w:t>in writing</w:t>
      </w:r>
      <w:r w:rsidRPr="00C87B61">
        <w:rPr>
          <w:rFonts w:eastAsia="Times New Roman" w:cs="Times New Roman"/>
          <w:szCs w:val="24"/>
        </w:rPr>
        <w:t xml:space="preserve"> an explanation detailing where (i.e. what question) and why you think that you received insufficient credit for</w:t>
      </w:r>
      <w:r>
        <w:rPr>
          <w:rFonts w:eastAsia="Times New Roman" w:cs="Times New Roman"/>
          <w:szCs w:val="24"/>
        </w:rPr>
        <w:t xml:space="preserve"> your answer.  You should submit your appeal to both me and your TA.  Be forewarned: I</w:t>
      </w:r>
      <w:r w:rsidRPr="00C87B61">
        <w:rPr>
          <w:rFonts w:eastAsia="Times New Roman" w:cs="Times New Roman"/>
          <w:szCs w:val="24"/>
        </w:rPr>
        <w:t xml:space="preserve"> will not accept explanations arguing that because you </w:t>
      </w:r>
      <w:r>
        <w:rPr>
          <w:rFonts w:eastAsia="Times New Roman" w:cs="Times New Roman"/>
          <w:szCs w:val="24"/>
        </w:rPr>
        <w:t>worked really hard on a paper</w:t>
      </w:r>
      <w:r w:rsidRPr="00C87B61">
        <w:rPr>
          <w:rFonts w:eastAsia="Times New Roman" w:cs="Times New Roman"/>
          <w:szCs w:val="24"/>
        </w:rPr>
        <w:t xml:space="preserve">, your overall grade was just not high enough.  You need to be able to show specific grading errors on </w:t>
      </w:r>
      <w:r>
        <w:rPr>
          <w:rFonts w:eastAsia="Times New Roman" w:cs="Times New Roman"/>
          <w:szCs w:val="24"/>
        </w:rPr>
        <w:t>my</w:t>
      </w:r>
      <w:r w:rsidRPr="00C87B61">
        <w:rPr>
          <w:rFonts w:eastAsia="Times New Roman" w:cs="Times New Roman"/>
          <w:szCs w:val="24"/>
        </w:rPr>
        <w:t xml:space="preserve"> part.</w:t>
      </w:r>
    </w:p>
    <w:p w14:paraId="536FE48F" w14:textId="77777777" w:rsidR="00A90032" w:rsidRDefault="00A90032" w:rsidP="00A90032">
      <w:pPr>
        <w:spacing w:line="240" w:lineRule="auto"/>
        <w:rPr>
          <w:rFonts w:eastAsia="Times New Roman" w:cs="Times New Roman"/>
          <w:szCs w:val="24"/>
        </w:rPr>
      </w:pPr>
    </w:p>
    <w:p w14:paraId="06A025FB" w14:textId="77777777" w:rsidR="00A90032" w:rsidRPr="00556251" w:rsidRDefault="00A90032" w:rsidP="00A90032">
      <w:pPr>
        <w:spacing w:line="240" w:lineRule="auto"/>
        <w:rPr>
          <w:rFonts w:eastAsia="Times New Roman" w:cs="Times New Roman"/>
          <w:i/>
          <w:iCs/>
          <w:szCs w:val="24"/>
        </w:rPr>
      </w:pPr>
      <w:r>
        <w:rPr>
          <w:rFonts w:eastAsia="Times New Roman" w:cs="Times New Roman"/>
          <w:i/>
          <w:iCs/>
          <w:szCs w:val="24"/>
        </w:rPr>
        <w:t>Classroom Behavior</w:t>
      </w:r>
    </w:p>
    <w:p w14:paraId="48DDD477" w14:textId="77777777" w:rsidR="00A90032" w:rsidRPr="00BC2020" w:rsidRDefault="00A90032" w:rsidP="00A90032">
      <w:pPr>
        <w:spacing w:line="240" w:lineRule="auto"/>
        <w:rPr>
          <w:rFonts w:eastAsia="Calibri" w:cs="Times New Roman"/>
        </w:rPr>
      </w:pPr>
      <w:r w:rsidRPr="00BC2020">
        <w:rPr>
          <w:rFonts w:eastAsia="Calibri" w:cs="Times New Roman"/>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r w:rsidRPr="00BC2020">
        <w:rPr>
          <w:rFonts w:eastAsia="Calibri" w:cs="Times New Roman"/>
        </w:rPr>
        <w:br/>
      </w:r>
      <w:r w:rsidRPr="00BC2020">
        <w:rPr>
          <w:rFonts w:eastAsia="Calibri" w:cs="Times New Roman"/>
        </w:rPr>
        <w:br/>
        <w:t xml:space="preserve">For more information, see the </w:t>
      </w:r>
      <w:hyperlink r:id="rId56" w:history="1">
        <w:r w:rsidRPr="00BC2020">
          <w:rPr>
            <w:rStyle w:val="Hyperlink"/>
            <w:rFonts w:eastAsia="Calibri" w:cs="Times New Roman"/>
          </w:rPr>
          <w:t>classroom behavior policy</w:t>
        </w:r>
      </w:hyperlink>
      <w:r w:rsidRPr="00BC2020">
        <w:rPr>
          <w:rFonts w:eastAsia="Calibri" w:cs="Times New Roman"/>
        </w:rPr>
        <w:t>, the</w:t>
      </w:r>
      <w:hyperlink r:id="rId57" w:history="1">
        <w:r w:rsidRPr="00BC2020">
          <w:rPr>
            <w:rStyle w:val="Hyperlink"/>
            <w:rFonts w:eastAsia="Calibri" w:cs="Times New Roman"/>
            <w:color w:val="auto"/>
            <w:u w:val="none"/>
          </w:rPr>
          <w:t xml:space="preserve"> </w:t>
        </w:r>
      </w:hyperlink>
      <w:hyperlink r:id="rId58" w:history="1">
        <w:r w:rsidRPr="00BC2020">
          <w:rPr>
            <w:rStyle w:val="Hyperlink"/>
            <w:rFonts w:eastAsia="Calibri" w:cs="Times New Roman"/>
            <w:color w:val="1155CC"/>
          </w:rPr>
          <w:t>Student Code of Conduct</w:t>
        </w:r>
      </w:hyperlink>
      <w:r w:rsidRPr="00BC2020">
        <w:rPr>
          <w:rFonts w:eastAsia="Calibri" w:cs="Times New Roman"/>
        </w:rPr>
        <w:t>, and the</w:t>
      </w:r>
      <w:hyperlink r:id="rId59" w:history="1">
        <w:r w:rsidRPr="00BC2020">
          <w:rPr>
            <w:rStyle w:val="Hyperlink"/>
            <w:rFonts w:eastAsia="Calibri" w:cs="Times New Roman"/>
            <w:color w:val="auto"/>
            <w:u w:val="none"/>
          </w:rPr>
          <w:t xml:space="preserve"> </w:t>
        </w:r>
      </w:hyperlink>
      <w:hyperlink r:id="rId60" w:history="1">
        <w:r w:rsidRPr="00BC2020">
          <w:rPr>
            <w:rStyle w:val="Hyperlink"/>
            <w:rFonts w:eastAsia="Calibri" w:cs="Times New Roman"/>
            <w:color w:val="1155CC"/>
          </w:rPr>
          <w:t>Office of Institutional Equity and Compliance</w:t>
        </w:r>
      </w:hyperlink>
      <w:r w:rsidRPr="00BC2020">
        <w:rPr>
          <w:rFonts w:eastAsia="Calibri" w:cs="Times New Roman"/>
        </w:rPr>
        <w:t>.</w:t>
      </w:r>
    </w:p>
    <w:p w14:paraId="012CC19C" w14:textId="77777777" w:rsidR="00A90032" w:rsidRPr="00556251" w:rsidRDefault="00A90032" w:rsidP="00A90032">
      <w:pPr>
        <w:spacing w:line="240" w:lineRule="auto"/>
        <w:rPr>
          <w:rFonts w:eastAsia="Times New Roman" w:cs="Times New Roman"/>
          <w:szCs w:val="24"/>
        </w:rPr>
      </w:pPr>
    </w:p>
    <w:p w14:paraId="2D0C3220" w14:textId="77777777" w:rsidR="00A90032" w:rsidRPr="00556251" w:rsidRDefault="00A90032" w:rsidP="00A90032">
      <w:pPr>
        <w:spacing w:line="240" w:lineRule="auto"/>
        <w:rPr>
          <w:rFonts w:eastAsia="Times New Roman" w:cs="Times New Roman"/>
          <w:i/>
          <w:iCs/>
          <w:szCs w:val="24"/>
        </w:rPr>
      </w:pPr>
      <w:r>
        <w:rPr>
          <w:rFonts w:eastAsia="Times New Roman" w:cs="Times New Roman"/>
          <w:i/>
          <w:iCs/>
          <w:szCs w:val="24"/>
        </w:rPr>
        <w:t>Requirements for Covid-19</w:t>
      </w:r>
    </w:p>
    <w:p w14:paraId="47EBAECC" w14:textId="77777777" w:rsidR="00A90032" w:rsidRPr="00964732" w:rsidRDefault="00A90032" w:rsidP="00A90032">
      <w:pPr>
        <w:spacing w:line="240" w:lineRule="auto"/>
        <w:rPr>
          <w:rFonts w:eastAsia="Times New Roman" w:cs="Times New Roman"/>
          <w:szCs w:val="24"/>
        </w:rPr>
      </w:pPr>
      <w:r w:rsidRPr="00964732">
        <w:rPr>
          <w:rFonts w:eastAsia="Times New Roman" w:cs="Times New Roman"/>
          <w:szCs w:val="24"/>
        </w:rPr>
        <w:t>Members of the CU Boulder community and visitors to campus must follow university, department, and building health and safety requirements and all public health orders to reduce the risk of spreading infectious diseases.</w:t>
      </w:r>
    </w:p>
    <w:p w14:paraId="379D9DCA" w14:textId="77777777" w:rsidR="00A90032" w:rsidRPr="00964732" w:rsidRDefault="00A90032" w:rsidP="00A90032">
      <w:pPr>
        <w:spacing w:line="240" w:lineRule="auto"/>
        <w:rPr>
          <w:rFonts w:eastAsia="Times New Roman" w:cs="Times New Roman"/>
          <w:szCs w:val="24"/>
        </w:rPr>
      </w:pPr>
    </w:p>
    <w:p w14:paraId="34BB3017" w14:textId="77777777" w:rsidR="00A90032" w:rsidRPr="00964732" w:rsidRDefault="00A90032" w:rsidP="00A90032">
      <w:pPr>
        <w:spacing w:line="240" w:lineRule="auto"/>
        <w:rPr>
          <w:rFonts w:eastAsia="Times New Roman" w:cs="Times New Roman"/>
          <w:szCs w:val="24"/>
        </w:rPr>
      </w:pPr>
      <w:r w:rsidRPr="00964732">
        <w:rPr>
          <w:rFonts w:eastAsia="Times New Roman" w:cs="Times New Roman"/>
          <w:szCs w:val="24"/>
        </w:rPr>
        <w:t xml:space="preserve">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w:t>
      </w:r>
      <w:r w:rsidRPr="00964732">
        <w:rPr>
          <w:rFonts w:eastAsia="Times New Roman" w:cs="Times New Roman"/>
          <w:szCs w:val="24"/>
        </w:rPr>
        <w:lastRenderedPageBreak/>
        <w:t>because a disability prevents them from fulfilling safety measures related to infectious disease will be asked to follow the steps in the “Accommodation for Disabilities” statement on this syllabus.</w:t>
      </w:r>
    </w:p>
    <w:p w14:paraId="0C30B6CE" w14:textId="77777777" w:rsidR="00A90032" w:rsidRPr="00964732" w:rsidRDefault="00A90032" w:rsidP="00A90032">
      <w:pPr>
        <w:spacing w:line="240" w:lineRule="auto"/>
        <w:rPr>
          <w:rFonts w:eastAsia="Times New Roman" w:cs="Times New Roman"/>
          <w:szCs w:val="24"/>
        </w:rPr>
      </w:pPr>
    </w:p>
    <w:p w14:paraId="43E1A526" w14:textId="77777777" w:rsidR="00A90032" w:rsidRDefault="00A90032" w:rsidP="00A90032">
      <w:pPr>
        <w:spacing w:line="240" w:lineRule="auto"/>
        <w:rPr>
          <w:rFonts w:eastAsia="Times New Roman" w:cs="Times New Roman"/>
          <w:szCs w:val="24"/>
        </w:rPr>
      </w:pPr>
      <w:r w:rsidRPr="00964732">
        <w:rPr>
          <w:rFonts w:eastAsia="Times New Roman" w:cs="Times New Roman"/>
          <w:szCs w:val="24"/>
        </w:rPr>
        <w:t>For those who feel ill and think you might have COVID-19 or if you have tested positive for COVID-19, please stay home and follow the further guidance of the Public Health Office. For those who have been in close contact with someone who has COVID-19 but do not have any symptoms and have not tested positive for COVID-19, you do not need to stay home.</w:t>
      </w:r>
      <w:r>
        <w:rPr>
          <w:rFonts w:eastAsia="Times New Roman" w:cs="Times New Roman"/>
          <w:szCs w:val="24"/>
        </w:rPr>
        <w:t xml:space="preserve">  See </w:t>
      </w:r>
      <w:hyperlink r:id="rId61" w:history="1">
        <w:r w:rsidRPr="00CC0F13">
          <w:rPr>
            <w:rStyle w:val="Hyperlink"/>
            <w:rFonts w:eastAsia="Times New Roman" w:cs="Times New Roman"/>
            <w:szCs w:val="24"/>
          </w:rPr>
          <w:t>https://www.colorado.edu/healthcenter/coronavirus-updates/symptoms-and-what-do-if-you-feel-sick</w:t>
        </w:r>
      </w:hyperlink>
      <w:r>
        <w:rPr>
          <w:rFonts w:eastAsia="Times New Roman" w:cs="Times New Roman"/>
          <w:szCs w:val="24"/>
        </w:rPr>
        <w:t xml:space="preserve"> for further information about what to do.</w:t>
      </w:r>
    </w:p>
    <w:p w14:paraId="42897201" w14:textId="77777777" w:rsidR="00A90032" w:rsidRPr="00556251" w:rsidRDefault="00A90032" w:rsidP="00A90032">
      <w:pPr>
        <w:spacing w:line="240" w:lineRule="auto"/>
        <w:rPr>
          <w:rFonts w:eastAsia="Times New Roman" w:cs="Times New Roman"/>
          <w:szCs w:val="24"/>
        </w:rPr>
      </w:pPr>
    </w:p>
    <w:p w14:paraId="2DE769FB" w14:textId="77777777" w:rsidR="00A90032" w:rsidRDefault="00A90032" w:rsidP="00A90032">
      <w:pPr>
        <w:spacing w:line="240" w:lineRule="auto"/>
        <w:rPr>
          <w:rFonts w:eastAsia="Times New Roman" w:cs="Times New Roman"/>
          <w:i/>
          <w:iCs/>
          <w:szCs w:val="24"/>
        </w:rPr>
      </w:pPr>
      <w:r>
        <w:rPr>
          <w:rFonts w:eastAsia="Times New Roman" w:cs="Times New Roman"/>
          <w:i/>
          <w:iCs/>
          <w:szCs w:val="24"/>
        </w:rPr>
        <w:t>Accommodation for Disabilities</w:t>
      </w:r>
    </w:p>
    <w:p w14:paraId="21D97EF4" w14:textId="77777777" w:rsidR="00A90032" w:rsidRDefault="00A90032" w:rsidP="00A90032">
      <w:pPr>
        <w:spacing w:line="240" w:lineRule="auto"/>
        <w:rPr>
          <w:rFonts w:cs="Times New Roman"/>
          <w:shd w:val="clear" w:color="auto" w:fill="FFFFFF"/>
        </w:rPr>
      </w:pPr>
      <w:r w:rsidRPr="00BC2020">
        <w:rPr>
          <w:rFonts w:cs="Times New Roman"/>
          <w:shd w:val="clear" w:color="auto" w:fill="FFFFFF"/>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62" w:history="1">
        <w:r w:rsidRPr="00BC2020">
          <w:rPr>
            <w:rStyle w:val="Hyperlink"/>
            <w:rFonts w:cs="Times New Roman"/>
            <w:color w:val="0277BD"/>
            <w:bdr w:val="none" w:sz="0" w:space="0" w:color="auto" w:frame="1"/>
            <w:shd w:val="clear" w:color="auto" w:fill="FFFFFF"/>
          </w:rPr>
          <w:t>Disability Services website</w:t>
        </w:r>
      </w:hyperlink>
      <w:r w:rsidRPr="00BC2020">
        <w:rPr>
          <w:rFonts w:cs="Times New Roman"/>
          <w:shd w:val="clear" w:color="auto" w:fill="FFFFFF"/>
        </w:rPr>
        <w:t>. Contact Disability Services at 303-492-8671 or </w:t>
      </w:r>
      <w:hyperlink r:id="rId63" w:history="1">
        <w:r w:rsidRPr="00BC2020">
          <w:rPr>
            <w:rStyle w:val="Hyperlink"/>
            <w:rFonts w:eastAsia="Calibri" w:cs="Times New Roman"/>
            <w:bdr w:val="none" w:sz="0" w:space="0" w:color="auto" w:frame="1"/>
            <w:shd w:val="clear" w:color="auto" w:fill="FFFFFF"/>
          </w:rPr>
          <w:t>DSinfo@colorado.edu</w:t>
        </w:r>
      </w:hyperlink>
      <w:r w:rsidRPr="00BC2020">
        <w:rPr>
          <w:rFonts w:cs="Times New Roman"/>
          <w:shd w:val="clear" w:color="auto" w:fill="FFFFFF"/>
        </w:rPr>
        <w:t xml:space="preserve">  for further assistance.  </w:t>
      </w:r>
    </w:p>
    <w:p w14:paraId="2FE81608" w14:textId="77777777" w:rsidR="00A90032" w:rsidRPr="00BC2020" w:rsidRDefault="00A90032" w:rsidP="00A90032">
      <w:pPr>
        <w:spacing w:line="240" w:lineRule="auto"/>
        <w:rPr>
          <w:rFonts w:cs="Times New Roman"/>
          <w:shd w:val="clear" w:color="auto" w:fill="FFFFFF"/>
        </w:rPr>
      </w:pPr>
    </w:p>
    <w:p w14:paraId="75A1FE01" w14:textId="77777777" w:rsidR="00A90032" w:rsidRDefault="00A90032" w:rsidP="00A90032">
      <w:pPr>
        <w:spacing w:line="240" w:lineRule="auto"/>
        <w:rPr>
          <w:rFonts w:cs="Times New Roman"/>
          <w:shd w:val="clear" w:color="auto" w:fill="FFFFFF"/>
        </w:rPr>
      </w:pPr>
      <w:r w:rsidRPr="00BC2020">
        <w:rPr>
          <w:rFonts w:cs="Times New Roman"/>
          <w:shd w:val="clear" w:color="auto" w:fill="FFFFFF"/>
        </w:rPr>
        <w:t>If you have a temporary medical condition, see </w:t>
      </w:r>
      <w:hyperlink r:id="rId64" w:history="1">
        <w:r w:rsidRPr="00BC2020">
          <w:rPr>
            <w:rStyle w:val="Hyperlink"/>
            <w:rFonts w:cs="Times New Roman"/>
            <w:color w:val="0277BD"/>
            <w:bdr w:val="none" w:sz="0" w:space="0" w:color="auto" w:frame="1"/>
            <w:shd w:val="clear" w:color="auto" w:fill="FFFFFF"/>
          </w:rPr>
          <w:t>Temporary Medical Conditions</w:t>
        </w:r>
      </w:hyperlink>
      <w:r w:rsidRPr="00BC2020">
        <w:rPr>
          <w:rFonts w:cs="Times New Roman"/>
          <w:shd w:val="clear" w:color="auto" w:fill="FFFFFF"/>
        </w:rPr>
        <w:t> on the Disability Services website.</w:t>
      </w:r>
    </w:p>
    <w:p w14:paraId="629A690B" w14:textId="77777777" w:rsidR="00A90032" w:rsidRPr="00BC2020" w:rsidRDefault="00A90032" w:rsidP="00A90032">
      <w:pPr>
        <w:spacing w:line="240" w:lineRule="auto"/>
        <w:rPr>
          <w:rFonts w:cs="Times New Roman"/>
        </w:rPr>
      </w:pPr>
    </w:p>
    <w:p w14:paraId="58BCAE6D" w14:textId="77777777" w:rsidR="00A90032" w:rsidRPr="00BC2020" w:rsidRDefault="00A90032" w:rsidP="00A90032">
      <w:pPr>
        <w:spacing w:line="240" w:lineRule="auto"/>
        <w:rPr>
          <w:rFonts w:cs="Times New Roman"/>
        </w:rPr>
      </w:pPr>
      <w:r w:rsidRPr="00BC2020">
        <w:rPr>
          <w:rFonts w:cs="Times New Roman"/>
        </w:rPr>
        <w:t xml:space="preserve">If you have a temporary illness, injury or required medical isolation for which you require adjustment, </w:t>
      </w:r>
      <w:r w:rsidRPr="00BC2020">
        <w:rPr>
          <w:rFonts w:eastAsia="Times New Roman" w:cs="Times New Roman"/>
          <w:szCs w:val="24"/>
        </w:rPr>
        <w:t xml:space="preserve">please contact me and your TA when you are able so we can work out appropriate accommodations.  </w:t>
      </w:r>
    </w:p>
    <w:p w14:paraId="597C66DC" w14:textId="77777777" w:rsidR="00A90032" w:rsidRDefault="00A90032" w:rsidP="00A90032">
      <w:pPr>
        <w:spacing w:line="240" w:lineRule="auto"/>
        <w:rPr>
          <w:rFonts w:eastAsia="Times New Roman" w:cs="Times New Roman"/>
          <w:szCs w:val="24"/>
        </w:rPr>
      </w:pPr>
    </w:p>
    <w:p w14:paraId="1482E8E8" w14:textId="77777777" w:rsidR="00A90032" w:rsidRPr="00556251" w:rsidRDefault="00A90032" w:rsidP="00A90032">
      <w:pPr>
        <w:spacing w:line="240" w:lineRule="auto"/>
        <w:rPr>
          <w:rFonts w:eastAsia="Times New Roman" w:cs="Times New Roman"/>
          <w:i/>
          <w:iCs/>
          <w:szCs w:val="24"/>
        </w:rPr>
      </w:pPr>
      <w:r>
        <w:rPr>
          <w:rFonts w:eastAsia="Times New Roman" w:cs="Times New Roman"/>
          <w:i/>
          <w:iCs/>
          <w:szCs w:val="24"/>
        </w:rPr>
        <w:t>Preferred Names and Pronouns</w:t>
      </w:r>
    </w:p>
    <w:p w14:paraId="7D2DBDBB" w14:textId="77777777" w:rsidR="00A90032" w:rsidRDefault="00A90032" w:rsidP="00A90032">
      <w:pPr>
        <w:spacing w:line="240" w:lineRule="auto"/>
        <w:rPr>
          <w:rFonts w:eastAsia="Times New Roman" w:cs="Times New Roman"/>
          <w:szCs w:val="24"/>
        </w:rPr>
      </w:pPr>
      <w:r w:rsidRPr="00556251">
        <w:rPr>
          <w:rFonts w:eastAsia="Times New Roman" w:cs="Times New Roman"/>
          <w:szCs w:val="24"/>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5ED4AAA3" w14:textId="77777777" w:rsidR="00A90032" w:rsidRDefault="00A90032" w:rsidP="00A90032">
      <w:pPr>
        <w:spacing w:line="240" w:lineRule="auto"/>
        <w:rPr>
          <w:rFonts w:eastAsia="Times New Roman" w:cs="Times New Roman"/>
          <w:szCs w:val="24"/>
        </w:rPr>
      </w:pPr>
    </w:p>
    <w:p w14:paraId="1FA32B39" w14:textId="77777777" w:rsidR="00A90032" w:rsidRDefault="00A90032" w:rsidP="00A90032">
      <w:pPr>
        <w:spacing w:line="240" w:lineRule="auto"/>
        <w:rPr>
          <w:rFonts w:eastAsia="Times New Roman" w:cs="Times New Roman"/>
          <w:szCs w:val="24"/>
        </w:rPr>
      </w:pPr>
      <w:r>
        <w:rPr>
          <w:rFonts w:eastAsia="Times New Roman" w:cs="Times New Roman"/>
          <w:szCs w:val="24"/>
        </w:rPr>
        <w:t>If you would like me to use a name or pronoun other than that listed, please let me know and I will happily do so.</w:t>
      </w:r>
    </w:p>
    <w:p w14:paraId="51BDF4C9" w14:textId="77777777" w:rsidR="00A90032" w:rsidRPr="00556251" w:rsidRDefault="00A90032" w:rsidP="00A90032">
      <w:pPr>
        <w:spacing w:line="240" w:lineRule="auto"/>
        <w:rPr>
          <w:rFonts w:eastAsia="Times New Roman" w:cs="Times New Roman"/>
          <w:szCs w:val="24"/>
        </w:rPr>
      </w:pPr>
    </w:p>
    <w:p w14:paraId="7F649D01" w14:textId="77777777" w:rsidR="00A90032" w:rsidRPr="00556251" w:rsidRDefault="00A90032" w:rsidP="00A90032">
      <w:pPr>
        <w:spacing w:line="240" w:lineRule="auto"/>
        <w:rPr>
          <w:rFonts w:eastAsia="Times New Roman" w:cs="Times New Roman"/>
          <w:i/>
          <w:szCs w:val="24"/>
        </w:rPr>
      </w:pPr>
      <w:r>
        <w:rPr>
          <w:rFonts w:eastAsia="Times New Roman" w:cs="Times New Roman"/>
          <w:i/>
          <w:szCs w:val="24"/>
        </w:rPr>
        <w:t>Honor Code</w:t>
      </w:r>
    </w:p>
    <w:p w14:paraId="51E83556" w14:textId="77777777" w:rsidR="00A90032" w:rsidRPr="007B19B3" w:rsidRDefault="00A90032" w:rsidP="00A90032">
      <w:pPr>
        <w:spacing w:line="240" w:lineRule="auto"/>
        <w:rPr>
          <w:rFonts w:cs="Times New Roman"/>
        </w:rPr>
      </w:pPr>
      <w:r w:rsidRPr="007B19B3">
        <w:rPr>
          <w:rFonts w:eastAsia="Calibri" w:cs="Times New Roman"/>
        </w:rPr>
        <w:t>All students enrolled in a University of Colorado Boulder course are responsible for knowing and adhering to the</w:t>
      </w:r>
      <w:hyperlink r:id="rId65" w:history="1">
        <w:r w:rsidRPr="007B19B3">
          <w:rPr>
            <w:rStyle w:val="Hyperlink"/>
            <w:rFonts w:eastAsia="Calibri" w:cs="Times New Roman"/>
            <w:color w:val="auto"/>
            <w:u w:val="none"/>
          </w:rPr>
          <w:t xml:space="preserve"> </w:t>
        </w:r>
      </w:hyperlink>
      <w:hyperlink r:id="rId66" w:history="1">
        <w:r w:rsidRPr="007B19B3">
          <w:rPr>
            <w:rStyle w:val="Hyperlink"/>
            <w:rFonts w:eastAsia="Calibri" w:cs="Times New Roman"/>
            <w:color w:val="1155CC"/>
          </w:rPr>
          <w:t>Honor Code</w:t>
        </w:r>
      </w:hyperlink>
      <w:r w:rsidRPr="007B19B3">
        <w:rPr>
          <w:rFonts w:eastAsia="Calibri" w:cs="Times New Roman"/>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7B19B3">
        <w:rPr>
          <w:rFonts w:cs="Times New Roman"/>
        </w:rPr>
        <w:t>Understanding the course's syllabus is a vital part in adhering to the Honor Code.</w:t>
      </w:r>
    </w:p>
    <w:p w14:paraId="5452F563" w14:textId="77777777" w:rsidR="00A90032" w:rsidRPr="007B19B3" w:rsidRDefault="00A90032" w:rsidP="00A90032">
      <w:pPr>
        <w:spacing w:line="240" w:lineRule="auto"/>
        <w:rPr>
          <w:rFonts w:cs="Times New Roman"/>
        </w:rPr>
      </w:pPr>
    </w:p>
    <w:p w14:paraId="0D9CCC4E" w14:textId="77777777" w:rsidR="00A90032" w:rsidRPr="007B19B3" w:rsidRDefault="00A90032" w:rsidP="00A90032">
      <w:pPr>
        <w:spacing w:line="240" w:lineRule="auto"/>
        <w:rPr>
          <w:rFonts w:cs="Times New Roman"/>
        </w:rPr>
      </w:pPr>
      <w:r w:rsidRPr="007B19B3">
        <w:rPr>
          <w:rFonts w:eastAsia="Calibri" w:cs="Times New Roman"/>
        </w:rPr>
        <w:t xml:space="preserve">All incidents of academic misconduct will be reported to Student Conduct &amp; Conflict Resolution: </w:t>
      </w:r>
      <w:hyperlink r:id="rId67" w:history="1">
        <w:r w:rsidRPr="007B19B3">
          <w:rPr>
            <w:rStyle w:val="Hyperlink"/>
            <w:rFonts w:cs="Times New Roman"/>
          </w:rPr>
          <w:t>StudentConduct@colorado.edu</w:t>
        </w:r>
      </w:hyperlink>
      <w:r w:rsidRPr="007B19B3">
        <w:rPr>
          <w:rFonts w:eastAsia="Calibri" w:cs="Times New Roman"/>
        </w:rPr>
        <w:t>. Students found responsible for violating the</w:t>
      </w:r>
      <w:hyperlink r:id="rId68" w:history="1">
        <w:r w:rsidRPr="007B19B3">
          <w:rPr>
            <w:rStyle w:val="Hyperlink"/>
            <w:rFonts w:eastAsia="Calibri" w:cs="Times New Roman"/>
            <w:color w:val="auto"/>
            <w:u w:val="none"/>
          </w:rPr>
          <w:t xml:space="preserve"> </w:t>
        </w:r>
      </w:hyperlink>
      <w:hyperlink r:id="rId69" w:history="1">
        <w:r w:rsidRPr="007B19B3">
          <w:rPr>
            <w:rStyle w:val="Hyperlink"/>
            <w:rFonts w:eastAsia="Calibri" w:cs="Times New Roman"/>
            <w:color w:val="1155CC"/>
          </w:rPr>
          <w:t xml:space="preserve">Honor </w:t>
        </w:r>
        <w:r w:rsidRPr="007B19B3">
          <w:rPr>
            <w:rStyle w:val="Hyperlink"/>
            <w:rFonts w:eastAsia="Calibri" w:cs="Times New Roman"/>
            <w:color w:val="1155CC"/>
          </w:rPr>
          <w:lastRenderedPageBreak/>
          <w:t>Code</w:t>
        </w:r>
      </w:hyperlink>
      <w:r w:rsidRPr="007B19B3">
        <w:rPr>
          <w:rFonts w:eastAsia="Calibri" w:cs="Times New Roman"/>
        </w:rPr>
        <w:t xml:space="preserve"> will be assigned resolution outcomes from the Student Conduct &amp; Conflict Resolution as well as be subject to academic sanctions from the faculty member. Visit </w:t>
      </w:r>
      <w:hyperlink r:id="rId70" w:history="1">
        <w:r w:rsidRPr="007B19B3">
          <w:rPr>
            <w:rStyle w:val="Hyperlink"/>
            <w:rFonts w:eastAsia="Calibri" w:cs="Times New Roman"/>
          </w:rPr>
          <w:t>Honor Code</w:t>
        </w:r>
      </w:hyperlink>
      <w:r w:rsidRPr="007B19B3">
        <w:rPr>
          <w:rFonts w:eastAsia="Calibri" w:cs="Times New Roman"/>
        </w:rPr>
        <w:t xml:space="preserve"> for more information on the academic integrity policy. </w:t>
      </w:r>
    </w:p>
    <w:p w14:paraId="5356910B" w14:textId="77777777" w:rsidR="00A90032" w:rsidRDefault="00A90032" w:rsidP="00A90032">
      <w:pPr>
        <w:spacing w:line="240" w:lineRule="auto"/>
        <w:rPr>
          <w:rFonts w:eastAsia="Times New Roman" w:cs="Times New Roman"/>
          <w:szCs w:val="24"/>
        </w:rPr>
      </w:pPr>
    </w:p>
    <w:p w14:paraId="3B07427D" w14:textId="77777777" w:rsidR="00A90032" w:rsidRDefault="00A90032" w:rsidP="00A90032">
      <w:pPr>
        <w:spacing w:line="240" w:lineRule="auto"/>
        <w:rPr>
          <w:rFonts w:cs="Times New Roman"/>
          <w:szCs w:val="24"/>
        </w:rPr>
      </w:pPr>
      <w:r>
        <w:rPr>
          <w:rFonts w:cs="Times New Roman"/>
          <w:szCs w:val="24"/>
        </w:rPr>
        <w:t xml:space="preserve">My policy is that I will report all suspected violations to the honor code office.  If the honor code office finds that you did violate the honor code, you will receive a zero on the affected assignment.  Subsequent violations will result in automatically failing the course.  </w:t>
      </w:r>
    </w:p>
    <w:p w14:paraId="208E9A0B" w14:textId="77777777" w:rsidR="00A90032" w:rsidRDefault="00A90032" w:rsidP="00A90032">
      <w:pPr>
        <w:spacing w:line="240" w:lineRule="auto"/>
        <w:rPr>
          <w:rFonts w:cs="Times New Roman"/>
          <w:szCs w:val="24"/>
        </w:rPr>
      </w:pPr>
    </w:p>
    <w:p w14:paraId="54AA1409" w14:textId="1BCF86B2" w:rsidR="00A90032" w:rsidRPr="00A90032" w:rsidRDefault="00A90032" w:rsidP="00A90032">
      <w:pPr>
        <w:spacing w:line="240" w:lineRule="auto"/>
        <w:rPr>
          <w:rFonts w:cs="Times New Roman"/>
          <w:i/>
          <w:iCs/>
          <w:szCs w:val="24"/>
        </w:rPr>
      </w:pPr>
      <w:r>
        <w:rPr>
          <w:rFonts w:cs="Times New Roman"/>
          <w:i/>
          <w:iCs/>
          <w:szCs w:val="24"/>
        </w:rPr>
        <w:t>Use of AI or similar tools</w:t>
      </w:r>
    </w:p>
    <w:p w14:paraId="4DE0D661" w14:textId="67F39097" w:rsidR="00A90032" w:rsidRDefault="00A90032" w:rsidP="00A90032">
      <w:pPr>
        <w:spacing w:line="240" w:lineRule="auto"/>
        <w:rPr>
          <w:rFonts w:cs="Times New Roman"/>
          <w:szCs w:val="24"/>
        </w:rPr>
      </w:pPr>
      <w:r w:rsidRPr="009B3F78">
        <w:rPr>
          <w:rFonts w:cs="Times New Roman"/>
          <w:szCs w:val="24"/>
        </w:rPr>
        <w:t xml:space="preserve">Students are </w:t>
      </w:r>
      <w:r w:rsidRPr="009B3F78">
        <w:rPr>
          <w:rFonts w:cs="Times New Roman"/>
          <w:b/>
          <w:bCs/>
          <w:szCs w:val="24"/>
        </w:rPr>
        <w:t>not</w:t>
      </w:r>
      <w:r w:rsidRPr="009B3F78">
        <w:rPr>
          <w:rFonts w:cs="Times New Roman"/>
          <w:szCs w:val="24"/>
        </w:rPr>
        <w:t xml:space="preserve"> allowed to use advanced automated tools (artificial intelligence or machine learning tools such as ChatGPT or Dall-E 2) on any assignment for this course. Each student is expected to complete each assignment without assistance from </w:t>
      </w:r>
      <w:r w:rsidR="001640D4">
        <w:rPr>
          <w:rFonts w:cs="Times New Roman"/>
          <w:szCs w:val="24"/>
        </w:rPr>
        <w:t>“</w:t>
      </w:r>
      <w:r w:rsidRPr="009B3F78">
        <w:rPr>
          <w:rFonts w:cs="Times New Roman"/>
          <w:szCs w:val="24"/>
        </w:rPr>
        <w:t>AI</w:t>
      </w:r>
      <w:r w:rsidR="001640D4">
        <w:rPr>
          <w:rFonts w:cs="Times New Roman"/>
          <w:szCs w:val="24"/>
        </w:rPr>
        <w:t>”</w:t>
      </w:r>
      <w:r>
        <w:rPr>
          <w:rFonts w:cs="Times New Roman"/>
          <w:szCs w:val="24"/>
        </w:rPr>
        <w:t xml:space="preserve"> (spellcheck and grammar check is fine, but use with caution)</w:t>
      </w:r>
      <w:r w:rsidRPr="009B3F78">
        <w:rPr>
          <w:rFonts w:cs="Times New Roman"/>
          <w:szCs w:val="24"/>
        </w:rPr>
        <w:t xml:space="preserve">. Use of </w:t>
      </w:r>
      <w:r w:rsidR="001640D4">
        <w:rPr>
          <w:rFonts w:cs="Times New Roman"/>
          <w:szCs w:val="24"/>
        </w:rPr>
        <w:t>“</w:t>
      </w:r>
      <w:r w:rsidRPr="009B3F78">
        <w:rPr>
          <w:rFonts w:cs="Times New Roman"/>
          <w:szCs w:val="24"/>
        </w:rPr>
        <w:t>AI</w:t>
      </w:r>
      <w:r w:rsidR="001640D4">
        <w:rPr>
          <w:rFonts w:cs="Times New Roman"/>
          <w:szCs w:val="24"/>
        </w:rPr>
        <w:t>”</w:t>
      </w:r>
      <w:r w:rsidRPr="009B3F78">
        <w:rPr>
          <w:rFonts w:cs="Times New Roman"/>
          <w:szCs w:val="24"/>
        </w:rPr>
        <w:t xml:space="preserve"> will be treated as a form of academic dishonesty akin to plagiarism or cheating.</w:t>
      </w:r>
    </w:p>
    <w:p w14:paraId="59C2C71D" w14:textId="77777777" w:rsidR="00A90032" w:rsidRDefault="00A90032" w:rsidP="00A90032">
      <w:pPr>
        <w:spacing w:line="240" w:lineRule="auto"/>
        <w:rPr>
          <w:rFonts w:cs="Times New Roman"/>
          <w:szCs w:val="24"/>
        </w:rPr>
      </w:pPr>
    </w:p>
    <w:p w14:paraId="4C983641" w14:textId="2225A94A" w:rsidR="00A90032" w:rsidRDefault="00A90032" w:rsidP="00A90032">
      <w:pPr>
        <w:spacing w:line="240" w:lineRule="auto"/>
        <w:rPr>
          <w:rFonts w:cs="Times New Roman"/>
          <w:szCs w:val="24"/>
        </w:rPr>
      </w:pPr>
      <w:r>
        <w:rPr>
          <w:rFonts w:cs="Times New Roman"/>
          <w:szCs w:val="24"/>
        </w:rPr>
        <w:t xml:space="preserve">Current “AI” tools </w:t>
      </w:r>
      <w:proofErr w:type="gramStart"/>
      <w:r>
        <w:rPr>
          <w:rFonts w:cs="Times New Roman"/>
          <w:szCs w:val="24"/>
        </w:rPr>
        <w:t>violates</w:t>
      </w:r>
      <w:proofErr w:type="gramEnd"/>
      <w:r>
        <w:rPr>
          <w:rFonts w:cs="Times New Roman"/>
          <w:szCs w:val="24"/>
        </w:rPr>
        <w:t xml:space="preserve"> several critical academic norms.  The way “AI” works is it predicts the next word in a sentence, etc. based on its training data.  In other words, “AI” is trying to imitate the text in the training data, with some randomness.  Essentially, “AI” is inherently committing plagiarism.  It is not creating any new ideas, bus simply imitating the text in the training data.</w:t>
      </w:r>
    </w:p>
    <w:p w14:paraId="333EFDFC" w14:textId="77777777" w:rsidR="00A90032" w:rsidRDefault="00A90032" w:rsidP="00A90032">
      <w:pPr>
        <w:spacing w:line="240" w:lineRule="auto"/>
        <w:rPr>
          <w:rFonts w:cs="Times New Roman"/>
          <w:szCs w:val="24"/>
        </w:rPr>
      </w:pPr>
    </w:p>
    <w:p w14:paraId="2B17E329" w14:textId="77777777" w:rsidR="001640D4" w:rsidRDefault="00A90032" w:rsidP="00A90032">
      <w:pPr>
        <w:spacing w:line="240" w:lineRule="auto"/>
        <w:rPr>
          <w:rFonts w:cs="Times New Roman"/>
          <w:szCs w:val="24"/>
        </w:rPr>
      </w:pPr>
      <w:r>
        <w:rPr>
          <w:rFonts w:cs="Times New Roman"/>
          <w:szCs w:val="24"/>
        </w:rPr>
        <w:t xml:space="preserve">Second, because “AI” is simply imitating the text in the training data, it does not care if what it is saying is true.  “AI” simply produces text that sounds good.  </w:t>
      </w:r>
      <w:r w:rsidR="001640D4">
        <w:rPr>
          <w:rFonts w:cs="Times New Roman"/>
          <w:szCs w:val="24"/>
        </w:rPr>
        <w:t xml:space="preserve">Accordingly, some have called “AI” a “bullshit generator” (e.g. </w:t>
      </w:r>
      <w:hyperlink r:id="rId71" w:history="1">
        <w:r w:rsidR="001640D4" w:rsidRPr="000E03AE">
          <w:rPr>
            <w:rStyle w:val="Hyperlink"/>
            <w:rFonts w:cs="Times New Roman"/>
            <w:szCs w:val="24"/>
          </w:rPr>
          <w:t>https://www.transformingsociety.co.uk/2023/02/10/chatgpt-the-worlds-largest-bullshit-machine/</w:t>
        </w:r>
      </w:hyperlink>
      <w:r w:rsidR="001640D4">
        <w:rPr>
          <w:rFonts w:cs="Times New Roman"/>
          <w:szCs w:val="24"/>
        </w:rPr>
        <w:t xml:space="preserve">,  </w:t>
      </w:r>
      <w:hyperlink r:id="rId72" w:history="1">
        <w:r w:rsidR="001640D4" w:rsidRPr="000E03AE">
          <w:rPr>
            <w:rStyle w:val="Hyperlink"/>
            <w:rFonts w:cs="Times New Roman"/>
            <w:szCs w:val="24"/>
          </w:rPr>
          <w:t>https://www.scientificamerican.com/article/chatgpt-isnt-hallucinating-its-bullshitting/</w:t>
        </w:r>
      </w:hyperlink>
      <w:r w:rsidR="001640D4">
        <w:rPr>
          <w:rFonts w:cs="Times New Roman"/>
          <w:szCs w:val="24"/>
        </w:rPr>
        <w:t xml:space="preserve">).  Since in academia we are concerned with what is true, using a tool that is fundamentally not concerned about truth is fundamentally at odds with are trying to do.  </w:t>
      </w:r>
    </w:p>
    <w:p w14:paraId="13E86F57" w14:textId="77777777" w:rsidR="001640D4" w:rsidRDefault="001640D4" w:rsidP="00A90032">
      <w:pPr>
        <w:spacing w:line="240" w:lineRule="auto"/>
        <w:rPr>
          <w:rFonts w:cs="Times New Roman"/>
          <w:szCs w:val="24"/>
        </w:rPr>
      </w:pPr>
    </w:p>
    <w:p w14:paraId="41CFCD4F" w14:textId="07ED071F" w:rsidR="00A90032" w:rsidRPr="009B3F78" w:rsidRDefault="001640D4" w:rsidP="00A90032">
      <w:pPr>
        <w:spacing w:line="240" w:lineRule="auto"/>
        <w:rPr>
          <w:rFonts w:cs="Times New Roman"/>
          <w:szCs w:val="24"/>
        </w:rPr>
      </w:pPr>
      <w:r>
        <w:rPr>
          <w:rFonts w:cs="Times New Roman"/>
          <w:szCs w:val="24"/>
        </w:rPr>
        <w:t xml:space="preserve">Current AI detectors are not particularly reliable.  Therefore, I will be very cautious before accusing anyone of using AI.  However, because of the fundamental limitations of AI, I do not believe you will get a good grade even if you use it.  </w:t>
      </w:r>
    </w:p>
    <w:p w14:paraId="458D250C" w14:textId="77777777" w:rsidR="00A90032" w:rsidRDefault="00A90032" w:rsidP="00A90032">
      <w:pPr>
        <w:spacing w:line="240" w:lineRule="auto"/>
        <w:rPr>
          <w:rFonts w:eastAsia="Times New Roman" w:cs="Times New Roman"/>
          <w:szCs w:val="24"/>
        </w:rPr>
      </w:pPr>
    </w:p>
    <w:p w14:paraId="52D32715" w14:textId="77777777" w:rsidR="00A90032" w:rsidRPr="00556251" w:rsidRDefault="00A90032" w:rsidP="00A90032">
      <w:pPr>
        <w:spacing w:line="240" w:lineRule="auto"/>
        <w:rPr>
          <w:rFonts w:eastAsia="Times New Roman" w:cs="Times New Roman"/>
          <w:i/>
          <w:szCs w:val="24"/>
        </w:rPr>
      </w:pPr>
      <w:r>
        <w:rPr>
          <w:rFonts w:eastAsia="Times New Roman" w:cs="Times New Roman"/>
          <w:i/>
          <w:szCs w:val="24"/>
        </w:rPr>
        <w:t>Sexual Misconduct, Discrimination, Harassment, and/or Related Retaliation</w:t>
      </w:r>
    </w:p>
    <w:p w14:paraId="098F35C9" w14:textId="77777777" w:rsidR="00A90032" w:rsidRPr="007B19B3" w:rsidRDefault="00A90032" w:rsidP="00A90032">
      <w:pPr>
        <w:spacing w:line="240" w:lineRule="auto"/>
        <w:rPr>
          <w:rFonts w:cs="Times New Roman"/>
          <w:sz w:val="36"/>
          <w:szCs w:val="36"/>
        </w:rPr>
      </w:pPr>
      <w:r w:rsidRPr="007B19B3">
        <w:rPr>
          <w:rFonts w:cs="Times New Roman"/>
          <w:highlight w:val="white"/>
        </w:rPr>
        <w:t xml:space="preserve">CU Boulder is committed to fostering an inclusive and welcoming learning, working, and living environment. University policy prohibits </w:t>
      </w:r>
      <w:hyperlink r:id="rId73" w:history="1">
        <w:r w:rsidRPr="007B19B3">
          <w:rPr>
            <w:rStyle w:val="Hyperlink"/>
            <w:rFonts w:cs="Times New Roman"/>
            <w:highlight w:val="white"/>
          </w:rPr>
          <w:t>protected-class</w:t>
        </w:r>
      </w:hyperlink>
      <w:r w:rsidRPr="007B19B3">
        <w:rPr>
          <w:rFonts w:cs="Times New Roman"/>
          <w:highlight w:val="white"/>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74" w:history="1">
        <w:r w:rsidRPr="007B19B3">
          <w:rPr>
            <w:rStyle w:val="Hyperlink"/>
            <w:rFonts w:eastAsia="Calibri" w:cs="Times New Roman"/>
            <w:highlight w:val="white"/>
          </w:rPr>
          <w:t>CUreport@colorado.edu</w:t>
        </w:r>
      </w:hyperlink>
      <w:r w:rsidRPr="007B19B3">
        <w:rPr>
          <w:rFonts w:cs="Times New Roman"/>
          <w:highlight w:val="white"/>
        </w:rPr>
        <w:t xml:space="preserve">. Information about university policies, </w:t>
      </w:r>
      <w:hyperlink r:id="rId75" w:history="1">
        <w:r w:rsidRPr="007B19B3">
          <w:rPr>
            <w:rStyle w:val="Hyperlink"/>
            <w:rFonts w:cs="Times New Roman"/>
            <w:color w:val="1155CC"/>
            <w:highlight w:val="white"/>
          </w:rPr>
          <w:t>reporting options</w:t>
        </w:r>
      </w:hyperlink>
      <w:r w:rsidRPr="007B19B3">
        <w:rPr>
          <w:rFonts w:cs="Times New Roman"/>
          <w:highlight w:val="white"/>
        </w:rPr>
        <w:t xml:space="preserve">, and </w:t>
      </w:r>
      <w:hyperlink r:id="rId76" w:history="1">
        <w:r w:rsidRPr="007B19B3">
          <w:rPr>
            <w:rStyle w:val="Hyperlink"/>
            <w:rFonts w:cs="Times New Roman"/>
            <w:highlight w:val="white"/>
          </w:rPr>
          <w:t>support resources</w:t>
        </w:r>
      </w:hyperlink>
      <w:r w:rsidRPr="007B19B3">
        <w:rPr>
          <w:rFonts w:cs="Times New Roman"/>
          <w:highlight w:val="white"/>
        </w:rPr>
        <w:t xml:space="preserve"> including confidential services can be found on the </w:t>
      </w:r>
      <w:hyperlink r:id="rId77" w:history="1">
        <w:r w:rsidRPr="007B19B3">
          <w:rPr>
            <w:rStyle w:val="Hyperlink"/>
            <w:rFonts w:cs="Times New Roman"/>
            <w:color w:val="1155CC"/>
            <w:highlight w:val="white"/>
          </w:rPr>
          <w:t>OIEC website</w:t>
        </w:r>
      </w:hyperlink>
      <w:r w:rsidRPr="007B19B3">
        <w:rPr>
          <w:rFonts w:cs="Times New Roman"/>
          <w:highlight w:val="white"/>
        </w:rPr>
        <w:t>.</w:t>
      </w:r>
    </w:p>
    <w:p w14:paraId="560F1BBD" w14:textId="77777777" w:rsidR="00A90032" w:rsidRPr="007B19B3" w:rsidRDefault="00A90032" w:rsidP="00A90032">
      <w:pPr>
        <w:spacing w:line="240" w:lineRule="auto"/>
        <w:rPr>
          <w:rFonts w:cs="Times New Roman"/>
          <w:sz w:val="36"/>
          <w:szCs w:val="36"/>
        </w:rPr>
      </w:pPr>
      <w:r w:rsidRPr="007B19B3">
        <w:rPr>
          <w:rFonts w:cs="Times New Roman"/>
          <w:highlight w:val="white"/>
        </w:rPr>
        <w:t xml:space="preserve">Please know that faculty and graduate instructors must inform OIEC when they are made aware of incidents related to these policies regardless of when or where something occurred. This is to ensure that individuals impacted receive outreach from OIEC about resolution options and </w:t>
      </w:r>
      <w:r w:rsidRPr="007B19B3">
        <w:rPr>
          <w:rFonts w:cs="Times New Roman"/>
          <w:highlight w:val="white"/>
        </w:rPr>
        <w:lastRenderedPageBreak/>
        <w:t>support resources. To learn more about reporting and support for a variety of concerns, visit</w:t>
      </w:r>
      <w:r w:rsidRPr="007B19B3">
        <w:rPr>
          <w:rFonts w:cs="Times New Roman"/>
        </w:rPr>
        <w:t xml:space="preserve"> the</w:t>
      </w:r>
      <w:hyperlink r:id="rId78" w:history="1">
        <w:r w:rsidRPr="007B19B3">
          <w:rPr>
            <w:rStyle w:val="Hyperlink"/>
            <w:rFonts w:cs="Times New Roman"/>
          </w:rPr>
          <w:t xml:space="preserve"> </w:t>
        </w:r>
      </w:hyperlink>
      <w:hyperlink r:id="rId79" w:history="1">
        <w:r w:rsidRPr="007B19B3">
          <w:rPr>
            <w:rStyle w:val="Hyperlink"/>
            <w:rFonts w:cs="Times New Roman"/>
            <w:color w:val="1155CC"/>
          </w:rPr>
          <w:t>Don’t Ignore It</w:t>
        </w:r>
      </w:hyperlink>
      <w:r w:rsidRPr="007B19B3">
        <w:rPr>
          <w:rFonts w:cs="Times New Roman"/>
          <w:color w:val="1155CC"/>
          <w:u w:val="single"/>
        </w:rPr>
        <w:t xml:space="preserve"> page</w:t>
      </w:r>
      <w:r w:rsidRPr="007B19B3">
        <w:rPr>
          <w:rFonts w:cs="Times New Roman"/>
        </w:rPr>
        <w:t>.</w:t>
      </w:r>
    </w:p>
    <w:p w14:paraId="1CA7F296" w14:textId="77777777" w:rsidR="00A90032" w:rsidRPr="007B19B3" w:rsidRDefault="00A90032" w:rsidP="00A90032">
      <w:pPr>
        <w:spacing w:line="240" w:lineRule="auto"/>
        <w:rPr>
          <w:rFonts w:eastAsia="Times New Roman" w:cs="Times New Roman"/>
          <w:szCs w:val="24"/>
        </w:rPr>
      </w:pPr>
    </w:p>
    <w:p w14:paraId="72121E8F" w14:textId="77777777" w:rsidR="00A90032" w:rsidRPr="007B19B3" w:rsidRDefault="00A90032" w:rsidP="00A90032">
      <w:pPr>
        <w:spacing w:line="240" w:lineRule="auto"/>
        <w:rPr>
          <w:rFonts w:eastAsia="Times New Roman" w:cs="Times New Roman"/>
          <w:i/>
          <w:iCs/>
          <w:szCs w:val="24"/>
        </w:rPr>
      </w:pPr>
      <w:r w:rsidRPr="007B19B3">
        <w:rPr>
          <w:rFonts w:eastAsia="Times New Roman" w:cs="Times New Roman"/>
          <w:i/>
          <w:iCs/>
          <w:szCs w:val="24"/>
        </w:rPr>
        <w:t>Religious Holidays</w:t>
      </w:r>
    </w:p>
    <w:p w14:paraId="3C2B4B63" w14:textId="77777777" w:rsidR="00A90032" w:rsidRPr="007B19B3" w:rsidRDefault="00A90032" w:rsidP="00A90032">
      <w:pPr>
        <w:spacing w:after="200" w:line="240" w:lineRule="auto"/>
        <w:rPr>
          <w:rFonts w:eastAsia="Calibri" w:cs="Times New Roman"/>
          <w:b/>
        </w:rPr>
      </w:pPr>
      <w:r w:rsidRPr="007B19B3">
        <w:rPr>
          <w:rFonts w:eastAsia="Calibri" w:cs="Times New Roman"/>
          <w:highlight w:val="white"/>
        </w:rPr>
        <w:t xml:space="preserve">Campus policy requires faculty to provide reasonable accommodations for students who, because of religious obligations, have conflicts with scheduled exams, assignments or required attendance. </w:t>
      </w:r>
      <w:r w:rsidRPr="007B19B3">
        <w:rPr>
          <w:rFonts w:eastAsia="Calibri" w:cs="Times New Roman"/>
        </w:rPr>
        <w:t xml:space="preserve">Please communicate the need for a religious accommodation in a timely manner. In this class, </w:t>
      </w:r>
      <w:r w:rsidRPr="007B19B3">
        <w:rPr>
          <w:rFonts w:cs="Times New Roman"/>
          <w:bCs/>
          <w:szCs w:val="24"/>
        </w:rPr>
        <w:t xml:space="preserve">if religious observances affect any graded assignment, let us know and we will work out alternate arrangements.  </w:t>
      </w:r>
    </w:p>
    <w:p w14:paraId="63F7DD1E" w14:textId="77777777" w:rsidR="00A90032" w:rsidRPr="007B19B3" w:rsidRDefault="00A90032" w:rsidP="00A90032">
      <w:pPr>
        <w:spacing w:after="360" w:line="240" w:lineRule="auto"/>
        <w:rPr>
          <w:rFonts w:eastAsia="Calibri" w:cs="Times New Roman"/>
        </w:rPr>
      </w:pPr>
      <w:r w:rsidRPr="007B19B3">
        <w:rPr>
          <w:rFonts w:eastAsia="Calibri" w:cs="Times New Roman"/>
        </w:rPr>
        <w:t xml:space="preserve">See the </w:t>
      </w:r>
      <w:hyperlink r:id="rId80" w:history="1">
        <w:r w:rsidRPr="007B19B3">
          <w:rPr>
            <w:rStyle w:val="Hyperlink"/>
            <w:rFonts w:eastAsia="Calibri" w:cs="Times New Roman"/>
            <w:color w:val="0563C1"/>
          </w:rPr>
          <w:t>campus policy regarding religious observances</w:t>
        </w:r>
      </w:hyperlink>
      <w:r w:rsidRPr="007B19B3">
        <w:rPr>
          <w:rFonts w:eastAsia="Calibri" w:cs="Times New Roman"/>
        </w:rPr>
        <w:t xml:space="preserve"> for full details.</w:t>
      </w:r>
    </w:p>
    <w:p w14:paraId="36EAC508" w14:textId="77777777" w:rsidR="00A90032" w:rsidRPr="007B19B3" w:rsidRDefault="00A90032" w:rsidP="00A90032">
      <w:pPr>
        <w:spacing w:line="240" w:lineRule="auto"/>
        <w:rPr>
          <w:rFonts w:cs="Times New Roman"/>
          <w:szCs w:val="24"/>
        </w:rPr>
      </w:pPr>
    </w:p>
    <w:p w14:paraId="6795846B" w14:textId="77777777" w:rsidR="00A90032" w:rsidRPr="007B19B3" w:rsidRDefault="00A90032" w:rsidP="00A90032">
      <w:pPr>
        <w:spacing w:line="240" w:lineRule="auto"/>
        <w:rPr>
          <w:rFonts w:cs="Times New Roman"/>
          <w:i/>
          <w:iCs/>
          <w:szCs w:val="24"/>
        </w:rPr>
      </w:pPr>
      <w:r w:rsidRPr="007B19B3">
        <w:rPr>
          <w:rFonts w:cs="Times New Roman"/>
          <w:i/>
          <w:iCs/>
          <w:szCs w:val="24"/>
        </w:rPr>
        <w:t>Mental Health and Wellness</w:t>
      </w:r>
    </w:p>
    <w:p w14:paraId="6E05E5C5" w14:textId="77777777" w:rsidR="00A90032" w:rsidRPr="007B19B3" w:rsidRDefault="00A90032" w:rsidP="00A90032">
      <w:pPr>
        <w:spacing w:after="200" w:line="240" w:lineRule="auto"/>
        <w:rPr>
          <w:rFonts w:eastAsia="Calibri" w:cs="Times New Roman"/>
        </w:rPr>
      </w:pPr>
      <w:r w:rsidRPr="007B19B3">
        <w:rPr>
          <w:rFonts w:eastAsia="Calibri" w:cs="Times New Roman"/>
        </w:rPr>
        <w:t>The University of Colorado Boulder is committed to the well-being of all students. If you are struggling with personal stressors, mental health or substance use concerns that are impacting academic or daily life, please contact </w:t>
      </w:r>
      <w:hyperlink r:id="rId81" w:tgtFrame="_blank" w:tooltip="https://www.colorado.edu/counseling/" w:history="1">
        <w:r w:rsidRPr="007B19B3">
          <w:rPr>
            <w:rStyle w:val="Hyperlink"/>
            <w:rFonts w:eastAsia="Calibri" w:cs="Times New Roman"/>
          </w:rPr>
          <w:t>Counseling and Psychiatric Services (CAPS)</w:t>
        </w:r>
      </w:hyperlink>
      <w:r w:rsidRPr="007B19B3">
        <w:rPr>
          <w:rFonts w:eastAsia="Calibri" w:cs="Times New Roman"/>
        </w:rPr>
        <w:t xml:space="preserve"> located in C4C or call (303) 492-2277, 24/7. </w:t>
      </w:r>
      <w:r w:rsidRPr="007B19B3">
        <w:rPr>
          <w:rFonts w:eastAsia="Calibri" w:cs="Times New Roman"/>
        </w:rPr>
        <w:br/>
      </w:r>
      <w:r w:rsidRPr="007B19B3">
        <w:rPr>
          <w:rFonts w:eastAsia="Calibri" w:cs="Times New Roman"/>
        </w:rPr>
        <w:br/>
        <w:t>Free and unlimited telehealth is also available through </w:t>
      </w:r>
      <w:hyperlink r:id="rId82" w:tgtFrame="_blank" w:tooltip="https://www.colorado.edu/health/academiclivecare" w:history="1">
        <w:r w:rsidRPr="007B19B3">
          <w:rPr>
            <w:rStyle w:val="Hyperlink"/>
            <w:rFonts w:eastAsia="Calibri" w:cs="Times New Roman"/>
          </w:rPr>
          <w:t>Academic Live Care</w:t>
        </w:r>
      </w:hyperlink>
      <w:r w:rsidRPr="007B19B3">
        <w:rPr>
          <w:rFonts w:eastAsia="Calibri" w:cs="Times New Roman"/>
        </w:rPr>
        <w:t>. The </w:t>
      </w:r>
      <w:hyperlink r:id="rId83" w:tgtFrame="_blank" w:tooltip="https://www.colorado.edu/health/academiclivecare" w:history="1">
        <w:r w:rsidRPr="007B19B3">
          <w:rPr>
            <w:rStyle w:val="Hyperlink"/>
            <w:rFonts w:eastAsia="Calibri" w:cs="Times New Roman"/>
            <w:color w:val="auto"/>
            <w:u w:val="none"/>
          </w:rPr>
          <w:t>Academic Live Care</w:t>
        </w:r>
      </w:hyperlink>
      <w:r w:rsidRPr="007B19B3">
        <w:rPr>
          <w:rFonts w:eastAsia="Calibri" w:cs="Times New Roman"/>
        </w:rPr>
        <w:t xml:space="preserve"> site also provides information about additional wellness services on campus that are available to students.</w:t>
      </w:r>
    </w:p>
    <w:p w14:paraId="1BA7CE7D" w14:textId="77777777" w:rsidR="005C1DC2" w:rsidRDefault="005C1DC2" w:rsidP="005C1DC2">
      <w:pPr>
        <w:spacing w:line="240" w:lineRule="auto"/>
      </w:pPr>
    </w:p>
    <w:p w14:paraId="0FA94A82" w14:textId="77777777" w:rsidR="005C1DC2" w:rsidRPr="00134366" w:rsidRDefault="005C1DC2" w:rsidP="005C1DC2">
      <w:pPr>
        <w:spacing w:line="240" w:lineRule="auto"/>
        <w:rPr>
          <w:b/>
          <w:bCs/>
        </w:rPr>
      </w:pPr>
    </w:p>
    <w:p w14:paraId="0ABD138F" w14:textId="77777777" w:rsidR="005C1DC2" w:rsidRDefault="005C1DC2" w:rsidP="00AB14ED">
      <w:pPr>
        <w:tabs>
          <w:tab w:val="left" w:pos="4189"/>
        </w:tabs>
        <w:spacing w:line="240" w:lineRule="auto"/>
      </w:pPr>
    </w:p>
    <w:sectPr w:rsidR="005C1DC2">
      <w:head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71E28" w14:textId="77777777" w:rsidR="007152E1" w:rsidRDefault="007152E1" w:rsidP="00B57D20">
      <w:pPr>
        <w:spacing w:line="240" w:lineRule="auto"/>
      </w:pPr>
      <w:r>
        <w:separator/>
      </w:r>
    </w:p>
  </w:endnote>
  <w:endnote w:type="continuationSeparator" w:id="0">
    <w:p w14:paraId="0A918F7A" w14:textId="77777777" w:rsidR="007152E1" w:rsidRDefault="007152E1" w:rsidP="00B5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F8F45" w14:textId="77777777" w:rsidR="007152E1" w:rsidRDefault="007152E1" w:rsidP="00B57D20">
      <w:pPr>
        <w:spacing w:line="240" w:lineRule="auto"/>
      </w:pPr>
      <w:r>
        <w:separator/>
      </w:r>
    </w:p>
  </w:footnote>
  <w:footnote w:type="continuationSeparator" w:id="0">
    <w:p w14:paraId="238E192B" w14:textId="77777777" w:rsidR="007152E1" w:rsidRDefault="007152E1" w:rsidP="00B57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C41C" w14:textId="77777777" w:rsidR="00B57D20" w:rsidRDefault="00B57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65706"/>
    <w:multiLevelType w:val="hybridMultilevel"/>
    <w:tmpl w:val="B91A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06B82"/>
    <w:multiLevelType w:val="hybridMultilevel"/>
    <w:tmpl w:val="625C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D2CC8"/>
    <w:multiLevelType w:val="hybridMultilevel"/>
    <w:tmpl w:val="689CB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619BE"/>
    <w:multiLevelType w:val="hybridMultilevel"/>
    <w:tmpl w:val="69D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06459"/>
    <w:multiLevelType w:val="hybridMultilevel"/>
    <w:tmpl w:val="D956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F2F30"/>
    <w:multiLevelType w:val="hybridMultilevel"/>
    <w:tmpl w:val="279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F3E53"/>
    <w:multiLevelType w:val="hybridMultilevel"/>
    <w:tmpl w:val="6110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02FE9"/>
    <w:multiLevelType w:val="hybridMultilevel"/>
    <w:tmpl w:val="6366D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F7CC9"/>
    <w:multiLevelType w:val="hybridMultilevel"/>
    <w:tmpl w:val="E656F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947847">
    <w:abstractNumId w:val="3"/>
  </w:num>
  <w:num w:numId="2" w16cid:durableId="1325432443">
    <w:abstractNumId w:val="0"/>
  </w:num>
  <w:num w:numId="3" w16cid:durableId="1151870195">
    <w:abstractNumId w:val="2"/>
  </w:num>
  <w:num w:numId="4" w16cid:durableId="1995332316">
    <w:abstractNumId w:val="5"/>
  </w:num>
  <w:num w:numId="5" w16cid:durableId="449664333">
    <w:abstractNumId w:val="1"/>
  </w:num>
  <w:num w:numId="6" w16cid:durableId="1137333804">
    <w:abstractNumId w:val="4"/>
  </w:num>
  <w:num w:numId="7" w16cid:durableId="950939255">
    <w:abstractNumId w:val="8"/>
  </w:num>
  <w:num w:numId="8" w16cid:durableId="210002872">
    <w:abstractNumId w:val="7"/>
  </w:num>
  <w:num w:numId="9" w16cid:durableId="789857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65"/>
    <w:rsid w:val="00016E38"/>
    <w:rsid w:val="000213D2"/>
    <w:rsid w:val="00030B03"/>
    <w:rsid w:val="000442E8"/>
    <w:rsid w:val="00077E65"/>
    <w:rsid w:val="00083DA3"/>
    <w:rsid w:val="00092289"/>
    <w:rsid w:val="000943F6"/>
    <w:rsid w:val="000D5678"/>
    <w:rsid w:val="000E693E"/>
    <w:rsid w:val="000E77F0"/>
    <w:rsid w:val="00100457"/>
    <w:rsid w:val="00114271"/>
    <w:rsid w:val="00134934"/>
    <w:rsid w:val="00156620"/>
    <w:rsid w:val="0016266C"/>
    <w:rsid w:val="001640D4"/>
    <w:rsid w:val="00173021"/>
    <w:rsid w:val="00173362"/>
    <w:rsid w:val="00175723"/>
    <w:rsid w:val="00187025"/>
    <w:rsid w:val="001A2506"/>
    <w:rsid w:val="001B0373"/>
    <w:rsid w:val="001B53B4"/>
    <w:rsid w:val="00217B3E"/>
    <w:rsid w:val="00241865"/>
    <w:rsid w:val="00255162"/>
    <w:rsid w:val="002708D6"/>
    <w:rsid w:val="00270D62"/>
    <w:rsid w:val="00277104"/>
    <w:rsid w:val="0028393E"/>
    <w:rsid w:val="002C4960"/>
    <w:rsid w:val="002D7F5E"/>
    <w:rsid w:val="00300AEA"/>
    <w:rsid w:val="00336B61"/>
    <w:rsid w:val="003776C4"/>
    <w:rsid w:val="003A685D"/>
    <w:rsid w:val="003A7605"/>
    <w:rsid w:val="003B79CB"/>
    <w:rsid w:val="003C0722"/>
    <w:rsid w:val="003D155A"/>
    <w:rsid w:val="004109C5"/>
    <w:rsid w:val="00412463"/>
    <w:rsid w:val="0041579A"/>
    <w:rsid w:val="004164B5"/>
    <w:rsid w:val="00420A58"/>
    <w:rsid w:val="004241FF"/>
    <w:rsid w:val="00427A70"/>
    <w:rsid w:val="00436B9C"/>
    <w:rsid w:val="00441B8E"/>
    <w:rsid w:val="004563BD"/>
    <w:rsid w:val="00465D05"/>
    <w:rsid w:val="004706A8"/>
    <w:rsid w:val="004A0132"/>
    <w:rsid w:val="004E4548"/>
    <w:rsid w:val="00520F8E"/>
    <w:rsid w:val="00525466"/>
    <w:rsid w:val="0054417D"/>
    <w:rsid w:val="00566A14"/>
    <w:rsid w:val="00566E89"/>
    <w:rsid w:val="005950A7"/>
    <w:rsid w:val="005A5231"/>
    <w:rsid w:val="005B403B"/>
    <w:rsid w:val="005C1DC2"/>
    <w:rsid w:val="005C4760"/>
    <w:rsid w:val="005D55F1"/>
    <w:rsid w:val="005D7C74"/>
    <w:rsid w:val="00642F6F"/>
    <w:rsid w:val="00665F46"/>
    <w:rsid w:val="00670528"/>
    <w:rsid w:val="006710FF"/>
    <w:rsid w:val="006732FE"/>
    <w:rsid w:val="0069643E"/>
    <w:rsid w:val="006B25A1"/>
    <w:rsid w:val="006B79ED"/>
    <w:rsid w:val="006E3726"/>
    <w:rsid w:val="006E383A"/>
    <w:rsid w:val="006F3873"/>
    <w:rsid w:val="006F4600"/>
    <w:rsid w:val="007152E1"/>
    <w:rsid w:val="00762E47"/>
    <w:rsid w:val="007702E4"/>
    <w:rsid w:val="00773420"/>
    <w:rsid w:val="00794652"/>
    <w:rsid w:val="007A5870"/>
    <w:rsid w:val="007D7483"/>
    <w:rsid w:val="007E2052"/>
    <w:rsid w:val="008017F2"/>
    <w:rsid w:val="008228EA"/>
    <w:rsid w:val="00823BE3"/>
    <w:rsid w:val="00846701"/>
    <w:rsid w:val="00893A0E"/>
    <w:rsid w:val="008C7365"/>
    <w:rsid w:val="008C7F46"/>
    <w:rsid w:val="008E1500"/>
    <w:rsid w:val="008E767C"/>
    <w:rsid w:val="00917880"/>
    <w:rsid w:val="00922C49"/>
    <w:rsid w:val="0093004A"/>
    <w:rsid w:val="0093440A"/>
    <w:rsid w:val="00942755"/>
    <w:rsid w:val="0094511E"/>
    <w:rsid w:val="00945428"/>
    <w:rsid w:val="0096041B"/>
    <w:rsid w:val="00982F65"/>
    <w:rsid w:val="009B5629"/>
    <w:rsid w:val="009D20D5"/>
    <w:rsid w:val="009D3CA7"/>
    <w:rsid w:val="009E6819"/>
    <w:rsid w:val="009F2704"/>
    <w:rsid w:val="00A17C7C"/>
    <w:rsid w:val="00A44758"/>
    <w:rsid w:val="00A75CEB"/>
    <w:rsid w:val="00A802AB"/>
    <w:rsid w:val="00A84D24"/>
    <w:rsid w:val="00A90032"/>
    <w:rsid w:val="00AB14ED"/>
    <w:rsid w:val="00AB5E88"/>
    <w:rsid w:val="00AB7E26"/>
    <w:rsid w:val="00AD323A"/>
    <w:rsid w:val="00B07029"/>
    <w:rsid w:val="00B12BE6"/>
    <w:rsid w:val="00B53C62"/>
    <w:rsid w:val="00B57D20"/>
    <w:rsid w:val="00B641BB"/>
    <w:rsid w:val="00B64462"/>
    <w:rsid w:val="00B7080A"/>
    <w:rsid w:val="00BE6FD3"/>
    <w:rsid w:val="00C0368F"/>
    <w:rsid w:val="00C760FD"/>
    <w:rsid w:val="00CC062F"/>
    <w:rsid w:val="00CE5AAB"/>
    <w:rsid w:val="00CF19D1"/>
    <w:rsid w:val="00D01781"/>
    <w:rsid w:val="00D11BBF"/>
    <w:rsid w:val="00D9535B"/>
    <w:rsid w:val="00DC0752"/>
    <w:rsid w:val="00DD1F87"/>
    <w:rsid w:val="00E072EF"/>
    <w:rsid w:val="00E21577"/>
    <w:rsid w:val="00E74389"/>
    <w:rsid w:val="00E85A62"/>
    <w:rsid w:val="00EA186E"/>
    <w:rsid w:val="00EC13A9"/>
    <w:rsid w:val="00EF323F"/>
    <w:rsid w:val="00EF469D"/>
    <w:rsid w:val="00F006FD"/>
    <w:rsid w:val="00F15C2C"/>
    <w:rsid w:val="00F229F1"/>
    <w:rsid w:val="00F27412"/>
    <w:rsid w:val="00F354B1"/>
    <w:rsid w:val="00F433AF"/>
    <w:rsid w:val="00F475FE"/>
    <w:rsid w:val="00F6489E"/>
    <w:rsid w:val="00FE626D"/>
    <w:rsid w:val="00FE66DE"/>
    <w:rsid w:val="00FF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2A23"/>
  <w15:docId w15:val="{A8E60505-9906-4A07-A28E-32990A48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F65"/>
    <w:pPr>
      <w:spacing w:after="0" w:line="48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F65"/>
    <w:rPr>
      <w:color w:val="0563C1" w:themeColor="hyperlink"/>
      <w:u w:val="single"/>
    </w:rPr>
  </w:style>
  <w:style w:type="paragraph" w:styleId="ListParagraph">
    <w:name w:val="List Paragraph"/>
    <w:basedOn w:val="Normal"/>
    <w:uiPriority w:val="34"/>
    <w:qFormat/>
    <w:rsid w:val="00982F65"/>
    <w:pPr>
      <w:ind w:left="720"/>
      <w:contextualSpacing/>
    </w:pPr>
  </w:style>
  <w:style w:type="character" w:styleId="UnresolvedMention">
    <w:name w:val="Unresolved Mention"/>
    <w:basedOn w:val="DefaultParagraphFont"/>
    <w:uiPriority w:val="99"/>
    <w:semiHidden/>
    <w:unhideWhenUsed/>
    <w:rsid w:val="00300AEA"/>
    <w:rPr>
      <w:color w:val="605E5C"/>
      <w:shd w:val="clear" w:color="auto" w:fill="E1DFDD"/>
    </w:rPr>
  </w:style>
  <w:style w:type="paragraph" w:styleId="Header">
    <w:name w:val="header"/>
    <w:basedOn w:val="Normal"/>
    <w:link w:val="HeaderChar"/>
    <w:uiPriority w:val="99"/>
    <w:unhideWhenUsed/>
    <w:rsid w:val="00B57D20"/>
    <w:pPr>
      <w:tabs>
        <w:tab w:val="center" w:pos="4680"/>
        <w:tab w:val="right" w:pos="9360"/>
      </w:tabs>
      <w:spacing w:line="240" w:lineRule="auto"/>
    </w:pPr>
  </w:style>
  <w:style w:type="character" w:customStyle="1" w:styleId="HeaderChar">
    <w:name w:val="Header Char"/>
    <w:basedOn w:val="DefaultParagraphFont"/>
    <w:link w:val="Header"/>
    <w:uiPriority w:val="99"/>
    <w:rsid w:val="00B57D20"/>
    <w:rPr>
      <w:rFonts w:ascii="Times New Roman" w:hAnsi="Times New Roman"/>
      <w:kern w:val="0"/>
      <w:sz w:val="24"/>
      <w14:ligatures w14:val="none"/>
    </w:rPr>
  </w:style>
  <w:style w:type="paragraph" w:styleId="Footer">
    <w:name w:val="footer"/>
    <w:basedOn w:val="Normal"/>
    <w:link w:val="FooterChar"/>
    <w:uiPriority w:val="99"/>
    <w:unhideWhenUsed/>
    <w:rsid w:val="00B57D20"/>
    <w:pPr>
      <w:tabs>
        <w:tab w:val="center" w:pos="4680"/>
        <w:tab w:val="right" w:pos="9360"/>
      </w:tabs>
      <w:spacing w:line="240" w:lineRule="auto"/>
    </w:pPr>
  </w:style>
  <w:style w:type="character" w:customStyle="1" w:styleId="FooterChar">
    <w:name w:val="Footer Char"/>
    <w:basedOn w:val="DefaultParagraphFont"/>
    <w:link w:val="Footer"/>
    <w:uiPriority w:val="99"/>
    <w:rsid w:val="00B57D20"/>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42716">
      <w:bodyDiv w:val="1"/>
      <w:marLeft w:val="0"/>
      <w:marRight w:val="0"/>
      <w:marTop w:val="0"/>
      <w:marBottom w:val="0"/>
      <w:divBdr>
        <w:top w:val="none" w:sz="0" w:space="0" w:color="auto"/>
        <w:left w:val="none" w:sz="0" w:space="0" w:color="auto"/>
        <w:bottom w:val="none" w:sz="0" w:space="0" w:color="auto"/>
        <w:right w:val="none" w:sz="0" w:space="0" w:color="auto"/>
      </w:divBdr>
    </w:div>
    <w:div w:id="667096530">
      <w:bodyDiv w:val="1"/>
      <w:marLeft w:val="0"/>
      <w:marRight w:val="0"/>
      <w:marTop w:val="0"/>
      <w:marBottom w:val="0"/>
      <w:divBdr>
        <w:top w:val="none" w:sz="0" w:space="0" w:color="auto"/>
        <w:left w:val="none" w:sz="0" w:space="0" w:color="auto"/>
        <w:bottom w:val="none" w:sz="0" w:space="0" w:color="auto"/>
        <w:right w:val="none" w:sz="0" w:space="0" w:color="auto"/>
      </w:divBdr>
      <w:divsChild>
        <w:div w:id="1158569591">
          <w:marLeft w:val="0"/>
          <w:marRight w:val="0"/>
          <w:marTop w:val="0"/>
          <w:marBottom w:val="0"/>
          <w:divBdr>
            <w:top w:val="none" w:sz="0" w:space="0" w:color="auto"/>
            <w:left w:val="none" w:sz="0" w:space="0" w:color="auto"/>
            <w:bottom w:val="none" w:sz="0" w:space="0" w:color="auto"/>
            <w:right w:val="none" w:sz="0" w:space="0" w:color="auto"/>
          </w:divBdr>
        </w:div>
        <w:div w:id="1891767529">
          <w:marLeft w:val="0"/>
          <w:marRight w:val="0"/>
          <w:marTop w:val="0"/>
          <w:marBottom w:val="0"/>
          <w:divBdr>
            <w:top w:val="none" w:sz="0" w:space="0" w:color="auto"/>
            <w:left w:val="none" w:sz="0" w:space="0" w:color="auto"/>
            <w:bottom w:val="none" w:sz="0" w:space="0" w:color="auto"/>
            <w:right w:val="none" w:sz="0" w:space="0" w:color="auto"/>
          </w:divBdr>
        </w:div>
      </w:divsChild>
    </w:div>
    <w:div w:id="1106731895">
      <w:bodyDiv w:val="1"/>
      <w:marLeft w:val="0"/>
      <w:marRight w:val="0"/>
      <w:marTop w:val="0"/>
      <w:marBottom w:val="0"/>
      <w:divBdr>
        <w:top w:val="none" w:sz="0" w:space="0" w:color="auto"/>
        <w:left w:val="none" w:sz="0" w:space="0" w:color="auto"/>
        <w:bottom w:val="none" w:sz="0" w:space="0" w:color="auto"/>
        <w:right w:val="none" w:sz="0" w:space="0" w:color="auto"/>
      </w:divBdr>
      <w:divsChild>
        <w:div w:id="360474063">
          <w:marLeft w:val="0"/>
          <w:marRight w:val="0"/>
          <w:marTop w:val="0"/>
          <w:marBottom w:val="0"/>
          <w:divBdr>
            <w:top w:val="none" w:sz="0" w:space="0" w:color="auto"/>
            <w:left w:val="none" w:sz="0" w:space="0" w:color="auto"/>
            <w:bottom w:val="none" w:sz="0" w:space="0" w:color="auto"/>
            <w:right w:val="none" w:sz="0" w:space="0" w:color="auto"/>
          </w:divBdr>
        </w:div>
        <w:div w:id="1311595385">
          <w:marLeft w:val="0"/>
          <w:marRight w:val="0"/>
          <w:marTop w:val="0"/>
          <w:marBottom w:val="0"/>
          <w:divBdr>
            <w:top w:val="none" w:sz="0" w:space="0" w:color="auto"/>
            <w:left w:val="none" w:sz="0" w:space="0" w:color="auto"/>
            <w:bottom w:val="none" w:sz="0" w:space="0" w:color="auto"/>
            <w:right w:val="none" w:sz="0" w:space="0" w:color="auto"/>
          </w:divBdr>
        </w:div>
      </w:divsChild>
    </w:div>
    <w:div w:id="1183395779">
      <w:bodyDiv w:val="1"/>
      <w:marLeft w:val="0"/>
      <w:marRight w:val="0"/>
      <w:marTop w:val="0"/>
      <w:marBottom w:val="0"/>
      <w:divBdr>
        <w:top w:val="none" w:sz="0" w:space="0" w:color="auto"/>
        <w:left w:val="none" w:sz="0" w:space="0" w:color="auto"/>
        <w:bottom w:val="none" w:sz="0" w:space="0" w:color="auto"/>
        <w:right w:val="none" w:sz="0" w:space="0" w:color="auto"/>
      </w:divBdr>
      <w:divsChild>
        <w:div w:id="133255598">
          <w:marLeft w:val="0"/>
          <w:marRight w:val="0"/>
          <w:marTop w:val="0"/>
          <w:marBottom w:val="0"/>
          <w:divBdr>
            <w:top w:val="none" w:sz="0" w:space="0" w:color="auto"/>
            <w:left w:val="none" w:sz="0" w:space="0" w:color="auto"/>
            <w:bottom w:val="none" w:sz="0" w:space="0" w:color="auto"/>
            <w:right w:val="none" w:sz="0" w:space="0" w:color="auto"/>
          </w:divBdr>
        </w:div>
        <w:div w:id="550964000">
          <w:marLeft w:val="0"/>
          <w:marRight w:val="0"/>
          <w:marTop w:val="0"/>
          <w:marBottom w:val="0"/>
          <w:divBdr>
            <w:top w:val="none" w:sz="0" w:space="0" w:color="auto"/>
            <w:left w:val="none" w:sz="0" w:space="0" w:color="auto"/>
            <w:bottom w:val="none" w:sz="0" w:space="0" w:color="auto"/>
            <w:right w:val="none" w:sz="0" w:space="0" w:color="auto"/>
          </w:divBdr>
        </w:div>
      </w:divsChild>
    </w:div>
    <w:div w:id="1638608305">
      <w:bodyDiv w:val="1"/>
      <w:marLeft w:val="0"/>
      <w:marRight w:val="0"/>
      <w:marTop w:val="0"/>
      <w:marBottom w:val="0"/>
      <w:divBdr>
        <w:top w:val="none" w:sz="0" w:space="0" w:color="auto"/>
        <w:left w:val="none" w:sz="0" w:space="0" w:color="auto"/>
        <w:bottom w:val="none" w:sz="0" w:space="0" w:color="auto"/>
        <w:right w:val="none" w:sz="0" w:space="0" w:color="auto"/>
      </w:divBdr>
      <w:divsChild>
        <w:div w:id="32772875">
          <w:marLeft w:val="0"/>
          <w:marRight w:val="0"/>
          <w:marTop w:val="0"/>
          <w:marBottom w:val="0"/>
          <w:divBdr>
            <w:top w:val="none" w:sz="0" w:space="0" w:color="auto"/>
            <w:left w:val="none" w:sz="0" w:space="0" w:color="auto"/>
            <w:bottom w:val="none" w:sz="0" w:space="0" w:color="auto"/>
            <w:right w:val="none" w:sz="0" w:space="0" w:color="auto"/>
          </w:divBdr>
        </w:div>
        <w:div w:id="1622086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jstor.org/stable/40071894" TargetMode="External"/><Relationship Id="rId21" Type="http://schemas.openxmlformats.org/officeDocument/2006/relationships/hyperlink" Target="https://www.exurbe.com/tools-for-thinking-about-censorship/" TargetMode="External"/><Relationship Id="rId42" Type="http://schemas.openxmlformats.org/officeDocument/2006/relationships/hyperlink" Target="http://www.jstor.org/stable/27644466" TargetMode="External"/><Relationship Id="rId47" Type="http://schemas.openxmlformats.org/officeDocument/2006/relationships/hyperlink" Target="https://www.econstor.eu/bitstream/10419/22390/1/dp34.pdf" TargetMode="External"/><Relationship Id="rId63" Type="http://schemas.openxmlformats.org/officeDocument/2006/relationships/hyperlink" Target="mailto:DSinfo@colorado.edu" TargetMode="External"/><Relationship Id="rId68" Type="http://schemas.openxmlformats.org/officeDocument/2006/relationships/hyperlink" Target="https://www.colorado.edu/sccr/honor-code" TargetMode="External"/><Relationship Id="rId84" Type="http://schemas.openxmlformats.org/officeDocument/2006/relationships/header" Target="header1.xml"/><Relationship Id="rId16" Type="http://schemas.openxmlformats.org/officeDocument/2006/relationships/hyperlink" Target="https://www.refinery29.com/en-gb/muslim-feminism-womens-rights" TargetMode="External"/><Relationship Id="rId11" Type="http://schemas.openxmlformats.org/officeDocument/2006/relationships/hyperlink" Target="https://www.un.org/en/about-us/universal-declaration-of-human-rights" TargetMode="External"/><Relationship Id="rId32" Type="http://schemas.openxmlformats.org/officeDocument/2006/relationships/hyperlink" Target="https://www.gendercide.org/case_srebrenica.html" TargetMode="External"/><Relationship Id="rId37" Type="http://schemas.openxmlformats.org/officeDocument/2006/relationships/hyperlink" Target="http://www.preventgenocide.org/lemkin/AxisRule1944-2.htm" TargetMode="External"/><Relationship Id="rId53" Type="http://schemas.openxmlformats.org/officeDocument/2006/relationships/hyperlink" Target="https://www.msf.org/report-no-way-out-central-american-migration" TargetMode="External"/><Relationship Id="rId58" Type="http://schemas.openxmlformats.org/officeDocument/2006/relationships/hyperlink" Target="https://www.colorado.edu/sccr/media/230" TargetMode="External"/><Relationship Id="rId74" Type="http://schemas.openxmlformats.org/officeDocument/2006/relationships/hyperlink" Target="mailto:CUreport@colorado.edu" TargetMode="External"/><Relationship Id="rId79" Type="http://schemas.openxmlformats.org/officeDocument/2006/relationships/hyperlink" Target="https://www.colorado.edu/dontignoreit/" TargetMode="External"/><Relationship Id="rId5" Type="http://schemas.openxmlformats.org/officeDocument/2006/relationships/webSettings" Target="webSettings.xml"/><Relationship Id="rId19" Type="http://schemas.openxmlformats.org/officeDocument/2006/relationships/hyperlink" Target="https://iranprimer.usip.org/blog/2023/sep/06/protests-anniversary-one-year-later" TargetMode="External"/><Relationship Id="rId14" Type="http://schemas.openxmlformats.org/officeDocument/2006/relationships/hyperlink" Target="https://www.theunpopulist.net/p/liberalism-isnt-a-western-concept" TargetMode="External"/><Relationship Id="rId22" Type="http://schemas.openxmlformats.org/officeDocument/2006/relationships/hyperlink" Target="https://freedomhouse.org/article/why-strongmen-attack-womens-rights" TargetMode="External"/><Relationship Id="rId27" Type="http://schemas.openxmlformats.org/officeDocument/2006/relationships/hyperlink" Target="https://www.un.org/en/genocideprevention/documents/atrocity-crimes/Doc.34_AP-I-EN.pdf" TargetMode="External"/><Relationship Id="rId30" Type="http://schemas.openxmlformats.org/officeDocument/2006/relationships/hyperlink" Target="https://www.hrw.org/reports/pdfs/b/bosnia/bosnia944.pdf" TargetMode="External"/><Relationship Id="rId35" Type="http://schemas.openxmlformats.org/officeDocument/2006/relationships/hyperlink" Target="https://www.un.org/en/genocideprevention/documents/atrocity-crimes/Doc.1_Convention%20on%20the%20Prevention%20and%20Punishment%20of%20the%20Crime%20of%20Genocide.pdf" TargetMode="External"/><Relationship Id="rId43" Type="http://schemas.openxmlformats.org/officeDocument/2006/relationships/hyperlink" Target="https://www.jstor.org/stable/48597357" TargetMode="External"/><Relationship Id="rId48" Type="http://schemas.openxmlformats.org/officeDocument/2006/relationships/hyperlink" Target="https://www.theguardian.com/world/2021/jun/29/british-empire-india-amartya-sen" TargetMode="External"/><Relationship Id="rId56" Type="http://schemas.openxmlformats.org/officeDocument/2006/relationships/hyperlink" Target="http://www.colorado.edu/policies/student-classroom-and-course-related-behavior" TargetMode="External"/><Relationship Id="rId64" Type="http://schemas.openxmlformats.org/officeDocument/2006/relationships/hyperlink" Target="https://www.colorado.edu/disabilityservices/students/temporary-medical-conditions" TargetMode="External"/><Relationship Id="rId69" Type="http://schemas.openxmlformats.org/officeDocument/2006/relationships/hyperlink" Target="https://www.colorado.edu/sccr/media/229" TargetMode="External"/><Relationship Id="rId77" Type="http://schemas.openxmlformats.org/officeDocument/2006/relationships/hyperlink" Target="http://www.colorado.edu/institutionalequity/" TargetMode="External"/><Relationship Id="rId8" Type="http://schemas.openxmlformats.org/officeDocument/2006/relationships/hyperlink" Target="mailto:Steven.Beard@Colorado.edu" TargetMode="External"/><Relationship Id="rId51" Type="http://schemas.openxmlformats.org/officeDocument/2006/relationships/hyperlink" Target="https://www.imf.org/external/pubs/ft/fandd/2001/06/pfefferm.htm" TargetMode="External"/><Relationship Id="rId72" Type="http://schemas.openxmlformats.org/officeDocument/2006/relationships/hyperlink" Target="https://www.scientificamerican.com/article/chatgpt-isnt-hallucinating-its-bullshitting/" TargetMode="External"/><Relationship Id="rId80" Type="http://schemas.openxmlformats.org/officeDocument/2006/relationships/hyperlink" Target="http://www.colorado.edu/policies/observance-religious-holidays-and-absences-classes-andor-exam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ohchr.org/en/instruments-mechanisms/instruments/international-covenant-civil-and-political-rights" TargetMode="External"/><Relationship Id="rId17" Type="http://schemas.openxmlformats.org/officeDocument/2006/relationships/hyperlink" Target="https://www.cfr.org/article/islamic-republics-power-centers" TargetMode="External"/><Relationship Id="rId25" Type="http://schemas.openxmlformats.org/officeDocument/2006/relationships/hyperlink" Target="http://www.jstor.org/stable/2601361" TargetMode="External"/><Relationship Id="rId33" Type="http://schemas.openxmlformats.org/officeDocument/2006/relationships/hyperlink" Target="https://www.theatlantic.com/ideas/archive/2022/12/russia-ukraine-ideology-motivates-war-criminals-soldiers/672367/" TargetMode="External"/><Relationship Id="rId38" Type="http://schemas.openxmlformats.org/officeDocument/2006/relationships/hyperlink" Target="http://www.preventgenocide.org/lemkin/AxisRule1944-3.htm" TargetMode="External"/><Relationship Id="rId46" Type="http://schemas.openxmlformats.org/officeDocument/2006/relationships/hyperlink" Target="https://www.ohchr.org/en/instruments-mechanisms/instruments/international-covenant-economic-social-and-cultural-rights" TargetMode="External"/><Relationship Id="rId59" Type="http://schemas.openxmlformats.org/officeDocument/2006/relationships/hyperlink" Target="https://www.colorado.edu/oiec/" TargetMode="External"/><Relationship Id="rId67" Type="http://schemas.openxmlformats.org/officeDocument/2006/relationships/hyperlink" Target="mailto:StudentConduct@colorado.edu" TargetMode="External"/><Relationship Id="rId20" Type="http://schemas.openxmlformats.org/officeDocument/2006/relationships/hyperlink" Target="https://iranprimer.usip.org/resource/green-movement" TargetMode="External"/><Relationship Id="rId41" Type="http://schemas.openxmlformats.org/officeDocument/2006/relationships/hyperlink" Target="https://www.brookings.edu/articles/decision-to-intervene-how-the-war-in-bosnia-ended/" TargetMode="External"/><Relationship Id="rId54" Type="http://schemas.openxmlformats.org/officeDocument/2006/relationships/hyperlink" Target="http://www.jstor.org/stable/40072187" TargetMode="External"/><Relationship Id="rId62" Type="http://schemas.openxmlformats.org/officeDocument/2006/relationships/hyperlink" Target="https://www.colorado.edu/disabilityservices/" TargetMode="External"/><Relationship Id="rId70" Type="http://schemas.openxmlformats.org/officeDocument/2006/relationships/hyperlink" Target="https://www.colorado.edu/sccr/media/229" TargetMode="External"/><Relationship Id="rId75" Type="http://schemas.openxmlformats.org/officeDocument/2006/relationships/hyperlink" Target="https://www.colorado.edu/oiec/reporting-resolutions/making-report" TargetMode="External"/><Relationship Id="rId83" Type="http://schemas.openxmlformats.org/officeDocument/2006/relationships/hyperlink" Target="https://www.colorado.edu/health/academiclivec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bookcentral.proquest.com/lib/ucb/detail.action?docID=800833" TargetMode="External"/><Relationship Id="rId23" Type="http://schemas.openxmlformats.org/officeDocument/2006/relationships/hyperlink" Target="https://www.washingtonpost.com/world/2023/09/16/iran-mahsa-amini-anniversary-protests/" TargetMode="External"/><Relationship Id="rId28" Type="http://schemas.openxmlformats.org/officeDocument/2006/relationships/hyperlink" Target="http://www.jstor.org/stable/23250704" TargetMode="External"/><Relationship Id="rId36" Type="http://schemas.openxmlformats.org/officeDocument/2006/relationships/hyperlink" Target="http://www.preventgenocide.org/lemkin/AxisRule1944-1.htm" TargetMode="External"/><Relationship Id="rId49" Type="http://schemas.openxmlformats.org/officeDocument/2006/relationships/hyperlink" Target="https://www.economicsonline.co.uk/definitions/solowmodel.html/" TargetMode="External"/><Relationship Id="rId57" Type="http://schemas.openxmlformats.org/officeDocument/2006/relationships/hyperlink" Target="https://www.colorado.edu/sccr/student-conduct" TargetMode="External"/><Relationship Id="rId10" Type="http://schemas.openxmlformats.org/officeDocument/2006/relationships/hyperlink" Target="https://doi-org.colorado.idm.oclc.org/10.4324/9780203829301" TargetMode="External"/><Relationship Id="rId31" Type="http://schemas.openxmlformats.org/officeDocument/2006/relationships/hyperlink" Target="https://origins.osu.edu/milestones/srebrenica-massacre-genocide-denial-memory?language_content_entity=en" TargetMode="External"/><Relationship Id="rId44" Type="http://schemas.openxmlformats.org/officeDocument/2006/relationships/hyperlink" Target="https://www.brookings.edu/articles/doing-it-right-the-future-of-humanitarian-intervention/" TargetMode="External"/><Relationship Id="rId52" Type="http://schemas.openxmlformats.org/officeDocument/2006/relationships/hyperlink" Target="http://www.jstor.org/stable/24483411" TargetMode="External"/><Relationship Id="rId60" Type="http://schemas.openxmlformats.org/officeDocument/2006/relationships/hyperlink" Target="https://www.colorado.edu/oiec/" TargetMode="External"/><Relationship Id="rId65" Type="http://schemas.openxmlformats.org/officeDocument/2006/relationships/hyperlink" Target="https://www.colorado.edu/sccr/honor-code" TargetMode="External"/><Relationship Id="rId73" Type="http://schemas.openxmlformats.org/officeDocument/2006/relationships/hyperlink" Target="https://www.colorado.edu/oiec/policies/discrimination-harassment-policy/protected-class-definitions" TargetMode="External"/><Relationship Id="rId78" Type="http://schemas.openxmlformats.org/officeDocument/2006/relationships/hyperlink" Target="https://www.colorado.edu/dontignoreit/" TargetMode="External"/><Relationship Id="rId81" Type="http://schemas.openxmlformats.org/officeDocument/2006/relationships/hyperlink" Target="https://www.colorado.edu/counseling/"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bguides.brown.edu/evaluate/Read" TargetMode="External"/><Relationship Id="rId13" Type="http://schemas.openxmlformats.org/officeDocument/2006/relationships/hyperlink" Target="https://academic.oup.com/book/2219" TargetMode="External"/><Relationship Id="rId18" Type="http://schemas.openxmlformats.org/officeDocument/2006/relationships/hyperlink" Target="https://www.amnesty.org/en/location/middle-east-and-north-africa/iran/report-iran/" TargetMode="External"/><Relationship Id="rId39" Type="http://schemas.openxmlformats.org/officeDocument/2006/relationships/hyperlink" Target="http://genocidewatch.net/genocide-2/8-stages-of-genocide/" TargetMode="External"/><Relationship Id="rId34" Type="http://schemas.openxmlformats.org/officeDocument/2006/relationships/hyperlink" Target="https://warontherocks.com/2020/10/when-women-commit-war-crimes/" TargetMode="External"/><Relationship Id="rId50" Type="http://schemas.openxmlformats.org/officeDocument/2006/relationships/hyperlink" Target="http://www.jstor.org/stable/24538205" TargetMode="External"/><Relationship Id="rId55" Type="http://schemas.openxmlformats.org/officeDocument/2006/relationships/hyperlink" Target="https://www.exurbe.com/on-progress-and-historical-change/" TargetMode="External"/><Relationship Id="rId76" Type="http://schemas.openxmlformats.org/officeDocument/2006/relationships/hyperlink" Target="https://www.colorado.edu/oiec/support-resources" TargetMode="External"/><Relationship Id="rId7" Type="http://schemas.openxmlformats.org/officeDocument/2006/relationships/endnotes" Target="endnotes.xml"/><Relationship Id="rId71" Type="http://schemas.openxmlformats.org/officeDocument/2006/relationships/hyperlink" Target="https://www.transformingsociety.co.uk/2023/02/10/chatgpt-the-worlds-largest-bullshit-machine/" TargetMode="External"/><Relationship Id="rId2" Type="http://schemas.openxmlformats.org/officeDocument/2006/relationships/numbering" Target="numbering.xml"/><Relationship Id="rId29" Type="http://schemas.openxmlformats.org/officeDocument/2006/relationships/hyperlink" Target="https://ecfr.eu/publication/bosnia-to-war-to-dayton-and-to-its-slow-peace/" TargetMode="External"/><Relationship Id="rId24" Type="http://schemas.openxmlformats.org/officeDocument/2006/relationships/hyperlink" Target="https://doi.org/10.2307/1519915" TargetMode="External"/><Relationship Id="rId40" Type="http://schemas.openxmlformats.org/officeDocument/2006/relationships/hyperlink" Target="http://www.jstor.org/stable/41479553" TargetMode="External"/><Relationship Id="rId45" Type="http://schemas.openxmlformats.org/officeDocument/2006/relationships/hyperlink" Target="http://www.jstor.org/stable/23496662" TargetMode="External"/><Relationship Id="rId66" Type="http://schemas.openxmlformats.org/officeDocument/2006/relationships/hyperlink" Target="https://www.colorado.edu/sccr/media/229" TargetMode="External"/><Relationship Id="rId61" Type="http://schemas.openxmlformats.org/officeDocument/2006/relationships/hyperlink" Target="https://www.colorado.edu/healthcenter/coronavirus-updates/symptoms-and-what-do-if-you-feel-sick" TargetMode="External"/><Relationship Id="rId82" Type="http://schemas.openxmlformats.org/officeDocument/2006/relationships/hyperlink" Target="https://www.colorado.edu/health/academicliv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5CE0-2CA9-4EDF-994D-9E6FC297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4986</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Beard</dc:creator>
  <cp:keywords/>
  <dc:description/>
  <cp:lastModifiedBy>Steven Beard</cp:lastModifiedBy>
  <cp:revision>4</cp:revision>
  <dcterms:created xsi:type="dcterms:W3CDTF">2025-02-07T07:38:00Z</dcterms:created>
  <dcterms:modified xsi:type="dcterms:W3CDTF">2025-02-07T08:30:00Z</dcterms:modified>
</cp:coreProperties>
</file>