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C4" w:rsidRDefault="009501C4" w:rsidP="009501C4">
      <w:pPr>
        <w:pStyle w:val="Heading7"/>
        <w:keepNext/>
        <w:spacing w:before="0" w:after="0"/>
        <w:jc w:val="center"/>
        <w:rPr>
          <w:rFonts w:ascii="Arial" w:hAnsi="Arial" w:cs="Arial"/>
          <w:b/>
          <w:bCs/>
        </w:rPr>
      </w:pPr>
      <w:r>
        <w:rPr>
          <w:rFonts w:ascii="Arial" w:hAnsi="Arial" w:cs="Arial"/>
          <w:b/>
          <w:bCs/>
        </w:rPr>
        <w:t xml:space="preserve">PROCEDURE NAME:  </w:t>
      </w:r>
    </w:p>
    <w:p w:rsidR="009501C4" w:rsidRDefault="009501C4" w:rsidP="009501C4">
      <w:pPr>
        <w:jc w:val="center"/>
        <w:rPr>
          <w:rFonts w:ascii="Arial" w:hAnsi="Arial" w:cs="Arial"/>
          <w:b/>
          <w:bCs/>
          <w:caps/>
        </w:rPr>
      </w:pPr>
      <w:r>
        <w:rPr>
          <w:rFonts w:ascii="Arial" w:hAnsi="Arial" w:cs="Arial"/>
          <w:b/>
          <w:bCs/>
          <w:caps/>
        </w:rPr>
        <w:t>Internal Drawing Reviews</w:t>
      </w:r>
    </w:p>
    <w:p w:rsidR="009501C4" w:rsidRDefault="009501C4" w:rsidP="009501C4">
      <w:pPr>
        <w:jc w:val="center"/>
        <w:rPr>
          <w:rFonts w:ascii="Arial" w:hAnsi="Arial" w:cs="Arial"/>
          <w:b/>
          <w:bCs/>
          <w:caps/>
        </w:rPr>
      </w:pPr>
    </w:p>
    <w:tbl>
      <w:tblPr>
        <w:tblW w:w="10185" w:type="dxa"/>
        <w:tblInd w:w="378" w:type="dxa"/>
        <w:tblCellMar>
          <w:left w:w="0" w:type="dxa"/>
          <w:right w:w="0" w:type="dxa"/>
        </w:tblCellMar>
        <w:tblLook w:val="04A0"/>
      </w:tblPr>
      <w:tblGrid>
        <w:gridCol w:w="1728"/>
        <w:gridCol w:w="810"/>
        <w:gridCol w:w="720"/>
        <w:gridCol w:w="2429"/>
        <w:gridCol w:w="4498"/>
      </w:tblGrid>
      <w:tr w:rsidR="009501C4" w:rsidTr="009501C4">
        <w:tc>
          <w:tcPr>
            <w:tcW w:w="2538" w:type="dxa"/>
            <w:gridSpan w:val="2"/>
            <w:tcMar>
              <w:top w:w="0" w:type="dxa"/>
              <w:left w:w="108" w:type="dxa"/>
              <w:bottom w:w="0" w:type="dxa"/>
              <w:right w:w="108" w:type="dxa"/>
            </w:tcMar>
          </w:tcPr>
          <w:p w:rsidR="009501C4" w:rsidRDefault="009501C4">
            <w:pPr>
              <w:rPr>
                <w:rFonts w:ascii="Arial" w:hAnsi="Arial" w:cs="Arial"/>
                <w:b/>
                <w:bCs/>
              </w:rPr>
            </w:pPr>
          </w:p>
        </w:tc>
        <w:tc>
          <w:tcPr>
            <w:tcW w:w="3150" w:type="dxa"/>
            <w:gridSpan w:val="2"/>
            <w:tcMar>
              <w:top w:w="0" w:type="dxa"/>
              <w:left w:w="108" w:type="dxa"/>
              <w:bottom w:w="0" w:type="dxa"/>
              <w:right w:w="108" w:type="dxa"/>
            </w:tcMar>
          </w:tcPr>
          <w:p w:rsidR="009501C4" w:rsidRDefault="009501C4">
            <w:pPr>
              <w:rPr>
                <w:rFonts w:ascii="Arial" w:hAnsi="Arial" w:cs="Arial"/>
                <w:b/>
                <w:bCs/>
              </w:rPr>
            </w:pPr>
          </w:p>
        </w:tc>
        <w:tc>
          <w:tcPr>
            <w:tcW w:w="4500" w:type="dxa"/>
            <w:tcMar>
              <w:top w:w="0" w:type="dxa"/>
              <w:left w:w="108" w:type="dxa"/>
              <w:bottom w:w="0" w:type="dxa"/>
              <w:right w:w="108" w:type="dxa"/>
            </w:tcMar>
          </w:tcPr>
          <w:p w:rsidR="009501C4" w:rsidRDefault="009501C4">
            <w:pPr>
              <w:rPr>
                <w:rFonts w:ascii="Arial" w:hAnsi="Arial" w:cs="Arial"/>
                <w:b/>
                <w:bCs/>
              </w:rPr>
            </w:pPr>
          </w:p>
        </w:tc>
      </w:tr>
      <w:tr w:rsidR="009501C4" w:rsidTr="009501C4">
        <w:tc>
          <w:tcPr>
            <w:tcW w:w="1728" w:type="dxa"/>
            <w:tcMar>
              <w:top w:w="0" w:type="dxa"/>
              <w:left w:w="108" w:type="dxa"/>
              <w:bottom w:w="0" w:type="dxa"/>
              <w:right w:w="108" w:type="dxa"/>
            </w:tcMar>
          </w:tcPr>
          <w:p w:rsidR="009501C4" w:rsidRDefault="009501C4">
            <w:pPr>
              <w:rPr>
                <w:rFonts w:ascii="Arial" w:hAnsi="Arial" w:cs="Arial"/>
                <w:b/>
                <w:bCs/>
                <w:sz w:val="21"/>
                <w:szCs w:val="21"/>
              </w:rPr>
            </w:pPr>
            <w:r>
              <w:rPr>
                <w:rFonts w:ascii="Arial" w:hAnsi="Arial" w:cs="Arial"/>
                <w:b/>
                <w:bCs/>
                <w:sz w:val="21"/>
                <w:szCs w:val="21"/>
              </w:rPr>
              <w:t xml:space="preserve">INITIAL DATE:  </w:t>
            </w:r>
          </w:p>
          <w:p w:rsidR="009501C4" w:rsidRDefault="009501C4">
            <w:pPr>
              <w:rPr>
                <w:rFonts w:ascii="Arial" w:hAnsi="Arial" w:cs="Arial"/>
                <w:b/>
                <w:bCs/>
                <w:sz w:val="21"/>
                <w:szCs w:val="21"/>
              </w:rPr>
            </w:pPr>
          </w:p>
        </w:tc>
        <w:tc>
          <w:tcPr>
            <w:tcW w:w="3960" w:type="dxa"/>
            <w:gridSpan w:val="3"/>
            <w:tcMar>
              <w:top w:w="0" w:type="dxa"/>
              <w:left w:w="108" w:type="dxa"/>
              <w:bottom w:w="0" w:type="dxa"/>
              <w:right w:w="108" w:type="dxa"/>
            </w:tcMar>
            <w:hideMark/>
          </w:tcPr>
          <w:p w:rsidR="009501C4" w:rsidRDefault="009501C4">
            <w:pPr>
              <w:rPr>
                <w:rFonts w:ascii="Arial" w:hAnsi="Arial" w:cs="Arial"/>
                <w:b/>
                <w:bCs/>
                <w:sz w:val="21"/>
                <w:szCs w:val="21"/>
              </w:rPr>
            </w:pPr>
            <w:r>
              <w:rPr>
                <w:rFonts w:ascii="Arial" w:hAnsi="Arial" w:cs="Arial"/>
                <w:b/>
                <w:bCs/>
                <w:sz w:val="21"/>
                <w:szCs w:val="21"/>
              </w:rPr>
              <w:t xml:space="preserve">06-21-06 </w:t>
            </w:r>
          </w:p>
        </w:tc>
        <w:tc>
          <w:tcPr>
            <w:tcW w:w="4500" w:type="dxa"/>
            <w:tcMar>
              <w:top w:w="0" w:type="dxa"/>
              <w:left w:w="108" w:type="dxa"/>
              <w:bottom w:w="0" w:type="dxa"/>
              <w:right w:w="108" w:type="dxa"/>
            </w:tcMar>
          </w:tcPr>
          <w:p w:rsidR="009501C4" w:rsidRDefault="009501C4">
            <w:pPr>
              <w:rPr>
                <w:rFonts w:ascii="Arial" w:hAnsi="Arial" w:cs="Arial"/>
                <w:b/>
                <w:bCs/>
              </w:rPr>
            </w:pPr>
          </w:p>
        </w:tc>
      </w:tr>
      <w:tr w:rsidR="009501C4" w:rsidTr="009501C4">
        <w:trPr>
          <w:cantSplit/>
        </w:trPr>
        <w:tc>
          <w:tcPr>
            <w:tcW w:w="5688" w:type="dxa"/>
            <w:gridSpan w:val="4"/>
            <w:tcMar>
              <w:top w:w="0" w:type="dxa"/>
              <w:left w:w="108" w:type="dxa"/>
              <w:bottom w:w="0" w:type="dxa"/>
              <w:right w:w="108" w:type="dxa"/>
            </w:tcMar>
            <w:hideMark/>
          </w:tcPr>
          <w:p w:rsidR="009501C4" w:rsidRDefault="009501C4">
            <w:pPr>
              <w:rPr>
                <w:rFonts w:ascii="Arial" w:hAnsi="Arial" w:cs="Arial"/>
                <w:sz w:val="21"/>
                <w:szCs w:val="21"/>
              </w:rPr>
            </w:pPr>
            <w:r>
              <w:rPr>
                <w:rFonts w:ascii="Arial" w:hAnsi="Arial" w:cs="Arial"/>
                <w:b/>
                <w:bCs/>
                <w:sz w:val="21"/>
                <w:szCs w:val="21"/>
              </w:rPr>
              <w:t>PROCEDURE PURPOSE:</w:t>
            </w:r>
          </w:p>
        </w:tc>
        <w:tc>
          <w:tcPr>
            <w:tcW w:w="4500" w:type="dxa"/>
            <w:tcMar>
              <w:top w:w="0" w:type="dxa"/>
              <w:left w:w="108" w:type="dxa"/>
              <w:bottom w:w="0" w:type="dxa"/>
              <w:right w:w="108" w:type="dxa"/>
            </w:tcMar>
          </w:tcPr>
          <w:p w:rsidR="009501C4" w:rsidRDefault="009501C4">
            <w:pPr>
              <w:rPr>
                <w:rFonts w:ascii="Arial" w:hAnsi="Arial" w:cs="Arial"/>
              </w:rPr>
            </w:pPr>
          </w:p>
        </w:tc>
      </w:tr>
      <w:tr w:rsidR="009501C4" w:rsidTr="009501C4">
        <w:trPr>
          <w:cantSplit/>
        </w:trPr>
        <w:tc>
          <w:tcPr>
            <w:tcW w:w="10188" w:type="dxa"/>
            <w:gridSpan w:val="5"/>
            <w:tcMar>
              <w:top w:w="0" w:type="dxa"/>
              <w:left w:w="108" w:type="dxa"/>
              <w:bottom w:w="0" w:type="dxa"/>
              <w:right w:w="108" w:type="dxa"/>
            </w:tcMar>
          </w:tcPr>
          <w:p w:rsidR="009501C4" w:rsidRDefault="009501C4">
            <w:pPr>
              <w:rPr>
                <w:rFonts w:ascii="Arial" w:hAnsi="Arial" w:cs="Arial"/>
              </w:rPr>
            </w:pPr>
            <w:r>
              <w:rPr>
                <w:rFonts w:ascii="Arial" w:hAnsi="Arial" w:cs="Arial"/>
              </w:rPr>
              <w:t xml:space="preserve">To instruct Project Managers on internal drawing reviews. </w:t>
            </w:r>
          </w:p>
          <w:p w:rsidR="009501C4" w:rsidRDefault="009501C4">
            <w:pPr>
              <w:rPr>
                <w:rFonts w:ascii="Arial" w:hAnsi="Arial" w:cs="Arial"/>
              </w:rPr>
            </w:pPr>
          </w:p>
        </w:tc>
      </w:tr>
      <w:tr w:rsidR="009501C4" w:rsidTr="009501C4">
        <w:tc>
          <w:tcPr>
            <w:tcW w:w="3258" w:type="dxa"/>
            <w:gridSpan w:val="3"/>
            <w:tcMar>
              <w:top w:w="0" w:type="dxa"/>
              <w:left w:w="108" w:type="dxa"/>
              <w:bottom w:w="0" w:type="dxa"/>
              <w:right w:w="108" w:type="dxa"/>
            </w:tcMar>
            <w:hideMark/>
          </w:tcPr>
          <w:p w:rsidR="009501C4" w:rsidRDefault="009501C4">
            <w:pPr>
              <w:rPr>
                <w:rFonts w:ascii="Arial" w:hAnsi="Arial" w:cs="Arial"/>
                <w:b/>
                <w:bCs/>
                <w:sz w:val="21"/>
                <w:szCs w:val="21"/>
              </w:rPr>
            </w:pPr>
            <w:r>
              <w:rPr>
                <w:rFonts w:ascii="Arial" w:hAnsi="Arial" w:cs="Arial"/>
                <w:b/>
                <w:bCs/>
                <w:sz w:val="21"/>
                <w:szCs w:val="21"/>
              </w:rPr>
              <w:t>PROCEDURE:</w:t>
            </w:r>
          </w:p>
        </w:tc>
        <w:tc>
          <w:tcPr>
            <w:tcW w:w="2430" w:type="dxa"/>
            <w:tcMar>
              <w:top w:w="0" w:type="dxa"/>
              <w:left w:w="108" w:type="dxa"/>
              <w:bottom w:w="0" w:type="dxa"/>
              <w:right w:w="108" w:type="dxa"/>
            </w:tcMar>
          </w:tcPr>
          <w:p w:rsidR="009501C4" w:rsidRDefault="009501C4">
            <w:pPr>
              <w:rPr>
                <w:rFonts w:ascii="Arial" w:hAnsi="Arial" w:cs="Arial"/>
              </w:rPr>
            </w:pPr>
          </w:p>
        </w:tc>
        <w:tc>
          <w:tcPr>
            <w:tcW w:w="4500" w:type="dxa"/>
            <w:tcMar>
              <w:top w:w="0" w:type="dxa"/>
              <w:left w:w="108" w:type="dxa"/>
              <w:bottom w:w="0" w:type="dxa"/>
              <w:right w:w="108" w:type="dxa"/>
            </w:tcMar>
          </w:tcPr>
          <w:p w:rsidR="009501C4" w:rsidRDefault="009501C4">
            <w:pPr>
              <w:rPr>
                <w:rFonts w:ascii="Arial" w:hAnsi="Arial" w:cs="Arial"/>
              </w:rPr>
            </w:pPr>
          </w:p>
        </w:tc>
      </w:tr>
      <w:tr w:rsidR="009501C4" w:rsidTr="009501C4">
        <w:tc>
          <w:tcPr>
            <w:tcW w:w="1725" w:type="dxa"/>
            <w:vAlign w:val="center"/>
            <w:hideMark/>
          </w:tcPr>
          <w:p w:rsidR="009501C4" w:rsidRDefault="009501C4">
            <w:pPr>
              <w:rPr>
                <w:rFonts w:ascii="Times New Roman" w:eastAsia="Times New Roman" w:hAnsi="Times New Roman"/>
                <w:sz w:val="20"/>
                <w:szCs w:val="20"/>
              </w:rPr>
            </w:pPr>
          </w:p>
        </w:tc>
        <w:tc>
          <w:tcPr>
            <w:tcW w:w="810" w:type="dxa"/>
            <w:vAlign w:val="center"/>
            <w:hideMark/>
          </w:tcPr>
          <w:p w:rsidR="009501C4" w:rsidRDefault="009501C4">
            <w:pPr>
              <w:rPr>
                <w:rFonts w:ascii="Times New Roman" w:eastAsia="Times New Roman" w:hAnsi="Times New Roman"/>
                <w:sz w:val="20"/>
                <w:szCs w:val="20"/>
              </w:rPr>
            </w:pPr>
          </w:p>
        </w:tc>
        <w:tc>
          <w:tcPr>
            <w:tcW w:w="720" w:type="dxa"/>
            <w:vAlign w:val="center"/>
            <w:hideMark/>
          </w:tcPr>
          <w:p w:rsidR="009501C4" w:rsidRDefault="009501C4">
            <w:pPr>
              <w:rPr>
                <w:rFonts w:ascii="Times New Roman" w:eastAsia="Times New Roman" w:hAnsi="Times New Roman"/>
                <w:sz w:val="20"/>
                <w:szCs w:val="20"/>
              </w:rPr>
            </w:pPr>
          </w:p>
        </w:tc>
        <w:tc>
          <w:tcPr>
            <w:tcW w:w="2430" w:type="dxa"/>
            <w:vAlign w:val="center"/>
            <w:hideMark/>
          </w:tcPr>
          <w:p w:rsidR="009501C4" w:rsidRDefault="009501C4">
            <w:pPr>
              <w:rPr>
                <w:rFonts w:ascii="Times New Roman" w:eastAsia="Times New Roman" w:hAnsi="Times New Roman"/>
                <w:sz w:val="20"/>
                <w:szCs w:val="20"/>
              </w:rPr>
            </w:pPr>
          </w:p>
        </w:tc>
        <w:tc>
          <w:tcPr>
            <w:tcW w:w="4500" w:type="dxa"/>
            <w:vAlign w:val="center"/>
            <w:hideMark/>
          </w:tcPr>
          <w:p w:rsidR="009501C4" w:rsidRDefault="009501C4">
            <w:pPr>
              <w:rPr>
                <w:rFonts w:ascii="Times New Roman" w:eastAsia="Times New Roman" w:hAnsi="Times New Roman"/>
                <w:sz w:val="20"/>
                <w:szCs w:val="20"/>
              </w:rPr>
            </w:pPr>
          </w:p>
        </w:tc>
      </w:tr>
    </w:tbl>
    <w:p w:rsidR="009501C4" w:rsidRDefault="009501C4" w:rsidP="009501C4">
      <w:pPr>
        <w:rPr>
          <w:color w:val="1F497D"/>
          <w:sz w:val="24"/>
          <w:szCs w:val="24"/>
        </w:rPr>
      </w:pPr>
    </w:p>
    <w:p w:rsidR="009501C4" w:rsidRDefault="009501C4" w:rsidP="009501C4">
      <w:pPr>
        <w:rPr>
          <w:rFonts w:ascii="Arial" w:hAnsi="Arial" w:cs="Arial"/>
        </w:rPr>
      </w:pPr>
      <w:r>
        <w:rPr>
          <w:rFonts w:ascii="Arial" w:hAnsi="Arial" w:cs="Arial"/>
        </w:rPr>
        <w:t>Capital Projects should be reviewed internally by various Emory groups during the following stages:</w:t>
      </w:r>
    </w:p>
    <w:p w:rsidR="009501C4" w:rsidRDefault="009501C4" w:rsidP="009501C4">
      <w:pPr>
        <w:numPr>
          <w:ilvl w:val="0"/>
          <w:numId w:val="1"/>
        </w:numPr>
        <w:rPr>
          <w:rFonts w:ascii="Arial" w:hAnsi="Arial" w:cs="Arial"/>
        </w:rPr>
      </w:pPr>
      <w:r>
        <w:rPr>
          <w:rFonts w:ascii="Arial" w:hAnsi="Arial" w:cs="Arial"/>
        </w:rPr>
        <w:t>Schematic</w:t>
      </w:r>
    </w:p>
    <w:p w:rsidR="009501C4" w:rsidRDefault="009501C4" w:rsidP="009501C4">
      <w:pPr>
        <w:numPr>
          <w:ilvl w:val="0"/>
          <w:numId w:val="1"/>
        </w:numPr>
        <w:rPr>
          <w:rFonts w:ascii="Arial" w:hAnsi="Arial" w:cs="Arial"/>
        </w:rPr>
      </w:pPr>
      <w:r>
        <w:rPr>
          <w:rFonts w:ascii="Arial" w:hAnsi="Arial" w:cs="Arial"/>
        </w:rPr>
        <w:t xml:space="preserve">Design Development </w:t>
      </w:r>
    </w:p>
    <w:p w:rsidR="009501C4" w:rsidRDefault="009501C4" w:rsidP="009501C4">
      <w:pPr>
        <w:numPr>
          <w:ilvl w:val="0"/>
          <w:numId w:val="1"/>
        </w:numPr>
        <w:rPr>
          <w:rFonts w:ascii="Arial" w:hAnsi="Arial" w:cs="Arial"/>
        </w:rPr>
      </w:pPr>
      <w:r>
        <w:rPr>
          <w:rFonts w:ascii="Arial" w:hAnsi="Arial" w:cs="Arial"/>
        </w:rPr>
        <w:t>50% CD</w:t>
      </w:r>
    </w:p>
    <w:p w:rsidR="009501C4" w:rsidRDefault="009501C4" w:rsidP="009501C4">
      <w:pPr>
        <w:numPr>
          <w:ilvl w:val="0"/>
          <w:numId w:val="1"/>
        </w:numPr>
        <w:rPr>
          <w:rFonts w:ascii="Arial" w:hAnsi="Arial" w:cs="Arial"/>
          <w:b/>
          <w:bCs/>
          <w:caps/>
        </w:rPr>
      </w:pPr>
      <w:r>
        <w:rPr>
          <w:rFonts w:ascii="Arial" w:hAnsi="Arial" w:cs="Arial"/>
        </w:rPr>
        <w:t>100% CD</w:t>
      </w:r>
    </w:p>
    <w:p w:rsidR="009501C4" w:rsidRDefault="009501C4" w:rsidP="009501C4">
      <w:pPr>
        <w:rPr>
          <w:rFonts w:ascii="Arial" w:hAnsi="Arial" w:cs="Arial"/>
        </w:rPr>
      </w:pPr>
    </w:p>
    <w:p w:rsidR="009501C4" w:rsidRDefault="009501C4" w:rsidP="009501C4">
      <w:pPr>
        <w:rPr>
          <w:rFonts w:ascii="Arial" w:hAnsi="Arial" w:cs="Arial"/>
          <w:b/>
          <w:bCs/>
        </w:rPr>
      </w:pPr>
      <w:r>
        <w:rPr>
          <w:rFonts w:ascii="Arial" w:hAnsi="Arial" w:cs="Arial"/>
          <w:b/>
          <w:bCs/>
        </w:rPr>
        <w:t xml:space="preserve">Step One – </w:t>
      </w:r>
    </w:p>
    <w:p w:rsidR="009501C4" w:rsidRDefault="009501C4" w:rsidP="009501C4">
      <w:pPr>
        <w:rPr>
          <w:rFonts w:ascii="Arial" w:hAnsi="Arial" w:cs="Arial"/>
        </w:rPr>
      </w:pPr>
      <w:r>
        <w:rPr>
          <w:rFonts w:ascii="Arial" w:hAnsi="Arial" w:cs="Arial"/>
        </w:rPr>
        <w:t xml:space="preserve">Drawings and specifications should be placed in the “Plan Review” room of Building C.  </w:t>
      </w:r>
    </w:p>
    <w:p w:rsidR="009501C4" w:rsidRDefault="009501C4" w:rsidP="009501C4">
      <w:pPr>
        <w:rPr>
          <w:rFonts w:ascii="Arial" w:hAnsi="Arial" w:cs="Arial"/>
        </w:rPr>
      </w:pPr>
    </w:p>
    <w:p w:rsidR="009501C4" w:rsidRDefault="009501C4" w:rsidP="009501C4">
      <w:pPr>
        <w:rPr>
          <w:rFonts w:ascii="Arial" w:hAnsi="Arial" w:cs="Arial"/>
          <w:b/>
          <w:bCs/>
        </w:rPr>
      </w:pPr>
      <w:r>
        <w:rPr>
          <w:rFonts w:ascii="Arial" w:hAnsi="Arial" w:cs="Arial"/>
          <w:b/>
          <w:bCs/>
        </w:rPr>
        <w:t xml:space="preserve">Step Two – </w:t>
      </w:r>
    </w:p>
    <w:p w:rsidR="009501C4" w:rsidRDefault="009501C4" w:rsidP="009501C4">
      <w:pPr>
        <w:rPr>
          <w:rFonts w:ascii="Arial" w:hAnsi="Arial" w:cs="Arial"/>
        </w:rPr>
      </w:pPr>
      <w:r>
        <w:rPr>
          <w:rFonts w:ascii="Arial" w:hAnsi="Arial" w:cs="Arial"/>
        </w:rPr>
        <w:t>An email should be sent to the “Drawing Review Group” located in Outlook (see email below).  This group is made up of members of:</w:t>
      </w:r>
    </w:p>
    <w:p w:rsidR="009501C4" w:rsidRDefault="009501C4" w:rsidP="009501C4">
      <w:pPr>
        <w:rPr>
          <w:rFonts w:ascii="Arial" w:hAnsi="Arial" w:cs="Arial"/>
        </w:rPr>
      </w:pPr>
    </w:p>
    <w:p w:rsidR="009501C4" w:rsidRDefault="009501C4" w:rsidP="009501C4">
      <w:pPr>
        <w:ind w:left="1422"/>
        <w:rPr>
          <w:rFonts w:ascii="Arial" w:hAnsi="Arial" w:cs="Arial"/>
        </w:rPr>
      </w:pPr>
      <w:r>
        <w:rPr>
          <w:rFonts w:ascii="Arial" w:hAnsi="Arial" w:cs="Arial"/>
        </w:rPr>
        <w:t>Building Services                                Fire Safety</w:t>
      </w:r>
    </w:p>
    <w:p w:rsidR="009501C4" w:rsidRDefault="009501C4" w:rsidP="009501C4">
      <w:pPr>
        <w:ind w:left="1422"/>
        <w:rPr>
          <w:rFonts w:ascii="Arial" w:hAnsi="Arial" w:cs="Arial"/>
        </w:rPr>
      </w:pPr>
      <w:r>
        <w:rPr>
          <w:rFonts w:ascii="Arial" w:hAnsi="Arial" w:cs="Arial"/>
        </w:rPr>
        <w:t>Campus Planning                                Interiors</w:t>
      </w:r>
    </w:p>
    <w:p w:rsidR="009501C4" w:rsidRDefault="009501C4" w:rsidP="009501C4">
      <w:pPr>
        <w:ind w:left="1422"/>
        <w:rPr>
          <w:rFonts w:ascii="Arial" w:hAnsi="Arial" w:cs="Arial"/>
        </w:rPr>
      </w:pPr>
      <w:r>
        <w:rPr>
          <w:rFonts w:ascii="Arial" w:hAnsi="Arial" w:cs="Arial"/>
        </w:rPr>
        <w:t>Commissioning Representative          Netcom</w:t>
      </w:r>
    </w:p>
    <w:p w:rsidR="009501C4" w:rsidRDefault="009501C4" w:rsidP="009501C4">
      <w:pPr>
        <w:ind w:left="1422"/>
        <w:rPr>
          <w:rFonts w:ascii="Arial" w:hAnsi="Arial" w:cs="Arial"/>
        </w:rPr>
      </w:pPr>
      <w:r>
        <w:rPr>
          <w:rFonts w:ascii="Arial" w:hAnsi="Arial" w:cs="Arial"/>
        </w:rPr>
        <w:t xml:space="preserve">Core Team </w:t>
      </w:r>
      <w:r>
        <w:rPr>
          <w:rFonts w:ascii="Arial" w:hAnsi="Arial" w:cs="Arial"/>
          <w:highlight w:val="yellow"/>
        </w:rPr>
        <w:t>(include all members)</w:t>
      </w:r>
    </w:p>
    <w:p w:rsidR="009501C4" w:rsidRDefault="009501C4" w:rsidP="009501C4">
      <w:pPr>
        <w:ind w:left="1422"/>
        <w:rPr>
          <w:rFonts w:ascii="Arial" w:hAnsi="Arial" w:cs="Arial"/>
        </w:rPr>
      </w:pPr>
      <w:r>
        <w:rPr>
          <w:rFonts w:ascii="Arial" w:hAnsi="Arial" w:cs="Arial"/>
        </w:rPr>
        <w:t xml:space="preserve">Engineering Services                          </w:t>
      </w:r>
    </w:p>
    <w:p w:rsidR="009501C4" w:rsidRDefault="009501C4" w:rsidP="009501C4">
      <w:pPr>
        <w:ind w:left="1422"/>
        <w:rPr>
          <w:rFonts w:ascii="Arial" w:hAnsi="Arial" w:cs="Arial"/>
        </w:rPr>
      </w:pPr>
      <w:r>
        <w:rPr>
          <w:rFonts w:ascii="Arial" w:hAnsi="Arial" w:cs="Arial"/>
        </w:rPr>
        <w:t>Environmental Health and Safety       Security Systems Shops</w:t>
      </w:r>
    </w:p>
    <w:p w:rsidR="009501C4" w:rsidRDefault="009501C4" w:rsidP="009501C4">
      <w:pPr>
        <w:ind w:left="1422"/>
        <w:rPr>
          <w:rFonts w:ascii="Arial" w:hAnsi="Arial" w:cs="Arial"/>
        </w:rPr>
      </w:pPr>
      <w:r>
        <w:rPr>
          <w:rFonts w:ascii="Arial" w:hAnsi="Arial" w:cs="Arial"/>
        </w:rPr>
        <w:t>University Architect</w:t>
      </w:r>
    </w:p>
    <w:p w:rsidR="009501C4" w:rsidRDefault="009501C4" w:rsidP="009501C4">
      <w:pPr>
        <w:ind w:left="1422"/>
        <w:rPr>
          <w:rFonts w:ascii="Arial" w:hAnsi="Arial" w:cs="Arial"/>
        </w:rPr>
      </w:pPr>
      <w:r>
        <w:rPr>
          <w:rFonts w:ascii="Arial" w:hAnsi="Arial" w:cs="Arial"/>
        </w:rPr>
        <w:t>FIMS                                                   Zone Maintenance</w:t>
      </w:r>
    </w:p>
    <w:p w:rsidR="009501C4" w:rsidRDefault="009501C4" w:rsidP="009501C4">
      <w:pPr>
        <w:rPr>
          <w:rFonts w:ascii="Arial" w:hAnsi="Arial" w:cs="Arial"/>
        </w:rPr>
      </w:pPr>
    </w:p>
    <w:p w:rsidR="009501C4" w:rsidRDefault="009501C4" w:rsidP="009501C4">
      <w:pPr>
        <w:rPr>
          <w:rFonts w:ascii="Arial" w:hAnsi="Arial" w:cs="Arial"/>
        </w:rPr>
      </w:pPr>
      <w:r>
        <w:rPr>
          <w:rFonts w:ascii="Arial" w:hAnsi="Arial" w:cs="Arial"/>
        </w:rPr>
        <w:t>Attach to this email one version of the “Drawing Review Form”.  Provide the location of the drawings and a date when comments are due.</w:t>
      </w:r>
    </w:p>
    <w:p w:rsidR="009501C4" w:rsidRDefault="009501C4" w:rsidP="009501C4">
      <w:pPr>
        <w:rPr>
          <w:rFonts w:ascii="Arial" w:hAnsi="Arial" w:cs="Arial"/>
        </w:rPr>
      </w:pPr>
    </w:p>
    <w:p w:rsidR="009501C4" w:rsidRDefault="009501C4" w:rsidP="009501C4">
      <w:pPr>
        <w:rPr>
          <w:rFonts w:ascii="Arial" w:hAnsi="Arial" w:cs="Arial"/>
          <w:b/>
          <w:bCs/>
        </w:rPr>
      </w:pPr>
      <w:r>
        <w:rPr>
          <w:rFonts w:ascii="Arial" w:hAnsi="Arial" w:cs="Arial"/>
          <w:b/>
          <w:bCs/>
        </w:rPr>
        <w:t xml:space="preserve">In addition: </w:t>
      </w:r>
    </w:p>
    <w:p w:rsidR="009501C4" w:rsidRDefault="009501C4" w:rsidP="009501C4">
      <w:pPr>
        <w:rPr>
          <w:rFonts w:ascii="Arial" w:hAnsi="Arial" w:cs="Arial"/>
        </w:rPr>
      </w:pPr>
      <w:r>
        <w:rPr>
          <w:rFonts w:ascii="Arial" w:hAnsi="Arial" w:cs="Arial"/>
        </w:rPr>
        <w:t>Involve Netcom at programming and schematic phase and every phase thereafter.</w:t>
      </w:r>
    </w:p>
    <w:p w:rsidR="009501C4" w:rsidRDefault="009501C4" w:rsidP="009501C4">
      <w:pPr>
        <w:rPr>
          <w:rFonts w:ascii="Arial" w:hAnsi="Arial" w:cs="Arial"/>
        </w:rPr>
      </w:pPr>
      <w:r>
        <w:rPr>
          <w:rFonts w:ascii="Arial" w:hAnsi="Arial" w:cs="Arial"/>
        </w:rPr>
        <w:br/>
      </w:r>
      <w:r>
        <w:rPr>
          <w:rFonts w:ascii="Arial" w:hAnsi="Arial" w:cs="Arial"/>
          <w:b/>
          <w:bCs/>
        </w:rPr>
        <w:t>Step Three – “Page Turn” Meeting</w:t>
      </w:r>
      <w:r>
        <w:rPr>
          <w:rFonts w:ascii="Arial" w:hAnsi="Arial" w:cs="Arial"/>
        </w:rPr>
        <w:t>– In addition to the above emails, it is beneficial to have a “page turn” drawing review meeting at each drawing phase. This includes the Architects and Engineers to explain the design concept. A member from all of the above groups should attend the portion of the presentation that addresses their particular discipline.  This is the last opportunity to compile internal drawing reviews.  If anyone is unable to attend at the time of the meeting, follow up with an email and include Meeting Minutes.  Request their comments based on minutes.</w:t>
      </w:r>
    </w:p>
    <w:p w:rsidR="009501C4" w:rsidRDefault="009501C4" w:rsidP="009501C4">
      <w:pPr>
        <w:rPr>
          <w:rFonts w:ascii="Arial" w:hAnsi="Arial" w:cs="Arial"/>
        </w:rPr>
      </w:pPr>
    </w:p>
    <w:p w:rsidR="009501C4" w:rsidRDefault="009501C4" w:rsidP="009501C4">
      <w:pPr>
        <w:rPr>
          <w:rFonts w:ascii="Arial" w:hAnsi="Arial" w:cs="Arial"/>
          <w:b/>
          <w:bCs/>
        </w:rPr>
      </w:pPr>
      <w:r>
        <w:rPr>
          <w:rFonts w:ascii="Arial" w:hAnsi="Arial" w:cs="Arial"/>
          <w:b/>
          <w:bCs/>
        </w:rPr>
        <w:t xml:space="preserve">Step Four – </w:t>
      </w:r>
    </w:p>
    <w:p w:rsidR="009501C4" w:rsidRDefault="009501C4" w:rsidP="009501C4">
      <w:pPr>
        <w:pStyle w:val="BodyText2"/>
      </w:pPr>
      <w:r>
        <w:t>Project Manger compiles all comments and forwards them to the Architect for incorporation or comment.  Follow up with individual members of the drawing review group for items not incorporated in the project.</w:t>
      </w:r>
    </w:p>
    <w:p w:rsidR="009501C4" w:rsidRDefault="009501C4" w:rsidP="009501C4">
      <w:pPr>
        <w:ind w:left="72"/>
        <w:rPr>
          <w:rFonts w:ascii="Arial" w:hAnsi="Arial" w:cs="Arial"/>
          <w:b/>
          <w:bCs/>
          <w:caps/>
        </w:rPr>
      </w:pPr>
    </w:p>
    <w:p w:rsidR="009501C4" w:rsidRDefault="009501C4" w:rsidP="009501C4">
      <w:pPr>
        <w:ind w:left="72"/>
        <w:rPr>
          <w:rFonts w:ascii="Arial" w:hAnsi="Arial" w:cs="Arial"/>
          <w:b/>
          <w:bCs/>
          <w:caps/>
        </w:rPr>
      </w:pPr>
    </w:p>
    <w:p w:rsidR="009501C4" w:rsidRDefault="009501C4" w:rsidP="009501C4">
      <w:pPr>
        <w:ind w:left="72"/>
        <w:rPr>
          <w:rFonts w:ascii="Arial" w:hAnsi="Arial" w:cs="Arial"/>
          <w:b/>
          <w:bCs/>
          <w:caps/>
        </w:rPr>
      </w:pPr>
    </w:p>
    <w:p w:rsidR="00A07EAF" w:rsidRPr="009501C4" w:rsidRDefault="009501C4" w:rsidP="009501C4">
      <w:pPr>
        <w:autoSpaceDE w:val="0"/>
        <w:autoSpaceDN w:val="0"/>
        <w:ind w:left="1152" w:hanging="1152"/>
        <w:rPr>
          <w:rFonts w:ascii="Arial" w:hAnsi="Arial" w:cs="Arial"/>
          <w:b/>
          <w:bCs/>
          <w:caps/>
        </w:rPr>
      </w:pPr>
      <w:r>
        <w:rPr>
          <w:rFonts w:ascii="Arial" w:hAnsi="Arial" w:cs="Arial"/>
          <w:b/>
          <w:bCs/>
          <w:caps/>
        </w:rPr>
        <w:t xml:space="preserve">NOTE:       </w:t>
      </w:r>
      <w:r>
        <w:rPr>
          <w:rFonts w:ascii="Arial" w:hAnsi="Arial" w:cs="Arial"/>
        </w:rPr>
        <w:t>All projects that do not have a mechanical designer of record must go to Manager of Engineering services (Chris Stripling) for his assessment of mechanical design requirements. This includes any project that touches a mechanical system or moves a wall. If Chris isn't here, go to Rob M. or Chris Fox.</w:t>
      </w:r>
    </w:p>
    <w:sectPr w:rsidR="00A07EAF" w:rsidRPr="009501C4" w:rsidSect="009501C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035BE"/>
    <w:multiLevelType w:val="hybridMultilevel"/>
    <w:tmpl w:val="150CB3AC"/>
    <w:lvl w:ilvl="0" w:tplc="5978E32C">
      <w:start w:val="1"/>
      <w:numFmt w:val="bullet"/>
      <w:lvlText w:val=""/>
      <w:lvlJc w:val="left"/>
      <w:pPr>
        <w:tabs>
          <w:tab w:val="num" w:pos="630"/>
        </w:tabs>
        <w:ind w:left="63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501C4"/>
    <w:rsid w:val="009501C4"/>
    <w:rsid w:val="00A07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C4"/>
    <w:pPr>
      <w:spacing w:after="0" w:line="240" w:lineRule="auto"/>
    </w:pPr>
    <w:rPr>
      <w:rFonts w:ascii="Calibri" w:hAnsi="Calibri" w:cs="Times New Roman"/>
    </w:rPr>
  </w:style>
  <w:style w:type="paragraph" w:styleId="Heading7">
    <w:name w:val="heading 7"/>
    <w:basedOn w:val="Normal"/>
    <w:link w:val="Heading7Char"/>
    <w:uiPriority w:val="9"/>
    <w:semiHidden/>
    <w:unhideWhenUsed/>
    <w:qFormat/>
    <w:rsid w:val="009501C4"/>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9501C4"/>
    <w:rPr>
      <w:rFonts w:ascii="Times New Roman" w:hAnsi="Times New Roman" w:cs="Times New Roman"/>
      <w:sz w:val="24"/>
      <w:szCs w:val="24"/>
    </w:rPr>
  </w:style>
  <w:style w:type="paragraph" w:styleId="BodyText2">
    <w:name w:val="Body Text 2"/>
    <w:basedOn w:val="Normal"/>
    <w:link w:val="BodyText2Char"/>
    <w:uiPriority w:val="99"/>
    <w:semiHidden/>
    <w:unhideWhenUsed/>
    <w:rsid w:val="009501C4"/>
    <w:rPr>
      <w:rFonts w:ascii="Arial" w:hAnsi="Arial" w:cs="Arial"/>
    </w:rPr>
  </w:style>
  <w:style w:type="character" w:customStyle="1" w:styleId="BodyText2Char">
    <w:name w:val="Body Text 2 Char"/>
    <w:basedOn w:val="DefaultParagraphFont"/>
    <w:link w:val="BodyText2"/>
    <w:uiPriority w:val="99"/>
    <w:semiHidden/>
    <w:rsid w:val="009501C4"/>
    <w:rPr>
      <w:rFonts w:ascii="Arial" w:hAnsi="Arial" w:cs="Arial"/>
    </w:rPr>
  </w:style>
</w:styles>
</file>

<file path=word/webSettings.xml><?xml version="1.0" encoding="utf-8"?>
<w:webSettings xmlns:r="http://schemas.openxmlformats.org/officeDocument/2006/relationships" xmlns:w="http://schemas.openxmlformats.org/wordprocessingml/2006/main">
  <w:divs>
    <w:div w:id="3273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1965</Characters>
  <Application>Microsoft Office Word</Application>
  <DocSecurity>0</DocSecurity>
  <Lines>16</Lines>
  <Paragraphs>4</Paragraphs>
  <ScaleCrop>false</ScaleCrop>
  <Company>Emory University</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sthweat</dc:creator>
  <cp:keywords/>
  <dc:description/>
  <cp:lastModifiedBy>sthweat</cp:lastModifiedBy>
  <cp:revision>2</cp:revision>
  <dcterms:created xsi:type="dcterms:W3CDTF">2009-01-03T14:23:00Z</dcterms:created>
  <dcterms:modified xsi:type="dcterms:W3CDTF">2009-01-03T14:23:00Z</dcterms:modified>
</cp:coreProperties>
</file>