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1620"/>
        <w:gridCol w:w="738"/>
        <w:gridCol w:w="8370"/>
      </w:tblGrid>
      <w:tr w:rsidR="00C17C78" w14:paraId="3A26F4FD" w14:textId="77777777" w:rsidTr="00C17C78">
        <w:trPr>
          <w:trHeight w:hRule="exact" w:val="1530"/>
        </w:trPr>
        <w:tc>
          <w:tcPr>
            <w:tcW w:w="1620" w:type="dxa"/>
            <w:tcBorders>
              <w:bottom w:val="single" w:sz="18" w:space="0" w:color="auto"/>
            </w:tcBorders>
          </w:tcPr>
          <w:p w14:paraId="27DCA646" w14:textId="77777777" w:rsidR="00C17C78" w:rsidRDefault="00C17C78" w:rsidP="00C17C78">
            <w:r w:rsidRPr="00227FA2">
              <w:rPr>
                <w:rFonts w:asciiTheme="minorHAnsi" w:hAnsiTheme="minorHAnsi" w:cstheme="minorHAnsi"/>
                <w:noProof/>
                <w:sz w:val="24"/>
              </w:rPr>
              <w:drawing>
                <wp:anchor distT="0" distB="0" distL="114300" distR="114300" simplePos="0" relativeHeight="251660288" behindDoc="0" locked="1" layoutInCell="1" allowOverlap="1" wp14:anchorId="436653EB" wp14:editId="29F90527">
                  <wp:simplePos x="0" y="0"/>
                  <wp:positionH relativeFrom="page">
                    <wp:posOffset>22860</wp:posOffset>
                  </wp:positionH>
                  <wp:positionV relativeFrom="page">
                    <wp:posOffset>147320</wp:posOffset>
                  </wp:positionV>
                  <wp:extent cx="895985" cy="6667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95985" cy="666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9108" w:type="dxa"/>
            <w:gridSpan w:val="2"/>
            <w:tcBorders>
              <w:bottom w:val="single" w:sz="18" w:space="0" w:color="auto"/>
            </w:tcBorders>
          </w:tcPr>
          <w:p w14:paraId="56E3977B" w14:textId="77777777" w:rsidR="00C17C78" w:rsidRPr="00227FA2" w:rsidRDefault="00C17C78" w:rsidP="00C17C78">
            <w:pPr>
              <w:pStyle w:val="Heading1"/>
              <w:tabs>
                <w:tab w:val="left" w:pos="5520"/>
              </w:tabs>
              <w:spacing w:before="60"/>
              <w:rPr>
                <w:rFonts w:asciiTheme="minorHAnsi" w:hAnsiTheme="minorHAnsi" w:cstheme="minorHAnsi"/>
                <w:b/>
                <w:bCs/>
                <w:sz w:val="24"/>
              </w:rPr>
            </w:pPr>
            <w:r w:rsidRPr="00227FA2">
              <w:rPr>
                <w:rFonts w:asciiTheme="minorHAnsi" w:hAnsiTheme="minorHAnsi" w:cstheme="minorHAnsi"/>
                <w:sz w:val="24"/>
              </w:rPr>
              <w:t>STATE OF COLORADO</w:t>
            </w:r>
          </w:p>
          <w:p w14:paraId="74373188" w14:textId="77777777" w:rsidR="00C17C78" w:rsidRPr="00227FA2" w:rsidRDefault="00C17C78" w:rsidP="00C17C78">
            <w:pPr>
              <w:pStyle w:val="Heading2"/>
              <w:rPr>
                <w:rFonts w:asciiTheme="minorHAnsi" w:hAnsiTheme="minorHAnsi" w:cstheme="minorHAnsi"/>
              </w:rPr>
            </w:pPr>
            <w:r w:rsidRPr="00227FA2">
              <w:rPr>
                <w:rFonts w:asciiTheme="minorHAnsi" w:hAnsiTheme="minorHAnsi" w:cstheme="minorHAnsi"/>
              </w:rPr>
              <w:t>OFFICE OF THE STATE ARCHITECT</w:t>
            </w:r>
          </w:p>
          <w:p w14:paraId="0474252C" w14:textId="77777777" w:rsidR="00C17C78" w:rsidRPr="00227FA2" w:rsidRDefault="00C17C78" w:rsidP="00C17C78">
            <w:pPr>
              <w:rPr>
                <w:rFonts w:asciiTheme="minorHAnsi" w:hAnsiTheme="minorHAnsi" w:cstheme="minorHAnsi"/>
                <w:sz w:val="24"/>
                <w:szCs w:val="28"/>
              </w:rPr>
            </w:pPr>
            <w:r w:rsidRPr="00227FA2">
              <w:rPr>
                <w:rFonts w:asciiTheme="minorHAnsi" w:hAnsiTheme="minorHAnsi" w:cstheme="minorHAnsi"/>
                <w:sz w:val="24"/>
                <w:szCs w:val="28"/>
              </w:rPr>
              <w:t>STATE BUILDINGS PROGRAMS</w:t>
            </w:r>
          </w:p>
          <w:p w14:paraId="76C2B8B6" w14:textId="77777777" w:rsidR="00C17C78" w:rsidRPr="00227FA2" w:rsidRDefault="00C17C78" w:rsidP="00C17C78">
            <w:pPr>
              <w:rPr>
                <w:rFonts w:asciiTheme="minorHAnsi" w:hAnsiTheme="minorHAnsi" w:cstheme="minorHAnsi"/>
              </w:rPr>
            </w:pPr>
          </w:p>
          <w:p w14:paraId="27351302" w14:textId="77777777" w:rsidR="00C17C78" w:rsidRDefault="00C17C78" w:rsidP="00C17C78">
            <w:pPr>
              <w:pStyle w:val="Heading1"/>
              <w:rPr>
                <w:i/>
                <w:iCs/>
              </w:rPr>
            </w:pPr>
            <w:r w:rsidRPr="00B63743">
              <w:rPr>
                <w:sz w:val="24"/>
              </w:rPr>
              <w:t>INFORMATION FOR BIDDERS</w:t>
            </w:r>
          </w:p>
        </w:tc>
      </w:tr>
      <w:tr w:rsidR="00C17C78" w14:paraId="3C4604ED" w14:textId="77777777">
        <w:trPr>
          <w:trHeight w:val="285"/>
        </w:trPr>
        <w:tc>
          <w:tcPr>
            <w:tcW w:w="2358" w:type="dxa"/>
            <w:gridSpan w:val="2"/>
            <w:tcBorders>
              <w:top w:val="single" w:sz="18" w:space="0" w:color="auto"/>
            </w:tcBorders>
            <w:vAlign w:val="bottom"/>
          </w:tcPr>
          <w:p w14:paraId="03916FC5" w14:textId="77777777" w:rsidR="00C17C78" w:rsidRDefault="00C17C78" w:rsidP="00C17C78">
            <w:pPr>
              <w:rPr>
                <w:sz w:val="22"/>
              </w:rPr>
            </w:pPr>
            <w:r>
              <w:rPr>
                <w:sz w:val="22"/>
              </w:rPr>
              <w:t>Institution or Agency:</w:t>
            </w:r>
          </w:p>
        </w:tc>
        <w:tc>
          <w:tcPr>
            <w:tcW w:w="8370" w:type="dxa"/>
            <w:tcBorders>
              <w:top w:val="single" w:sz="18" w:space="0" w:color="auto"/>
              <w:bottom w:val="single" w:sz="4" w:space="0" w:color="auto"/>
            </w:tcBorders>
            <w:vAlign w:val="bottom"/>
          </w:tcPr>
          <w:p w14:paraId="7D799495" w14:textId="01AE5AED" w:rsidR="00C17C78" w:rsidRDefault="00490B91" w:rsidP="00C17C78">
            <w:pPr>
              <w:pStyle w:val="Heading1"/>
              <w:rPr>
                <w:rFonts w:cs="Arial"/>
                <w:noProof/>
                <w:sz w:val="22"/>
              </w:rPr>
            </w:pPr>
            <w:r>
              <w:rPr>
                <w:rFonts w:cs="Arial"/>
                <w:noProof/>
                <w:sz w:val="22"/>
              </w:rPr>
              <w:t>University of Colorado Boulder</w:t>
            </w:r>
          </w:p>
        </w:tc>
      </w:tr>
      <w:tr w:rsidR="00C17C78" w14:paraId="7A67F8BE" w14:textId="77777777">
        <w:trPr>
          <w:trHeight w:val="285"/>
        </w:trPr>
        <w:tc>
          <w:tcPr>
            <w:tcW w:w="2358" w:type="dxa"/>
            <w:gridSpan w:val="2"/>
            <w:vAlign w:val="bottom"/>
          </w:tcPr>
          <w:p w14:paraId="6537C80B" w14:textId="77777777" w:rsidR="00C17C78" w:rsidRDefault="00C17C78" w:rsidP="00C17C78">
            <w:pPr>
              <w:rPr>
                <w:sz w:val="22"/>
              </w:rPr>
            </w:pPr>
            <w:r>
              <w:rPr>
                <w:sz w:val="22"/>
              </w:rPr>
              <w:t>Project No./Name:</w:t>
            </w:r>
          </w:p>
        </w:tc>
        <w:tc>
          <w:tcPr>
            <w:tcW w:w="8370" w:type="dxa"/>
            <w:tcBorders>
              <w:top w:val="single" w:sz="4" w:space="0" w:color="auto"/>
              <w:bottom w:val="single" w:sz="4" w:space="0" w:color="auto"/>
            </w:tcBorders>
            <w:vAlign w:val="bottom"/>
          </w:tcPr>
          <w:p w14:paraId="280246EF" w14:textId="77777777" w:rsidR="00C17C78" w:rsidRDefault="00C17C78" w:rsidP="00C17C78">
            <w:pPr>
              <w:pStyle w:val="Heading1"/>
              <w:rPr>
                <w:rFonts w:cs="Arial"/>
                <w:noProof/>
                <w:sz w:val="22"/>
              </w:rPr>
            </w:pPr>
            <w:r>
              <w:rPr>
                <w:rFonts w:cs="Arial"/>
                <w:noProof/>
                <w:sz w:val="22"/>
              </w:rPr>
              <w:fldChar w:fldCharType="begin">
                <w:ffData>
                  <w:name w:val="Text5"/>
                  <w:enabled/>
                  <w:calcOnExit w:val="0"/>
                  <w:textInput/>
                </w:ffData>
              </w:fldChar>
            </w:r>
            <w:bookmarkStart w:id="0" w:name="Text5"/>
            <w:r>
              <w:rPr>
                <w:rFonts w:cs="Arial"/>
                <w:noProof/>
                <w:sz w:val="22"/>
              </w:rPr>
              <w:instrText xml:space="preserve"> FORMTEXT </w:instrText>
            </w:r>
            <w:r>
              <w:rPr>
                <w:rFonts w:cs="Arial"/>
                <w:noProof/>
                <w:sz w:val="22"/>
              </w:rPr>
            </w:r>
            <w:r>
              <w:rPr>
                <w:rFonts w:cs="Arial"/>
                <w:noProof/>
                <w:sz w:val="22"/>
              </w:rPr>
              <w:fldChar w:fldCharType="separate"/>
            </w:r>
            <w:bookmarkStart w:id="1" w:name="_GoBack"/>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bookmarkEnd w:id="1"/>
            <w:r>
              <w:rPr>
                <w:rFonts w:cs="Arial"/>
                <w:noProof/>
                <w:sz w:val="22"/>
              </w:rPr>
              <w:fldChar w:fldCharType="end"/>
            </w:r>
            <w:bookmarkEnd w:id="0"/>
          </w:p>
        </w:tc>
      </w:tr>
      <w:tr w:rsidR="00C17C78" w14:paraId="5C9B108B" w14:textId="77777777">
        <w:trPr>
          <w:trHeight w:val="285"/>
        </w:trPr>
        <w:tc>
          <w:tcPr>
            <w:tcW w:w="2358" w:type="dxa"/>
            <w:gridSpan w:val="2"/>
            <w:tcBorders>
              <w:bottom w:val="single" w:sz="18" w:space="0" w:color="auto"/>
            </w:tcBorders>
            <w:vAlign w:val="bottom"/>
          </w:tcPr>
          <w:p w14:paraId="01BE7A87" w14:textId="77777777" w:rsidR="00C17C78" w:rsidRDefault="00C17C78" w:rsidP="00C17C78">
            <w:pPr>
              <w:rPr>
                <w:sz w:val="16"/>
              </w:rPr>
            </w:pPr>
          </w:p>
        </w:tc>
        <w:tc>
          <w:tcPr>
            <w:tcW w:w="8370" w:type="dxa"/>
            <w:tcBorders>
              <w:top w:val="single" w:sz="4" w:space="0" w:color="auto"/>
              <w:bottom w:val="single" w:sz="18" w:space="0" w:color="auto"/>
            </w:tcBorders>
            <w:vAlign w:val="bottom"/>
          </w:tcPr>
          <w:p w14:paraId="036F36EF" w14:textId="77777777" w:rsidR="00C17C78" w:rsidRDefault="00C17C78" w:rsidP="00C17C78">
            <w:pPr>
              <w:pStyle w:val="Heading1"/>
              <w:rPr>
                <w:rFonts w:cs="Arial"/>
                <w:noProof/>
                <w:sz w:val="16"/>
              </w:rPr>
            </w:pPr>
          </w:p>
        </w:tc>
      </w:tr>
    </w:tbl>
    <w:p w14:paraId="43D68B4A" w14:textId="77777777" w:rsidR="00935A0A" w:rsidRDefault="00935A0A">
      <w:pPr>
        <w:rPr>
          <w:b/>
          <w:bCs/>
        </w:rPr>
      </w:pPr>
    </w:p>
    <w:p w14:paraId="5C78EA4B" w14:textId="18E2EE12" w:rsidR="00935A0A" w:rsidRDefault="001C4D52" w:rsidP="00490B91">
      <w:pPr>
        <w:ind w:left="720" w:hanging="720"/>
        <w:jc w:val="both"/>
      </w:pPr>
      <w:r>
        <w:t>1</w:t>
      </w:r>
      <w:r w:rsidR="00935A0A">
        <w:t>.</w:t>
      </w:r>
      <w:r w:rsidR="00935A0A">
        <w:tab/>
      </w:r>
      <w:r w:rsidR="00935A0A">
        <w:rPr>
          <w:b/>
          <w:bCs/>
        </w:rPr>
        <w:t>BID FORM:</w:t>
      </w:r>
      <w:r w:rsidR="00935A0A">
        <w:t xml:space="preserve">  Bidders are required to use the Bid form attached to the bidding documents.  Each bidder is required to bid on all alternates and indicate the time </w:t>
      </w:r>
      <w:r w:rsidR="00CD2140">
        <w:t xml:space="preserve">from the </w:t>
      </w:r>
      <w:r w:rsidR="00AB346E">
        <w:t xml:space="preserve">date of the </w:t>
      </w:r>
      <w:r w:rsidR="00CD2140">
        <w:t xml:space="preserve">Notice </w:t>
      </w:r>
      <w:r w:rsidR="00935A0A">
        <w:t xml:space="preserve">to </w:t>
      </w:r>
      <w:r w:rsidR="00CD2140">
        <w:t xml:space="preserve">Proceed to </w:t>
      </w:r>
      <w:r w:rsidR="00602B89">
        <w:t>Substantial C</w:t>
      </w:r>
      <w:r w:rsidR="00935A0A">
        <w:t xml:space="preserve">ompletion in calendar days, and </w:t>
      </w:r>
      <w:r w:rsidR="00CD2140">
        <w:t>in addition</w:t>
      </w:r>
      <w:r w:rsidR="00935A0A">
        <w:t xml:space="preserve">, the bidder is required to indicate the period of time to finally complete the project </w:t>
      </w:r>
      <w:r w:rsidR="00CD2140">
        <w:t>from</w:t>
      </w:r>
      <w:r w:rsidR="00935A0A">
        <w:t xml:space="preserve"> </w:t>
      </w:r>
      <w:r w:rsidR="00602B89">
        <w:t>Substantial C</w:t>
      </w:r>
      <w:r w:rsidR="00935A0A">
        <w:t>ompletion</w:t>
      </w:r>
      <w:r w:rsidR="00CD2140">
        <w:t xml:space="preserve"> to Final Acceptance</w:t>
      </w:r>
      <w:r w:rsidR="00935A0A">
        <w:t xml:space="preserve">, also in calendar days.  Bids indicating times for </w:t>
      </w:r>
      <w:r w:rsidR="000256A1">
        <w:t>S</w:t>
      </w:r>
      <w:r w:rsidR="00935A0A">
        <w:t xml:space="preserve">ubstantial </w:t>
      </w:r>
      <w:r w:rsidR="000256A1">
        <w:t>C</w:t>
      </w:r>
      <w:r w:rsidR="00935A0A">
        <w:t xml:space="preserve">ompletion </w:t>
      </w:r>
      <w:r w:rsidR="00A3030D">
        <w:t>and</w:t>
      </w:r>
      <w:r w:rsidR="00935A0A">
        <w:t xml:space="preserve"> </w:t>
      </w:r>
      <w:r w:rsidR="000256A1">
        <w:t>F</w:t>
      </w:r>
      <w:r w:rsidR="00935A0A">
        <w:t xml:space="preserve">inal </w:t>
      </w:r>
      <w:r w:rsidR="000256A1">
        <w:t>A</w:t>
      </w:r>
      <w:r w:rsidR="00935A0A">
        <w:t xml:space="preserve">cceptance in excess of the number of days indicated in the Advertisement for Bids </w:t>
      </w:r>
      <w:r w:rsidR="00A3030D">
        <w:t xml:space="preserve">for completion of the entire </w:t>
      </w:r>
      <w:r w:rsidR="000256A1">
        <w:t>P</w:t>
      </w:r>
      <w:r w:rsidR="00A3030D">
        <w:t xml:space="preserve">roject </w:t>
      </w:r>
      <w:r w:rsidR="00935A0A">
        <w:t>may be found non-responsive and may be rejected. The bid shall not be modified or conditioned in any manner.  Bids</w:t>
      </w:r>
      <w:r w:rsidR="000967C1">
        <w:t xml:space="preserve"> and applicable bid security</w:t>
      </w:r>
      <w:r w:rsidR="00935A0A">
        <w:t xml:space="preserve"> shall be submitted </w:t>
      </w:r>
      <w:r w:rsidR="0023432B">
        <w:t xml:space="preserve">according </w:t>
      </w:r>
      <w:r w:rsidR="00935A0A">
        <w:t>to the fol</w:t>
      </w:r>
      <w:r w:rsidR="0023432B">
        <w:t>lowing instructions</w:t>
      </w:r>
      <w:r w:rsidR="00935A0A">
        <w:t>:</w:t>
      </w:r>
    </w:p>
    <w:p w14:paraId="7EF92A34" w14:textId="77777777" w:rsidR="00490B91" w:rsidRDefault="00490B91" w:rsidP="00490B91">
      <w:pPr>
        <w:ind w:left="720" w:hanging="720"/>
        <w:jc w:val="both"/>
      </w:pPr>
    </w:p>
    <w:p w14:paraId="5887E1FF" w14:textId="509F5233" w:rsidR="00490B91" w:rsidRDefault="00490B91" w:rsidP="00490B91">
      <w:pPr>
        <w:ind w:left="720"/>
      </w:pPr>
      <w:r w:rsidRPr="00A148CF">
        <w:rPr>
          <w:highlight w:val="yellow"/>
        </w:rPr>
        <w:t>All</w:t>
      </w:r>
      <w:r>
        <w:rPr>
          <w:highlight w:val="yellow"/>
        </w:rPr>
        <w:t xml:space="preserve"> question, answers, and</w:t>
      </w:r>
      <w:r w:rsidRPr="00A148CF">
        <w:rPr>
          <w:highlight w:val="yellow"/>
        </w:rPr>
        <w:t xml:space="preserve"> bids to be submitted via Bidnet at</w:t>
      </w:r>
      <w:r>
        <w:t>:</w:t>
      </w:r>
      <w:r w:rsidRPr="00A148CF">
        <w:t xml:space="preserve"> </w:t>
      </w:r>
      <w:r>
        <w:br/>
      </w:r>
      <w:hyperlink r:id="rId8" w:history="1">
        <w:r w:rsidRPr="0016557A">
          <w:rPr>
            <w:rStyle w:val="Hyperlink"/>
          </w:rPr>
          <w:t>https://www.bidnetdirect.com/colorado/universityofcoloradodesignandconstruction</w:t>
        </w:r>
      </w:hyperlink>
    </w:p>
    <w:p w14:paraId="3E4AFFDB" w14:textId="77777777" w:rsidR="00935A0A" w:rsidRDefault="00935A0A">
      <w:pPr>
        <w:jc w:val="both"/>
      </w:pPr>
    </w:p>
    <w:p w14:paraId="5E464362" w14:textId="77777777" w:rsidR="00935A0A" w:rsidRDefault="001C4D52">
      <w:pPr>
        <w:ind w:left="720" w:hanging="720"/>
        <w:jc w:val="both"/>
      </w:pPr>
      <w:r>
        <w:t>2</w:t>
      </w:r>
      <w:r w:rsidR="00935A0A">
        <w:t>.</w:t>
      </w:r>
      <w:r w:rsidR="00935A0A">
        <w:tab/>
      </w:r>
      <w:r w:rsidR="00935A0A">
        <w:rPr>
          <w:b/>
          <w:bCs/>
        </w:rPr>
        <w:t>INCONSISTENCIES AND OMISSIONS:</w:t>
      </w:r>
      <w:r w:rsidR="00935A0A">
        <w:t xml:space="preserve"> Bidders may request clarification of any seeming inconsistencies, or matters seeming to require explanation, in the bidding documents at least three (3) business days prior to the time set for the opening of Bids.  Decisions of major importance on such matters will be issued in the form of addendum.  </w:t>
      </w:r>
    </w:p>
    <w:p w14:paraId="4893E3BD" w14:textId="77777777" w:rsidR="00935A0A" w:rsidRDefault="00935A0A">
      <w:pPr>
        <w:jc w:val="both"/>
      </w:pPr>
    </w:p>
    <w:p w14:paraId="6C949B08" w14:textId="77777777" w:rsidR="00935A0A" w:rsidRDefault="00935A0A" w:rsidP="001C4D52">
      <w:pPr>
        <w:numPr>
          <w:ilvl w:val="0"/>
          <w:numId w:val="2"/>
        </w:numPr>
        <w:tabs>
          <w:tab w:val="clear" w:pos="360"/>
          <w:tab w:val="num" w:pos="720"/>
        </w:tabs>
        <w:ind w:left="720" w:hanging="720"/>
        <w:jc w:val="both"/>
      </w:pPr>
      <w:r>
        <w:rPr>
          <w:b/>
          <w:bCs/>
        </w:rPr>
        <w:t>APPLICABLE LAWS AND REGULATIONS:</w:t>
      </w:r>
      <w:r>
        <w:t xml:space="preserve"> The bidder’s attention is called to the fact that all work under this Contract shall comply with the provisions of all state and local laws, approved state building codes, ordinances and regulations which might in any manner affect the work to be done or those to be employed in or about the work.  </w:t>
      </w:r>
      <w:r w:rsidR="00666E28">
        <w:t>L</w:t>
      </w:r>
      <w:r>
        <w:t>abor for work shall be governed by the provisions of Colorado law which are hereinafter set forth in Articles 27 and 52 of the</w:t>
      </w:r>
      <w:r w:rsidR="00F1635C">
        <w:t xml:space="preserve"> General Conditions</w:t>
      </w:r>
      <w:r>
        <w:t>.</w:t>
      </w:r>
      <w:r w:rsidR="004E2FF0">
        <w:t xml:space="preserve"> This includes the requirements for apprenticeship and prevailing wage on Public Projects.</w:t>
      </w:r>
      <w:r w:rsidR="00CA58F1">
        <w:t xml:space="preserve">  The bidder</w:t>
      </w:r>
      <w:r w:rsidR="00666E28">
        <w:t xml:space="preserve"> should be aware</w:t>
      </w:r>
      <w:r w:rsidR="00CA58F1">
        <w:t xml:space="preserve"> that reporting of embodied carbon emissions of eligible materials shall be governed by the provisions of Colorado State Law.  This includes the requirements for Environmental Product Declarations (EPDs) that meet the maximum acceptable Global Warming Potential (GWP) limits as established by the Office of the State Architect.</w:t>
      </w:r>
    </w:p>
    <w:p w14:paraId="1C0C65CA" w14:textId="77777777" w:rsidR="00935A0A" w:rsidRDefault="00935A0A" w:rsidP="00C17C78">
      <w:pPr>
        <w:jc w:val="both"/>
      </w:pPr>
    </w:p>
    <w:p w14:paraId="22A9AECE" w14:textId="77777777" w:rsidR="00B15338" w:rsidRDefault="004E2FF0" w:rsidP="00B15338">
      <w:pPr>
        <w:pStyle w:val="ListParagraph"/>
        <w:numPr>
          <w:ilvl w:val="0"/>
          <w:numId w:val="2"/>
        </w:numPr>
        <w:tabs>
          <w:tab w:val="clear" w:pos="360"/>
          <w:tab w:val="num" w:pos="720"/>
        </w:tabs>
        <w:ind w:left="720" w:hanging="720"/>
        <w:jc w:val="both"/>
      </w:pPr>
      <w:r w:rsidRPr="004E2FF0">
        <w:rPr>
          <w:b/>
        </w:rPr>
        <w:t>BID SECURITY</w:t>
      </w:r>
      <w:r>
        <w:t xml:space="preserve">: </w:t>
      </w:r>
      <w:r w:rsidR="00B15338">
        <w:t>A bid security</w:t>
      </w:r>
      <w:r>
        <w:t xml:space="preserve"> of not less than 5% of the bid price is </w:t>
      </w:r>
      <w:r w:rsidR="00B15338">
        <w:t xml:space="preserve">required when the price is estimated to be $50,000 or more. The security shall be a bond by a surety company, the </w:t>
      </w:r>
      <w:r>
        <w:t>equivalent</w:t>
      </w:r>
      <w:r w:rsidR="00B15338">
        <w:t xml:space="preserve"> in cash, or otherwise supplied in a form satisfactory for the State. </w:t>
      </w:r>
      <w:r>
        <w:t>Noncompliance requires the bid to be rejected as nonresponsive.</w:t>
      </w:r>
    </w:p>
    <w:p w14:paraId="62A3E60E" w14:textId="77777777" w:rsidR="004E2FF0" w:rsidRDefault="004E2FF0" w:rsidP="000967C1">
      <w:pPr>
        <w:pStyle w:val="ListParagraph"/>
        <w:jc w:val="both"/>
      </w:pPr>
    </w:p>
    <w:p w14:paraId="44BDA364" w14:textId="77777777" w:rsidR="00935A0A" w:rsidRDefault="00935A0A" w:rsidP="001C4D52">
      <w:pPr>
        <w:numPr>
          <w:ilvl w:val="0"/>
          <w:numId w:val="2"/>
        </w:numPr>
        <w:tabs>
          <w:tab w:val="clear" w:pos="360"/>
          <w:tab w:val="num" w:pos="720"/>
        </w:tabs>
        <w:ind w:left="720" w:hanging="720"/>
        <w:jc w:val="both"/>
      </w:pPr>
      <w:r>
        <w:rPr>
          <w:b/>
          <w:bCs/>
        </w:rPr>
        <w:t>TAXES:</w:t>
      </w:r>
      <w:r>
        <w:t xml:space="preserve"> The bidder’s attention is called to the fact that the Bid submitted shall exclude all applicable federal excise or manufacturers’ taxes and all state sales and use taxes as hereinafter set forth in Article 9</w:t>
      </w:r>
      <w:r w:rsidR="00FE20A9">
        <w:t>.3</w:t>
      </w:r>
      <w:r>
        <w:t xml:space="preserve"> of the GENERAL CONDITIONS.</w:t>
      </w:r>
    </w:p>
    <w:p w14:paraId="3A321A48" w14:textId="77777777" w:rsidR="00935A0A" w:rsidRDefault="00935A0A" w:rsidP="001C4D52">
      <w:pPr>
        <w:tabs>
          <w:tab w:val="num" w:pos="720"/>
        </w:tabs>
        <w:ind w:left="720"/>
        <w:jc w:val="both"/>
      </w:pPr>
    </w:p>
    <w:p w14:paraId="2F2705AA" w14:textId="77777777" w:rsidR="00935A0A" w:rsidRDefault="00935A0A" w:rsidP="001C4D52">
      <w:pPr>
        <w:numPr>
          <w:ilvl w:val="0"/>
          <w:numId w:val="2"/>
        </w:numPr>
        <w:tabs>
          <w:tab w:val="clear" w:pos="360"/>
          <w:tab w:val="num" w:pos="720"/>
        </w:tabs>
        <w:ind w:left="720" w:hanging="720"/>
        <w:jc w:val="both"/>
      </w:pPr>
      <w:r>
        <w:rPr>
          <w:b/>
          <w:bCs/>
        </w:rPr>
        <w:t>OR EQUAL:</w:t>
      </w:r>
      <w:r>
        <w:t xml:space="preserve"> The words “OR EQUAL” are applicable to all specifications and drawings relating to materials or equipment specified.  Any material or equipment that will fully perform the duties specified, will be considered “equal”, provided the bid submits proof that such material or equipment is of equivalent substance and function and is approved, in writing.  Requests for the approval of “or equal” shall be made in writing at least five (5) business days prior to bid opening.  During the bidding period, all approvals shall be issued by the Architect/Engineer in the form of addenda at least two (2) business days prior to the bid opening date.</w:t>
      </w:r>
    </w:p>
    <w:p w14:paraId="07110581" w14:textId="77777777" w:rsidR="00935A0A" w:rsidRDefault="00935A0A" w:rsidP="001C4D52">
      <w:pPr>
        <w:tabs>
          <w:tab w:val="num" w:pos="720"/>
        </w:tabs>
        <w:ind w:left="720"/>
        <w:jc w:val="both"/>
      </w:pPr>
    </w:p>
    <w:p w14:paraId="330CE8ED" w14:textId="1C3FC9A6" w:rsidR="00935A0A" w:rsidRDefault="00935A0A" w:rsidP="001C4D52">
      <w:pPr>
        <w:numPr>
          <w:ilvl w:val="0"/>
          <w:numId w:val="2"/>
        </w:numPr>
        <w:tabs>
          <w:tab w:val="clear" w:pos="360"/>
          <w:tab w:val="num" w:pos="720"/>
        </w:tabs>
        <w:ind w:left="720" w:hanging="720"/>
        <w:jc w:val="both"/>
      </w:pPr>
      <w:r>
        <w:rPr>
          <w:b/>
          <w:bCs/>
        </w:rPr>
        <w:t>ADDENDA</w:t>
      </w:r>
      <w:r>
        <w:t>: Owner/</w:t>
      </w:r>
      <w:r w:rsidR="00490B91">
        <w:t>architect-initiated</w:t>
      </w:r>
      <w:r>
        <w:t xml:space="preserve"> addenda shall not be issued later than two (2) business days prior to bid opening date.  All addenda shall become part of the Contract Documents and receipt must be acknowledged on the Bid form.</w:t>
      </w:r>
    </w:p>
    <w:p w14:paraId="11509561" w14:textId="77777777" w:rsidR="00935A0A" w:rsidRDefault="00935A0A" w:rsidP="001C4D52">
      <w:pPr>
        <w:tabs>
          <w:tab w:val="num" w:pos="720"/>
        </w:tabs>
        <w:ind w:left="720"/>
        <w:jc w:val="both"/>
      </w:pPr>
    </w:p>
    <w:p w14:paraId="5B7F7670" w14:textId="77777777" w:rsidR="00935A0A" w:rsidRDefault="00935A0A" w:rsidP="001C4D52">
      <w:pPr>
        <w:numPr>
          <w:ilvl w:val="0"/>
          <w:numId w:val="2"/>
        </w:numPr>
        <w:tabs>
          <w:tab w:val="clear" w:pos="360"/>
          <w:tab w:val="num" w:pos="720"/>
        </w:tabs>
        <w:ind w:left="720" w:hanging="720"/>
        <w:jc w:val="both"/>
      </w:pPr>
      <w:r>
        <w:rPr>
          <w:b/>
          <w:bCs/>
        </w:rPr>
        <w:t>METHOD OF AWARD - LOWEST RESPONSIBLE BIDDER:</w:t>
      </w:r>
      <w:r>
        <w:t xml:space="preserve"> If the bidding documents for this pro</w:t>
      </w:r>
      <w:r w:rsidR="00B24970">
        <w:t xml:space="preserve">ject require alternate prices, </w:t>
      </w:r>
      <w:r>
        <w:t>additive and/or deductible alternates shall be listed on the alternates bid form provided by the Principal Representative.  Bidders should note the Method of Award is applicable to this Bid as stated below.</w:t>
      </w:r>
    </w:p>
    <w:p w14:paraId="43EF9C7A" w14:textId="77777777" w:rsidR="00935A0A" w:rsidRDefault="00935A0A">
      <w:pPr>
        <w:jc w:val="both"/>
      </w:pPr>
    </w:p>
    <w:p w14:paraId="5A52BC7A" w14:textId="492304A8" w:rsidR="00935A0A" w:rsidRDefault="00935A0A">
      <w:pPr>
        <w:ind w:left="1170" w:hanging="450"/>
        <w:jc w:val="both"/>
      </w:pPr>
      <w:r>
        <w:t>A.</w:t>
      </w:r>
      <w:r>
        <w:tab/>
      </w:r>
      <w:r>
        <w:rPr>
          <w:b/>
          <w:bCs/>
        </w:rPr>
        <w:t>DEDUCTIBLE ALTERNATES:</w:t>
      </w:r>
      <w:r>
        <w:t xml:space="preserve"> The lowest responsible Bid, taking into account the Colorado resident bidder preference provision of Colorado law, will be determined by and the contract will be awarded on the base bid combined with deductible alternates, deducted in numerical order in which they are listed in the alternates bid form provided by the Principal Representative.  The subtraction of alternates shall result in a sum total within available funds.  If this bid exceeds such amount, the right is reserved to reject all bids.  An equal number of alternates shall be subtracted from the base bid of each bidder within funds available for </w:t>
      </w:r>
      <w:r w:rsidR="00490B91">
        <w:t>the purpose</w:t>
      </w:r>
      <w:r>
        <w:t xml:space="preserve"> of determining the lowest responsible bidder.</w:t>
      </w:r>
    </w:p>
    <w:p w14:paraId="33156B17" w14:textId="77777777" w:rsidR="00935A0A" w:rsidRDefault="00935A0A">
      <w:pPr>
        <w:jc w:val="both"/>
      </w:pPr>
    </w:p>
    <w:p w14:paraId="57BA11DE" w14:textId="6753D1AB" w:rsidR="00935A0A" w:rsidRDefault="00935A0A">
      <w:pPr>
        <w:ind w:left="1170" w:hanging="450"/>
        <w:jc w:val="both"/>
      </w:pPr>
      <w:r>
        <w:t>B.</w:t>
      </w:r>
      <w:r>
        <w:tab/>
      </w:r>
      <w:r>
        <w:rPr>
          <w:b/>
          <w:bCs/>
        </w:rPr>
        <w:t>ADDITIVE ALTERNATES:</w:t>
      </w:r>
      <w:r>
        <w:t xml:space="preserve"> The lowest responsible Bid, taking into account the Colorado resident bidder preference provision of Colorado law, will be determined by and the contract will be awarded on the base bid plus all additive alternates added in the numerical order in which they are listed in the alternates bid form provided by the Principal Representative.   The addition of alternates shall result in a sum total within available funds.  If this bid exceeds such amount, the right is reserved to reject all bids.  An equal number of alternates shall be added to the base bid of each bidder within funds available for </w:t>
      </w:r>
      <w:r w:rsidR="00490B91">
        <w:t>the purpose</w:t>
      </w:r>
      <w:r>
        <w:t xml:space="preserve"> of determining the lowest responsible bidder.</w:t>
      </w:r>
    </w:p>
    <w:p w14:paraId="184C5A8D" w14:textId="77777777" w:rsidR="00935A0A" w:rsidRDefault="00935A0A">
      <w:pPr>
        <w:ind w:left="1170" w:hanging="450"/>
        <w:jc w:val="both"/>
      </w:pPr>
    </w:p>
    <w:p w14:paraId="443A9216" w14:textId="6CCDB080" w:rsidR="00935A0A" w:rsidRDefault="00935A0A" w:rsidP="00B24970">
      <w:pPr>
        <w:numPr>
          <w:ilvl w:val="0"/>
          <w:numId w:val="5"/>
        </w:numPr>
        <w:jc w:val="both"/>
      </w:pPr>
      <w:r>
        <w:rPr>
          <w:b/>
          <w:bCs/>
        </w:rPr>
        <w:t>DEDUCTIBLE AND ADDITIVE ALTERNATES:</w:t>
      </w:r>
      <w:r>
        <w:t xml:space="preserve"> Additive alternates will not be used if deductible alternates are </w:t>
      </w:r>
      <w:r w:rsidR="00490B91">
        <w:t>used,</w:t>
      </w:r>
      <w:r>
        <w:t xml:space="preserve"> and deductible alternates will not be used if additive alternates are used.</w:t>
      </w:r>
    </w:p>
    <w:p w14:paraId="16033F0B" w14:textId="77777777" w:rsidR="00B24970" w:rsidRDefault="00B24970" w:rsidP="00B24970">
      <w:pPr>
        <w:jc w:val="both"/>
        <w:rPr>
          <w:b/>
          <w:bCs/>
        </w:rPr>
      </w:pPr>
    </w:p>
    <w:p w14:paraId="159655CD" w14:textId="0CDDF00C" w:rsidR="00935A0A" w:rsidRPr="004E2FF0" w:rsidRDefault="008A3A34" w:rsidP="004E2FF0">
      <w:pPr>
        <w:ind w:left="720" w:hanging="720"/>
        <w:jc w:val="both"/>
        <w:rPr>
          <w:b/>
          <w:bCs/>
        </w:rPr>
      </w:pPr>
      <w:r>
        <w:rPr>
          <w:bCs/>
        </w:rPr>
        <w:t>9</w:t>
      </w:r>
      <w:r w:rsidR="00B24970" w:rsidRPr="00B24970">
        <w:rPr>
          <w:bCs/>
        </w:rPr>
        <w:t>.</w:t>
      </w:r>
      <w:r w:rsidR="00B24970" w:rsidRPr="00B24970">
        <w:rPr>
          <w:bCs/>
        </w:rPr>
        <w:tab/>
      </w:r>
      <w:r w:rsidR="00B24970">
        <w:rPr>
          <w:b/>
          <w:bCs/>
        </w:rPr>
        <w:t xml:space="preserve">NOTICE OF CONTRACTOR’S SETTLEMENT </w:t>
      </w:r>
      <w:r w:rsidR="00B24970" w:rsidRPr="00B24970">
        <w:rPr>
          <w:bCs/>
        </w:rPr>
        <w:t xml:space="preserve">– Agencies/institutions must indicate in the initial </w:t>
      </w:r>
      <w:r w:rsidR="00141D32">
        <w:rPr>
          <w:bCs/>
        </w:rPr>
        <w:t xml:space="preserve">Solicitation </w:t>
      </w:r>
      <w:r w:rsidR="00B24970">
        <w:rPr>
          <w:bCs/>
        </w:rPr>
        <w:t xml:space="preserve">(Advertisement </w:t>
      </w:r>
      <w:r w:rsidR="00B24970" w:rsidRPr="00B24970">
        <w:rPr>
          <w:bCs/>
        </w:rPr>
        <w:t>for Bids, Documented Quotes, or Requests for Proposals) whether settlement will be advertised in newspapers or electronic media.</w:t>
      </w:r>
      <w:r w:rsidR="00461050">
        <w:rPr>
          <w:noProof/>
        </w:rPr>
        <mc:AlternateContent>
          <mc:Choice Requires="wps">
            <w:drawing>
              <wp:anchor distT="0" distB="0" distL="114300" distR="114300" simplePos="0" relativeHeight="251658240" behindDoc="0" locked="0" layoutInCell="1" allowOverlap="1" wp14:anchorId="7FD7D67F" wp14:editId="164CB735">
                <wp:simplePos x="0" y="0"/>
                <wp:positionH relativeFrom="page">
                  <wp:posOffset>546735</wp:posOffset>
                </wp:positionH>
                <wp:positionV relativeFrom="page">
                  <wp:posOffset>9260840</wp:posOffset>
                </wp:positionV>
                <wp:extent cx="6629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4AF5A7"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05pt,729.2pt" to="565.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" strokeweight="2pt">
                <w10:wrap anchorx="page" anchory="page"/>
              </v:line>
            </w:pict>
          </mc:Fallback>
        </mc:AlternateContent>
      </w:r>
    </w:p>
    <w:sectPr w:rsidR="00935A0A" w:rsidRPr="004E2FF0">
      <w:footerReference w:type="default" r:id="rId9"/>
      <w:pgSz w:w="12240" w:h="15840"/>
      <w:pgMar w:top="720" w:right="864" w:bottom="1008" w:left="864" w:header="72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82FE" w14:textId="77777777" w:rsidR="00900F91" w:rsidRDefault="00900F91">
      <w:r>
        <w:separator/>
      </w:r>
    </w:p>
  </w:endnote>
  <w:endnote w:type="continuationSeparator" w:id="0">
    <w:p w14:paraId="513F922E" w14:textId="77777777" w:rsidR="00900F91" w:rsidRDefault="0090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0056" w14:textId="718A8EED" w:rsidR="00935A0A" w:rsidRDefault="00935A0A">
    <w:pPr>
      <w:pStyle w:val="Footer"/>
      <w:rPr>
        <w:rStyle w:val="PageNumber"/>
        <w:sz w:val="16"/>
      </w:rPr>
    </w:pPr>
    <w:r>
      <w:rPr>
        <w:sz w:val="16"/>
      </w:rPr>
      <w:t>SBP-6.12</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8A3A34">
      <w:rPr>
        <w:rStyle w:val="PageNumber"/>
        <w:noProof/>
        <w:sz w:val="16"/>
      </w:rPr>
      <w:t>1</w:t>
    </w:r>
    <w:r>
      <w:rPr>
        <w:rStyle w:val="PageNumber"/>
        <w:sz w:val="16"/>
      </w:rPr>
      <w:fldChar w:fldCharType="end"/>
    </w:r>
    <w:r>
      <w:rPr>
        <w:rStyle w:val="PageNumber"/>
        <w:sz w:val="16"/>
      </w:rPr>
      <w:t xml:space="preserve"> of 2</w:t>
    </w:r>
  </w:p>
  <w:p w14:paraId="058595D3" w14:textId="77777777" w:rsidR="00935A0A" w:rsidRDefault="004238E0">
    <w:pPr>
      <w:pStyle w:val="Footer"/>
      <w:rPr>
        <w:rStyle w:val="PageNumber"/>
      </w:rPr>
    </w:pPr>
    <w:r>
      <w:rPr>
        <w:rStyle w:val="PageNumber"/>
        <w:sz w:val="16"/>
      </w:rPr>
      <w:t xml:space="preserve">Rev. </w:t>
    </w:r>
    <w:r w:rsidR="00981429">
      <w:rPr>
        <w:rStyle w:val="PageNumber"/>
        <w:sz w:val="16"/>
      </w:rPr>
      <w:t>05</w:t>
    </w:r>
    <w:r w:rsidR="00666E28">
      <w:rPr>
        <w:rStyle w:val="PageNumber"/>
        <w:sz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9698E" w14:textId="77777777" w:rsidR="00900F91" w:rsidRDefault="00900F91">
      <w:r>
        <w:separator/>
      </w:r>
    </w:p>
  </w:footnote>
  <w:footnote w:type="continuationSeparator" w:id="0">
    <w:p w14:paraId="6C0615C9" w14:textId="77777777" w:rsidR="00900F91" w:rsidRDefault="0090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974"/>
    <w:multiLevelType w:val="hybridMultilevel"/>
    <w:tmpl w:val="ED9064B6"/>
    <w:lvl w:ilvl="0" w:tplc="29F4F63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712F20"/>
    <w:multiLevelType w:val="hybridMultilevel"/>
    <w:tmpl w:val="40985F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992774"/>
    <w:multiLevelType w:val="multilevel"/>
    <w:tmpl w:val="0E949C1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6907B5B"/>
    <w:multiLevelType w:val="hybridMultilevel"/>
    <w:tmpl w:val="A72A9A12"/>
    <w:lvl w:ilvl="0" w:tplc="ED64C70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D25710"/>
    <w:multiLevelType w:val="hybridMultilevel"/>
    <w:tmpl w:val="98E40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6004D2"/>
    <w:multiLevelType w:val="hybridMultilevel"/>
    <w:tmpl w:val="9014BF46"/>
    <w:lvl w:ilvl="0" w:tplc="1E7E46AE">
      <w:start w:val="3"/>
      <w:numFmt w:val="decimal"/>
      <w:lvlText w:val="%1."/>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52"/>
    <w:rsid w:val="000256A1"/>
    <w:rsid w:val="000811B7"/>
    <w:rsid w:val="000967C1"/>
    <w:rsid w:val="000B250C"/>
    <w:rsid w:val="000D6A6A"/>
    <w:rsid w:val="00141D32"/>
    <w:rsid w:val="001536EC"/>
    <w:rsid w:val="001B3E68"/>
    <w:rsid w:val="001C4D52"/>
    <w:rsid w:val="0023432B"/>
    <w:rsid w:val="00245D14"/>
    <w:rsid w:val="00285753"/>
    <w:rsid w:val="00317C65"/>
    <w:rsid w:val="003207C1"/>
    <w:rsid w:val="0036450C"/>
    <w:rsid w:val="003800F1"/>
    <w:rsid w:val="00380FE4"/>
    <w:rsid w:val="003A45E0"/>
    <w:rsid w:val="003E224A"/>
    <w:rsid w:val="003E724F"/>
    <w:rsid w:val="004238E0"/>
    <w:rsid w:val="00447D77"/>
    <w:rsid w:val="00461050"/>
    <w:rsid w:val="00490B91"/>
    <w:rsid w:val="004D125C"/>
    <w:rsid w:val="004E2FF0"/>
    <w:rsid w:val="005402A9"/>
    <w:rsid w:val="00540BD2"/>
    <w:rsid w:val="0054411C"/>
    <w:rsid w:val="005579DD"/>
    <w:rsid w:val="005B3691"/>
    <w:rsid w:val="005E1129"/>
    <w:rsid w:val="00602B89"/>
    <w:rsid w:val="00651FD8"/>
    <w:rsid w:val="00666E28"/>
    <w:rsid w:val="0068393E"/>
    <w:rsid w:val="0069308D"/>
    <w:rsid w:val="007621F2"/>
    <w:rsid w:val="007F5395"/>
    <w:rsid w:val="00851CB2"/>
    <w:rsid w:val="008A3A34"/>
    <w:rsid w:val="00900F91"/>
    <w:rsid w:val="00904D1A"/>
    <w:rsid w:val="00935A0A"/>
    <w:rsid w:val="009423AE"/>
    <w:rsid w:val="00961E7F"/>
    <w:rsid w:val="00981429"/>
    <w:rsid w:val="00A3030D"/>
    <w:rsid w:val="00AB346E"/>
    <w:rsid w:val="00B15338"/>
    <w:rsid w:val="00B24970"/>
    <w:rsid w:val="00B477C8"/>
    <w:rsid w:val="00BA3F4F"/>
    <w:rsid w:val="00C17C78"/>
    <w:rsid w:val="00C97403"/>
    <w:rsid w:val="00CA58F1"/>
    <w:rsid w:val="00CD2140"/>
    <w:rsid w:val="00CE1349"/>
    <w:rsid w:val="00D65E72"/>
    <w:rsid w:val="00D90B7B"/>
    <w:rsid w:val="00DA3EE3"/>
    <w:rsid w:val="00DE2532"/>
    <w:rsid w:val="00E05F57"/>
    <w:rsid w:val="00EB2FC5"/>
    <w:rsid w:val="00EC7B52"/>
    <w:rsid w:val="00F001A7"/>
    <w:rsid w:val="00F1635C"/>
    <w:rsid w:val="00F739A5"/>
    <w:rsid w:val="00F97C7F"/>
    <w:rsid w:val="00FE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425AD"/>
  <w15:docId w15:val="{6C21FFD7-BC89-47A4-BEBB-83F27320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qFormat/>
    <w:pPr>
      <w:keepNext/>
      <w:autoSpaceDE/>
      <w:autoSpaceDN/>
      <w:outlineLvl w:val="0"/>
    </w:pPr>
    <w:rPr>
      <w:rFonts w:cs="Times New Roman"/>
      <w:sz w:val="32"/>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tabs>
        <w:tab w:val="left" w:pos="900"/>
      </w:tabs>
      <w:jc w:val="both"/>
    </w:pPr>
  </w:style>
  <w:style w:type="paragraph" w:styleId="BodyTextIndent">
    <w:name w:val="Body Text Indent"/>
    <w:basedOn w:val="Normal"/>
    <w:pPr>
      <w:ind w:left="720"/>
      <w:jc w:val="both"/>
    </w:pPr>
    <w:rPr>
      <w:szCs w:val="22"/>
    </w:rPr>
  </w:style>
  <w:style w:type="paragraph" w:styleId="ListParagraph">
    <w:name w:val="List Paragraph"/>
    <w:basedOn w:val="Normal"/>
    <w:uiPriority w:val="34"/>
    <w:qFormat/>
    <w:rsid w:val="00B15338"/>
    <w:pPr>
      <w:ind w:left="720"/>
      <w:contextualSpacing/>
    </w:pPr>
  </w:style>
  <w:style w:type="paragraph" w:styleId="BalloonText">
    <w:name w:val="Balloon Text"/>
    <w:basedOn w:val="Normal"/>
    <w:link w:val="BalloonTextChar"/>
    <w:rsid w:val="000967C1"/>
    <w:rPr>
      <w:rFonts w:ascii="Segoe UI" w:hAnsi="Segoe UI" w:cs="Segoe UI"/>
      <w:sz w:val="18"/>
      <w:szCs w:val="18"/>
    </w:rPr>
  </w:style>
  <w:style w:type="character" w:customStyle="1" w:styleId="BalloonTextChar">
    <w:name w:val="Balloon Text Char"/>
    <w:basedOn w:val="DefaultParagraphFont"/>
    <w:link w:val="BalloonText"/>
    <w:rsid w:val="000967C1"/>
    <w:rPr>
      <w:rFonts w:ascii="Segoe UI" w:hAnsi="Segoe UI" w:cs="Segoe UI"/>
      <w:sz w:val="18"/>
      <w:szCs w:val="18"/>
    </w:rPr>
  </w:style>
  <w:style w:type="character" w:styleId="CommentReference">
    <w:name w:val="annotation reference"/>
    <w:basedOn w:val="DefaultParagraphFont"/>
    <w:semiHidden/>
    <w:unhideWhenUsed/>
    <w:rsid w:val="003207C1"/>
    <w:rPr>
      <w:sz w:val="16"/>
      <w:szCs w:val="16"/>
    </w:rPr>
  </w:style>
  <w:style w:type="paragraph" w:styleId="CommentText">
    <w:name w:val="annotation text"/>
    <w:basedOn w:val="Normal"/>
    <w:link w:val="CommentTextChar"/>
    <w:semiHidden/>
    <w:unhideWhenUsed/>
    <w:rsid w:val="003207C1"/>
  </w:style>
  <w:style w:type="character" w:customStyle="1" w:styleId="CommentTextChar">
    <w:name w:val="Comment Text Char"/>
    <w:basedOn w:val="DefaultParagraphFont"/>
    <w:link w:val="CommentText"/>
    <w:semiHidden/>
    <w:rsid w:val="003207C1"/>
    <w:rPr>
      <w:rFonts w:ascii="Arial" w:hAnsi="Arial" w:cs="Arial"/>
    </w:rPr>
  </w:style>
  <w:style w:type="paragraph" w:styleId="CommentSubject">
    <w:name w:val="annotation subject"/>
    <w:basedOn w:val="CommentText"/>
    <w:next w:val="CommentText"/>
    <w:link w:val="CommentSubjectChar"/>
    <w:semiHidden/>
    <w:unhideWhenUsed/>
    <w:rsid w:val="003207C1"/>
    <w:rPr>
      <w:b/>
      <w:bCs/>
    </w:rPr>
  </w:style>
  <w:style w:type="character" w:customStyle="1" w:styleId="CommentSubjectChar">
    <w:name w:val="Comment Subject Char"/>
    <w:basedOn w:val="CommentTextChar"/>
    <w:link w:val="CommentSubject"/>
    <w:semiHidden/>
    <w:rsid w:val="003207C1"/>
    <w:rPr>
      <w:rFonts w:ascii="Arial" w:hAnsi="Arial" w:cs="Arial"/>
      <w:b/>
      <w:bCs/>
    </w:rPr>
  </w:style>
  <w:style w:type="paragraph" w:styleId="Revision">
    <w:name w:val="Revision"/>
    <w:hidden/>
    <w:uiPriority w:val="99"/>
    <w:semiHidden/>
    <w:rsid w:val="003207C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colorado/universityofcoloradodesignandconstruction"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943</Words>
  <Characters>5019</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STATE OF COLORADO</vt:lpstr>
    </vt:vector>
  </TitlesOfParts>
  <Company>State of Colorado</Company>
  <LinksUpToDate>false</LinksUpToDate>
  <CharactersWithSpaces>5965</CharactersWithSpaces>
  <SharedDoc>false</SharedDoc>
  <HLinks>
    <vt:vector size="6" baseType="variant">
      <vt:variant>
        <vt:i4>4522077</vt:i4>
      </vt:variant>
      <vt:variant>
        <vt:i4>6</vt:i4>
      </vt:variant>
      <vt:variant>
        <vt:i4>0</vt:i4>
      </vt:variant>
      <vt:variant>
        <vt:i4>5</vt:i4>
      </vt:variant>
      <vt:variant>
        <vt:lpwstr>http://www.colorado.gov/dpa/dfp/sbrep/constructdesign.htm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dc:title>
  <dc:creator/>
  <cp:lastModifiedBy>Christine A Adams</cp:lastModifiedBy>
  <cp:revision>5</cp:revision>
  <cp:lastPrinted>2010-06-17T20:05:00Z</cp:lastPrinted>
  <dcterms:created xsi:type="dcterms:W3CDTF">2024-08-19T16:33:00Z</dcterms:created>
  <dcterms:modified xsi:type="dcterms:W3CDTF">2024-10-08T17:38:00Z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Forward to">
    <vt:lpwstr>chad4296</vt:lpwstr>
  </property>
  <property fmtid="{D5CDD505-2E9C-101B-9397-08002B2CF9AE}" pid="9" name="Status">
    <vt:lpwstr>Quick Change</vt:lpwstr>
  </property>
</Properties>
</file>