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6CAA1" w14:textId="5E3E7252" w:rsidR="00EE4963" w:rsidRPr="00C70D67" w:rsidRDefault="00EE4963" w:rsidP="00EE4963">
      <w:pPr>
        <w:jc w:val="center"/>
        <w:rPr>
          <w:rFonts w:ascii="Arial" w:hAnsi="Arial" w:cs="Arial"/>
          <w:color w:val="auto"/>
        </w:rPr>
      </w:pPr>
      <w:r w:rsidRPr="00C70D67">
        <w:rPr>
          <w:rFonts w:ascii="Arial" w:hAnsi="Arial" w:cs="Arial"/>
          <w:b/>
          <w:noProof/>
          <w:color w:val="auto"/>
          <w:sz w:val="22"/>
        </w:rPr>
        <w:drawing>
          <wp:inline distT="0" distB="0" distL="0" distR="0" wp14:anchorId="1CB49785" wp14:editId="0F096388">
            <wp:extent cx="1614196" cy="324936"/>
            <wp:effectExtent l="0" t="0" r="0" b="5715"/>
            <wp:docPr id="145968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4005" cy="328924"/>
                    </a:xfrm>
                    <a:prstGeom prst="rect">
                      <a:avLst/>
                    </a:prstGeom>
                    <a:noFill/>
                    <a:ln>
                      <a:noFill/>
                    </a:ln>
                  </pic:spPr>
                </pic:pic>
              </a:graphicData>
            </a:graphic>
          </wp:inline>
        </w:drawing>
      </w:r>
    </w:p>
    <w:p w14:paraId="28500E5B" w14:textId="77777777" w:rsidR="00EE4963" w:rsidRPr="00C70D67" w:rsidRDefault="00EE4963" w:rsidP="00EE4963">
      <w:pPr>
        <w:jc w:val="center"/>
        <w:rPr>
          <w:rFonts w:ascii="Arial" w:hAnsi="Arial" w:cs="Arial"/>
          <w:color w:val="auto"/>
          <w:sz w:val="15"/>
          <w:szCs w:val="20"/>
        </w:rPr>
      </w:pPr>
    </w:p>
    <w:p w14:paraId="157276BD" w14:textId="5317832B" w:rsidR="00EE4963" w:rsidRPr="00C70D67" w:rsidRDefault="00EE4963" w:rsidP="00EE4963">
      <w:pPr>
        <w:jc w:val="center"/>
        <w:rPr>
          <w:rFonts w:ascii="Arial" w:hAnsi="Arial" w:cs="Arial"/>
          <w:b/>
          <w:bCs/>
          <w:color w:val="auto"/>
          <w:sz w:val="28"/>
          <w:szCs w:val="40"/>
        </w:rPr>
      </w:pPr>
      <w:r w:rsidRPr="00C70D67">
        <w:rPr>
          <w:rFonts w:ascii="Arial" w:hAnsi="Arial" w:cs="Arial"/>
          <w:b/>
          <w:bCs/>
          <w:color w:val="auto"/>
          <w:sz w:val="28"/>
          <w:szCs w:val="40"/>
        </w:rPr>
        <w:t>VCAC CHECKLIST</w:t>
      </w:r>
    </w:p>
    <w:p w14:paraId="2874AC3E" w14:textId="68F7752D" w:rsidR="00EE4963" w:rsidRPr="00C70D67" w:rsidRDefault="00EE4963" w:rsidP="00EE4963">
      <w:pPr>
        <w:jc w:val="center"/>
        <w:rPr>
          <w:rFonts w:ascii="Arial" w:hAnsi="Arial" w:cs="Arial"/>
          <w:color w:val="auto"/>
        </w:rPr>
      </w:pPr>
      <w:r w:rsidRPr="00C70D67">
        <w:rPr>
          <w:rFonts w:ascii="Arial" w:hAnsi="Arial" w:cs="Arial"/>
          <w:color w:val="auto"/>
        </w:rPr>
        <w:t xml:space="preserve">Use for </w:t>
      </w:r>
      <w:r w:rsidR="006B58A9">
        <w:rPr>
          <w:rFonts w:ascii="Arial" w:hAnsi="Arial" w:cs="Arial"/>
          <w:color w:val="auto"/>
        </w:rPr>
        <w:t>Appointments (Hires) with Tenure</w:t>
      </w:r>
    </w:p>
    <w:p w14:paraId="08FD935D" w14:textId="41060D36" w:rsidR="006406D7" w:rsidRPr="00C70D67" w:rsidRDefault="006406D7" w:rsidP="00EE4963">
      <w:pPr>
        <w:jc w:val="center"/>
        <w:rPr>
          <w:rFonts w:ascii="Arial" w:hAnsi="Arial" w:cs="Arial"/>
          <w:color w:val="auto"/>
        </w:rPr>
      </w:pPr>
      <w:r w:rsidRPr="00C70D67">
        <w:rPr>
          <w:rFonts w:ascii="Arial" w:hAnsi="Arial" w:cs="Arial"/>
          <w:color w:val="auto"/>
        </w:rPr>
        <w:t>Please Place in Front of Dossier</w:t>
      </w:r>
      <w:r w:rsidRPr="00826689">
        <w:rPr>
          <w:rFonts w:ascii="Arial" w:hAnsi="Arial" w:cs="Arial"/>
          <w:b/>
          <w:bCs/>
          <w:color w:val="auto"/>
        </w:rPr>
        <w:t>*</w:t>
      </w:r>
    </w:p>
    <w:p w14:paraId="432CFAF5" w14:textId="77777777" w:rsidR="006406D7" w:rsidRPr="00C70D67" w:rsidRDefault="006406D7" w:rsidP="00EE4963">
      <w:pPr>
        <w:jc w:val="center"/>
        <w:rPr>
          <w:rFonts w:ascii="Arial" w:hAnsi="Arial" w:cs="Arial"/>
          <w:color w:val="auto"/>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29" w:type="dxa"/>
          <w:left w:w="58" w:type="dxa"/>
          <w:bottom w:w="29" w:type="dxa"/>
          <w:right w:w="58" w:type="dxa"/>
        </w:tblCellMar>
        <w:tblLook w:val="04A0" w:firstRow="1" w:lastRow="0" w:firstColumn="1" w:lastColumn="0" w:noHBand="0" w:noVBand="1"/>
      </w:tblPr>
      <w:tblGrid>
        <w:gridCol w:w="5395"/>
        <w:gridCol w:w="5395"/>
      </w:tblGrid>
      <w:tr w:rsidR="00C70D67" w:rsidRPr="00C70D67" w14:paraId="3EED0C20" w14:textId="77777777" w:rsidTr="00EE7907">
        <w:tc>
          <w:tcPr>
            <w:tcW w:w="5395" w:type="dxa"/>
            <w:tcBorders>
              <w:top w:val="single" w:sz="18" w:space="0" w:color="auto"/>
              <w:bottom w:val="single" w:sz="18" w:space="0" w:color="auto"/>
            </w:tcBorders>
          </w:tcPr>
          <w:p w14:paraId="490E18E9" w14:textId="71DC44DE" w:rsidR="006406D7" w:rsidRPr="00C70D67" w:rsidRDefault="006406D7" w:rsidP="006406D7">
            <w:pPr>
              <w:rPr>
                <w:rFonts w:ascii="Arial" w:hAnsi="Arial" w:cs="Arial"/>
                <w:color w:val="auto"/>
                <w:sz w:val="18"/>
                <w:szCs w:val="22"/>
              </w:rPr>
            </w:pPr>
            <w:r w:rsidRPr="00C70D67">
              <w:rPr>
                <w:rFonts w:ascii="Arial" w:hAnsi="Arial" w:cs="Arial"/>
                <w:color w:val="auto"/>
                <w:sz w:val="18"/>
                <w:szCs w:val="22"/>
              </w:rPr>
              <w:t>Candidate’s Name:</w:t>
            </w:r>
          </w:p>
        </w:tc>
        <w:tc>
          <w:tcPr>
            <w:tcW w:w="5395" w:type="dxa"/>
            <w:tcBorders>
              <w:top w:val="single" w:sz="18" w:space="0" w:color="auto"/>
              <w:bottom w:val="single" w:sz="18" w:space="0" w:color="auto"/>
            </w:tcBorders>
          </w:tcPr>
          <w:p w14:paraId="3CDE804E" w14:textId="5703436C" w:rsidR="006406D7" w:rsidRPr="00C70D67" w:rsidRDefault="006406D7" w:rsidP="006406D7">
            <w:pPr>
              <w:rPr>
                <w:rFonts w:ascii="Arial" w:hAnsi="Arial" w:cs="Arial"/>
                <w:color w:val="auto"/>
                <w:sz w:val="18"/>
                <w:szCs w:val="22"/>
              </w:rPr>
            </w:pPr>
            <w:r w:rsidRPr="00C70D67">
              <w:rPr>
                <w:rFonts w:ascii="Arial" w:hAnsi="Arial" w:cs="Arial"/>
                <w:color w:val="auto"/>
                <w:sz w:val="18"/>
                <w:szCs w:val="22"/>
              </w:rPr>
              <w:t>Department/Primary Unit:</w:t>
            </w:r>
          </w:p>
        </w:tc>
      </w:tr>
      <w:tr w:rsidR="00C70D67" w:rsidRPr="00C70D67" w14:paraId="1598BBC1" w14:textId="77777777" w:rsidTr="002B39DF">
        <w:trPr>
          <w:trHeight w:val="24"/>
        </w:trPr>
        <w:tc>
          <w:tcPr>
            <w:tcW w:w="5395" w:type="dxa"/>
            <w:tcBorders>
              <w:top w:val="single" w:sz="18" w:space="0" w:color="auto"/>
              <w:bottom w:val="nil"/>
            </w:tcBorders>
            <w:vAlign w:val="center"/>
          </w:tcPr>
          <w:p w14:paraId="1AD5E022" w14:textId="1F693875" w:rsidR="006406D7" w:rsidRPr="00C70D67" w:rsidRDefault="006406D7" w:rsidP="002B39DF">
            <w:pPr>
              <w:rPr>
                <w:rFonts w:ascii="Arial" w:hAnsi="Arial" w:cs="Arial"/>
                <w:color w:val="auto"/>
                <w:sz w:val="18"/>
                <w:szCs w:val="22"/>
              </w:rPr>
            </w:pPr>
            <w:r w:rsidRPr="00C70D67">
              <w:rPr>
                <w:rFonts w:ascii="Arial" w:hAnsi="Arial" w:cs="Arial"/>
                <w:color w:val="auto"/>
                <w:sz w:val="24"/>
                <w:szCs w:val="36"/>
              </w:rPr>
              <w:t xml:space="preserve">□ </w:t>
            </w:r>
            <w:r w:rsidR="006B58A9">
              <w:rPr>
                <w:rFonts w:ascii="Arial" w:hAnsi="Arial" w:cs="Arial"/>
                <w:color w:val="auto"/>
                <w:sz w:val="18"/>
                <w:szCs w:val="22"/>
              </w:rPr>
              <w:t>Hire with Tenure as Associate Professor</w:t>
            </w:r>
          </w:p>
        </w:tc>
        <w:tc>
          <w:tcPr>
            <w:tcW w:w="5395" w:type="dxa"/>
            <w:tcBorders>
              <w:top w:val="single" w:sz="18" w:space="0" w:color="auto"/>
              <w:bottom w:val="nil"/>
            </w:tcBorders>
            <w:vAlign w:val="center"/>
          </w:tcPr>
          <w:p w14:paraId="6A2E845C" w14:textId="02EDEC61" w:rsidR="006406D7" w:rsidRPr="00C70D67" w:rsidRDefault="002B431D" w:rsidP="006B58A9">
            <w:pPr>
              <w:rPr>
                <w:rFonts w:ascii="Arial" w:hAnsi="Arial" w:cs="Arial"/>
                <w:color w:val="auto"/>
                <w:sz w:val="18"/>
                <w:szCs w:val="22"/>
              </w:rPr>
            </w:pPr>
            <w:r w:rsidRPr="00C70D67">
              <w:rPr>
                <w:rFonts w:ascii="Arial" w:hAnsi="Arial" w:cs="Arial"/>
                <w:color w:val="auto"/>
                <w:sz w:val="24"/>
                <w:szCs w:val="36"/>
              </w:rPr>
              <w:t xml:space="preserve">□ </w:t>
            </w:r>
            <w:r w:rsidR="006B58A9">
              <w:rPr>
                <w:rFonts w:ascii="Arial" w:hAnsi="Arial" w:cs="Arial"/>
                <w:color w:val="auto"/>
                <w:sz w:val="18"/>
                <w:szCs w:val="22"/>
              </w:rPr>
              <w:t>Hire with Tenure as Full Professor</w:t>
            </w:r>
          </w:p>
        </w:tc>
      </w:tr>
      <w:tr w:rsidR="006406D7" w:rsidRPr="00C70D67" w14:paraId="3C6C16AF" w14:textId="77777777" w:rsidTr="002B39DF">
        <w:tc>
          <w:tcPr>
            <w:tcW w:w="10790" w:type="dxa"/>
            <w:gridSpan w:val="2"/>
            <w:tcBorders>
              <w:top w:val="nil"/>
              <w:bottom w:val="single" w:sz="18" w:space="0" w:color="auto"/>
            </w:tcBorders>
            <w:vAlign w:val="center"/>
          </w:tcPr>
          <w:p w14:paraId="6B69298E" w14:textId="361E364B" w:rsidR="006406D7" w:rsidRPr="00C70D67" w:rsidRDefault="006406D7" w:rsidP="002B39DF">
            <w:pPr>
              <w:rPr>
                <w:rFonts w:ascii="Arial" w:hAnsi="Arial" w:cs="Arial"/>
                <w:color w:val="auto"/>
                <w:sz w:val="18"/>
                <w:szCs w:val="22"/>
              </w:rPr>
            </w:pPr>
          </w:p>
        </w:tc>
      </w:tr>
    </w:tbl>
    <w:p w14:paraId="4DE167A0" w14:textId="77777777" w:rsidR="006406D7" w:rsidRPr="00C70D67" w:rsidRDefault="006406D7" w:rsidP="00EE4963">
      <w:pPr>
        <w:jc w:val="center"/>
        <w:rPr>
          <w:rFonts w:ascii="Arial" w:hAnsi="Arial" w:cs="Arial"/>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278"/>
        <w:gridCol w:w="10520"/>
      </w:tblGrid>
      <w:tr w:rsidR="00C70D67" w:rsidRPr="00374B2E" w14:paraId="4E6CEFA7" w14:textId="77777777" w:rsidTr="00716DEC">
        <w:tc>
          <w:tcPr>
            <w:tcW w:w="270" w:type="dxa"/>
          </w:tcPr>
          <w:p w14:paraId="4D84B704" w14:textId="7FBCA2F5" w:rsidR="006406D7" w:rsidRPr="00374B2E" w:rsidRDefault="002B39DF" w:rsidP="002B39DF">
            <w:pPr>
              <w:rPr>
                <w:rFonts w:ascii="Arial" w:hAnsi="Arial" w:cs="Arial"/>
                <w:color w:val="auto"/>
                <w:szCs w:val="20"/>
              </w:rPr>
            </w:pPr>
            <w:r w:rsidRPr="00374B2E">
              <w:rPr>
                <w:rFonts w:ascii="Arial" w:hAnsi="Arial" w:cs="Arial"/>
                <w:noProof/>
                <w:color w:val="auto"/>
                <w:szCs w:val="20"/>
              </w:rPr>
              <mc:AlternateContent>
                <mc:Choice Requires="wps">
                  <w:drawing>
                    <wp:inline distT="0" distB="0" distL="0" distR="0" wp14:anchorId="02C497CE" wp14:editId="3567FEAD">
                      <wp:extent cx="130629" cy="130629"/>
                      <wp:effectExtent l="0" t="0" r="9525" b="9525"/>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BBD0A7" id="Rectangle 4"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520" w:type="dxa"/>
            <w:vAlign w:val="center"/>
          </w:tcPr>
          <w:p w14:paraId="776DE812" w14:textId="5353E6C0" w:rsidR="006406D7" w:rsidRPr="00374B2E" w:rsidRDefault="006406D7" w:rsidP="006406D7">
            <w:pPr>
              <w:rPr>
                <w:rFonts w:ascii="Arial" w:hAnsi="Arial" w:cs="Arial"/>
                <w:b/>
                <w:bCs/>
                <w:color w:val="auto"/>
                <w:szCs w:val="20"/>
              </w:rPr>
            </w:pPr>
            <w:r w:rsidRPr="00374B2E">
              <w:rPr>
                <w:rFonts w:ascii="Arial" w:hAnsi="Arial" w:cs="Arial"/>
                <w:b/>
                <w:bCs/>
                <w:color w:val="auto"/>
                <w:szCs w:val="20"/>
              </w:rPr>
              <w:t>1. Candidate’s Curriculum Vitae</w:t>
            </w:r>
          </w:p>
        </w:tc>
      </w:tr>
      <w:tr w:rsidR="00C70D67" w:rsidRPr="00374B2E" w14:paraId="1AF49D32" w14:textId="77777777" w:rsidTr="00716DEC">
        <w:tc>
          <w:tcPr>
            <w:tcW w:w="270" w:type="dxa"/>
          </w:tcPr>
          <w:p w14:paraId="4432AFE9" w14:textId="08AD1391" w:rsidR="006406D7" w:rsidRPr="00374B2E" w:rsidRDefault="00CE7480" w:rsidP="002B39DF">
            <w:pPr>
              <w:rPr>
                <w:rFonts w:ascii="Arial" w:hAnsi="Arial" w:cs="Arial"/>
                <w:color w:val="auto"/>
                <w:szCs w:val="20"/>
              </w:rPr>
            </w:pPr>
            <w:r w:rsidRPr="00374B2E">
              <w:rPr>
                <w:rFonts w:ascii="Arial" w:hAnsi="Arial" w:cs="Arial"/>
                <w:noProof/>
                <w:color w:val="auto"/>
                <w:szCs w:val="20"/>
              </w:rPr>
              <mc:AlternateContent>
                <mc:Choice Requires="wps">
                  <w:drawing>
                    <wp:inline distT="0" distB="0" distL="0" distR="0" wp14:anchorId="72D4523A" wp14:editId="56636FE2">
                      <wp:extent cx="130629" cy="130629"/>
                      <wp:effectExtent l="0" t="0" r="9525" b="9525"/>
                      <wp:docPr id="400494237" name="Rectangle 400494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25DFB6" id="Rectangle 400494237"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520" w:type="dxa"/>
            <w:vAlign w:val="center"/>
          </w:tcPr>
          <w:p w14:paraId="5A17483B" w14:textId="53D8A777" w:rsidR="006406D7" w:rsidRPr="00374B2E" w:rsidRDefault="006406D7" w:rsidP="006406D7">
            <w:pPr>
              <w:rPr>
                <w:rFonts w:ascii="Arial" w:hAnsi="Arial" w:cs="Arial"/>
                <w:b/>
                <w:bCs/>
                <w:color w:val="auto"/>
                <w:szCs w:val="20"/>
              </w:rPr>
            </w:pPr>
            <w:r w:rsidRPr="00374B2E">
              <w:rPr>
                <w:rFonts w:ascii="Arial" w:hAnsi="Arial" w:cs="Arial"/>
                <w:b/>
                <w:bCs/>
                <w:color w:val="auto"/>
                <w:szCs w:val="20"/>
              </w:rPr>
              <w:t>2. Dean's Recommendation*</w:t>
            </w:r>
            <w:r w:rsidR="00826689">
              <w:rPr>
                <w:rFonts w:ascii="Arial" w:hAnsi="Arial" w:cs="Arial"/>
                <w:b/>
                <w:bCs/>
                <w:color w:val="auto"/>
                <w:szCs w:val="20"/>
              </w:rPr>
              <w:t>*</w:t>
            </w:r>
            <w:r w:rsidRPr="00374B2E">
              <w:rPr>
                <w:rFonts w:ascii="Arial" w:hAnsi="Arial" w:cs="Arial"/>
                <w:b/>
                <w:bCs/>
                <w:color w:val="auto"/>
                <w:szCs w:val="20"/>
              </w:rPr>
              <w:t>(minimum 500 words)</w:t>
            </w:r>
          </w:p>
          <w:p w14:paraId="67935A1B" w14:textId="52921191" w:rsidR="006406D7" w:rsidRPr="00374B2E" w:rsidRDefault="006406D7" w:rsidP="008A63BF">
            <w:pPr>
              <w:rPr>
                <w:rFonts w:ascii="Arial" w:hAnsi="Arial" w:cs="Arial"/>
                <w:color w:val="auto"/>
                <w:szCs w:val="20"/>
              </w:rPr>
            </w:pPr>
            <w:r w:rsidRPr="00374B2E">
              <w:rPr>
                <w:rFonts w:ascii="Arial" w:hAnsi="Arial" w:cs="Arial"/>
                <w:color w:val="auto"/>
                <w:szCs w:val="20"/>
              </w:rPr>
              <w:t xml:space="preserve">Deans should offer their independent assessment of the scholarly and creative work, teaching/librarianship, and leadership and service records, based on the primary unit criteria for </w:t>
            </w:r>
            <w:r w:rsidRPr="007B610C">
              <w:rPr>
                <w:rFonts w:ascii="Arial" w:hAnsi="Arial" w:cs="Arial"/>
                <w:color w:val="auto"/>
                <w:szCs w:val="20"/>
              </w:rPr>
              <w:t>reappointment, tenure, and promotion.</w:t>
            </w:r>
            <w:r w:rsidRPr="00374B2E">
              <w:rPr>
                <w:rFonts w:ascii="Arial" w:hAnsi="Arial" w:cs="Arial"/>
                <w:color w:val="auto"/>
                <w:szCs w:val="20"/>
              </w:rPr>
              <w:t xml:space="preserve"> This letter should also provide the dean’s recommendation with clear and substantive justifications, referring to the </w:t>
            </w:r>
            <w:r w:rsidR="007D64DB" w:rsidRPr="00374B2E">
              <w:rPr>
                <w:rFonts w:ascii="Arial" w:hAnsi="Arial" w:cs="Arial"/>
                <w:color w:val="auto"/>
                <w:szCs w:val="20"/>
              </w:rPr>
              <w:t>Primary Unit</w:t>
            </w:r>
            <w:r w:rsidRPr="00374B2E">
              <w:rPr>
                <w:rFonts w:ascii="Arial" w:hAnsi="Arial" w:cs="Arial"/>
                <w:color w:val="auto"/>
                <w:szCs w:val="20"/>
              </w:rPr>
              <w:t xml:space="preserve"> Summary paragraph rather than repeating the candidate’s specific biographical facts and details such as education</w:t>
            </w:r>
            <w:r w:rsidR="009F6F0B">
              <w:rPr>
                <w:rFonts w:ascii="Arial" w:hAnsi="Arial" w:cs="Arial"/>
                <w:color w:val="auto"/>
                <w:szCs w:val="20"/>
              </w:rPr>
              <w:t xml:space="preserve"> and </w:t>
            </w:r>
            <w:r w:rsidRPr="00374B2E">
              <w:rPr>
                <w:rFonts w:ascii="Arial" w:hAnsi="Arial" w:cs="Arial"/>
                <w:color w:val="auto"/>
                <w:szCs w:val="20"/>
              </w:rPr>
              <w:t>past academic experience</w:t>
            </w:r>
            <w:r w:rsidR="009F6F0B">
              <w:rPr>
                <w:rFonts w:ascii="Arial" w:hAnsi="Arial" w:cs="Arial"/>
                <w:color w:val="auto"/>
                <w:szCs w:val="20"/>
              </w:rPr>
              <w:t xml:space="preserve"> </w:t>
            </w:r>
            <w:r w:rsidRPr="00374B2E">
              <w:rPr>
                <w:rFonts w:ascii="Arial" w:hAnsi="Arial" w:cs="Arial"/>
                <w:color w:val="auto"/>
                <w:szCs w:val="20"/>
              </w:rPr>
              <w:t xml:space="preserve">that already were included in the </w:t>
            </w:r>
            <w:r w:rsidR="00E7502E">
              <w:rPr>
                <w:rFonts w:ascii="Arial" w:hAnsi="Arial" w:cs="Arial"/>
                <w:color w:val="auto"/>
                <w:szCs w:val="20"/>
              </w:rPr>
              <w:t>Statement of Primary Unit</w:t>
            </w:r>
            <w:r w:rsidRPr="00374B2E">
              <w:rPr>
                <w:rFonts w:ascii="Arial" w:hAnsi="Arial" w:cs="Arial"/>
                <w:color w:val="auto"/>
                <w:szCs w:val="20"/>
              </w:rPr>
              <w:t>.</w:t>
            </w:r>
          </w:p>
        </w:tc>
      </w:tr>
      <w:tr w:rsidR="00C70D67" w:rsidRPr="00374B2E" w14:paraId="2D4F10D9" w14:textId="77777777" w:rsidTr="00716DEC">
        <w:tc>
          <w:tcPr>
            <w:tcW w:w="270" w:type="dxa"/>
          </w:tcPr>
          <w:p w14:paraId="353F4368" w14:textId="59D5A5DF" w:rsidR="006406D7" w:rsidRPr="00374B2E" w:rsidRDefault="007D64DB" w:rsidP="002B39DF">
            <w:pPr>
              <w:rPr>
                <w:rFonts w:ascii="Arial" w:hAnsi="Arial" w:cs="Arial"/>
                <w:color w:val="auto"/>
                <w:szCs w:val="20"/>
              </w:rPr>
            </w:pPr>
            <w:r w:rsidRPr="00374B2E">
              <w:rPr>
                <w:rFonts w:ascii="Arial" w:hAnsi="Arial" w:cs="Arial"/>
                <w:noProof/>
                <w:color w:val="auto"/>
                <w:szCs w:val="20"/>
              </w:rPr>
              <mc:AlternateContent>
                <mc:Choice Requires="wps">
                  <w:drawing>
                    <wp:inline distT="0" distB="0" distL="0" distR="0" wp14:anchorId="74493939" wp14:editId="38252383">
                      <wp:extent cx="130629" cy="130629"/>
                      <wp:effectExtent l="0" t="0" r="9525" b="9525"/>
                      <wp:docPr id="206358181" name="Rectangle 206358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3D63B9" id="Rectangle 206358181"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" filled="f" strokecolor="#404040" strokeweight="1pt">
                      <v:path arrowok="t"/>
                      <o:lock v:ext="edit" aspectratio="t"/>
                      <w10:anchorlock/>
                    </v:rect>
                  </w:pict>
                </mc:Fallback>
              </mc:AlternateContent>
            </w:r>
          </w:p>
        </w:tc>
        <w:tc>
          <w:tcPr>
            <w:tcW w:w="10520" w:type="dxa"/>
            <w:vAlign w:val="center"/>
          </w:tcPr>
          <w:p w14:paraId="61CBFA44" w14:textId="399D55B9" w:rsidR="006406D7" w:rsidRPr="00374B2E" w:rsidRDefault="006406D7" w:rsidP="006406D7">
            <w:pPr>
              <w:rPr>
                <w:rFonts w:ascii="Arial" w:hAnsi="Arial" w:cs="Arial"/>
                <w:b/>
                <w:bCs/>
                <w:color w:val="auto"/>
                <w:szCs w:val="20"/>
              </w:rPr>
            </w:pPr>
            <w:r w:rsidRPr="00374B2E">
              <w:rPr>
                <w:rFonts w:ascii="Arial" w:hAnsi="Arial" w:cs="Arial"/>
                <w:b/>
                <w:bCs/>
                <w:color w:val="auto"/>
                <w:szCs w:val="20"/>
              </w:rPr>
              <w:t>3. Dean's Review Committee (DRC) Recommendation*</w:t>
            </w:r>
            <w:r w:rsidR="00826689">
              <w:rPr>
                <w:rFonts w:ascii="Arial" w:hAnsi="Arial" w:cs="Arial"/>
                <w:b/>
                <w:bCs/>
                <w:color w:val="auto"/>
                <w:szCs w:val="20"/>
              </w:rPr>
              <w:t>*</w:t>
            </w:r>
            <w:r w:rsidRPr="00374B2E">
              <w:rPr>
                <w:rFonts w:ascii="Arial" w:hAnsi="Arial" w:cs="Arial"/>
                <w:b/>
                <w:bCs/>
                <w:color w:val="auto"/>
                <w:szCs w:val="20"/>
              </w:rPr>
              <w:t xml:space="preserve"> (minimum 500 words)</w:t>
            </w:r>
          </w:p>
          <w:p w14:paraId="5709C81E" w14:textId="0DE8C463" w:rsidR="006406D7" w:rsidRPr="00374B2E" w:rsidRDefault="006406D7" w:rsidP="006406D7">
            <w:pPr>
              <w:rPr>
                <w:rFonts w:ascii="Arial" w:hAnsi="Arial" w:cs="Arial"/>
                <w:color w:val="auto"/>
                <w:szCs w:val="20"/>
              </w:rPr>
            </w:pPr>
            <w:r w:rsidRPr="00374B2E">
              <w:rPr>
                <w:rFonts w:ascii="Arial" w:hAnsi="Arial" w:cs="Arial"/>
                <w:color w:val="auto"/>
                <w:szCs w:val="20"/>
              </w:rPr>
              <w:t xml:space="preserve">The DRC should offer its independent assessment of the scholarly and creative work, teaching/librarianship, and leadership and service records, based on the primary unit criteria for </w:t>
            </w:r>
            <w:r w:rsidRPr="007B610C">
              <w:rPr>
                <w:rFonts w:ascii="Arial" w:hAnsi="Arial" w:cs="Arial"/>
                <w:color w:val="auto"/>
                <w:szCs w:val="20"/>
              </w:rPr>
              <w:t>reappointment, tenure, and promotion.</w:t>
            </w:r>
            <w:r w:rsidRPr="00374B2E">
              <w:rPr>
                <w:rFonts w:ascii="Arial" w:hAnsi="Arial" w:cs="Arial"/>
                <w:color w:val="auto"/>
                <w:szCs w:val="20"/>
              </w:rPr>
              <w:t xml:space="preserve"> This report should also provide a recommendation with clear and substantive justifications, and report the DRC vote (with explanation for any dissenting votes and for differences between the committee and the primary unit, if any), referring to the </w:t>
            </w:r>
            <w:r w:rsidR="007D64DB" w:rsidRPr="00374B2E">
              <w:rPr>
                <w:rFonts w:ascii="Arial" w:hAnsi="Arial" w:cs="Arial"/>
                <w:color w:val="auto"/>
                <w:szCs w:val="20"/>
              </w:rPr>
              <w:t>Primary Unit Summary</w:t>
            </w:r>
            <w:r w:rsidRPr="00374B2E">
              <w:rPr>
                <w:rFonts w:ascii="Arial" w:hAnsi="Arial" w:cs="Arial"/>
                <w:color w:val="auto"/>
                <w:szCs w:val="20"/>
              </w:rPr>
              <w:t xml:space="preserve"> paragraph rather than repeating the candidate’s specific biographical facts and details such as education</w:t>
            </w:r>
            <w:r w:rsidR="00D57157">
              <w:rPr>
                <w:rFonts w:ascii="Arial" w:hAnsi="Arial" w:cs="Arial"/>
                <w:color w:val="auto"/>
                <w:szCs w:val="20"/>
              </w:rPr>
              <w:t xml:space="preserve"> and </w:t>
            </w:r>
            <w:r w:rsidRPr="00374B2E">
              <w:rPr>
                <w:rFonts w:ascii="Arial" w:hAnsi="Arial" w:cs="Arial"/>
                <w:color w:val="auto"/>
                <w:szCs w:val="20"/>
              </w:rPr>
              <w:t xml:space="preserve">past academic experience, that already were included in the </w:t>
            </w:r>
            <w:r w:rsidR="00E7502E">
              <w:rPr>
                <w:rFonts w:ascii="Arial" w:hAnsi="Arial" w:cs="Arial"/>
                <w:color w:val="auto"/>
                <w:szCs w:val="20"/>
              </w:rPr>
              <w:t>Statement of Primary Unit</w:t>
            </w:r>
            <w:r w:rsidR="00E7502E" w:rsidRPr="00A95FAB">
              <w:rPr>
                <w:rFonts w:ascii="Arial" w:hAnsi="Arial" w:cs="Arial"/>
                <w:color w:val="000000" w:themeColor="text1"/>
                <w:szCs w:val="20"/>
              </w:rPr>
              <w:t>.</w:t>
            </w:r>
            <w:r w:rsidR="007D2291" w:rsidRPr="00A95FAB">
              <w:rPr>
                <w:rFonts w:ascii="Arial" w:hAnsi="Arial" w:cs="Arial"/>
                <w:color w:val="000000" w:themeColor="text1"/>
                <w:szCs w:val="20"/>
              </w:rPr>
              <w:t xml:space="preserve"> If the candidate is being hired at the associate professor rank, please include votes in </w:t>
            </w:r>
            <w:r w:rsidR="001C0840">
              <w:rPr>
                <w:rFonts w:ascii="Arial" w:hAnsi="Arial" w:cs="Arial"/>
                <w:color w:val="000000" w:themeColor="text1"/>
                <w:szCs w:val="20"/>
              </w:rPr>
              <w:t xml:space="preserve">each of </w:t>
            </w:r>
            <w:r w:rsidR="007D2291" w:rsidRPr="00A95FAB">
              <w:rPr>
                <w:rFonts w:ascii="Arial" w:hAnsi="Arial" w:cs="Arial"/>
                <w:color w:val="000000" w:themeColor="text1"/>
                <w:szCs w:val="20"/>
              </w:rPr>
              <w:t>the areas of scholarly and creative work, teaching, and leadership and service in addition to the vote on appointment (hire) with tenure.</w:t>
            </w:r>
          </w:p>
        </w:tc>
      </w:tr>
      <w:tr w:rsidR="00C70D67" w:rsidRPr="00374B2E" w14:paraId="2E2A42E3" w14:textId="77777777" w:rsidTr="00716DEC">
        <w:tc>
          <w:tcPr>
            <w:tcW w:w="270" w:type="dxa"/>
          </w:tcPr>
          <w:p w14:paraId="4D462887" w14:textId="65C9BB7B" w:rsidR="006406D7" w:rsidRPr="00374B2E" w:rsidRDefault="00CE7480" w:rsidP="002B39DF">
            <w:pPr>
              <w:rPr>
                <w:rFonts w:ascii="Arial" w:hAnsi="Arial" w:cs="Arial"/>
                <w:color w:val="auto"/>
                <w:szCs w:val="20"/>
              </w:rPr>
            </w:pPr>
            <w:r w:rsidRPr="00374B2E">
              <w:rPr>
                <w:rFonts w:ascii="Arial" w:hAnsi="Arial" w:cs="Arial"/>
                <w:noProof/>
                <w:color w:val="auto"/>
                <w:szCs w:val="20"/>
              </w:rPr>
              <mc:AlternateContent>
                <mc:Choice Requires="wps">
                  <w:drawing>
                    <wp:inline distT="0" distB="0" distL="0" distR="0" wp14:anchorId="072A41B7" wp14:editId="7B27CFC3">
                      <wp:extent cx="130629" cy="130629"/>
                      <wp:effectExtent l="0" t="0" r="9525" b="9525"/>
                      <wp:docPr id="1110944892" name="Rectangle 11109448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CDB1AB" id="Rectangle 1110944892"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520" w:type="dxa"/>
          </w:tcPr>
          <w:p w14:paraId="60537394" w14:textId="63EE7DB6" w:rsidR="006406D7" w:rsidRPr="00374B2E" w:rsidRDefault="006406D7" w:rsidP="006406D7">
            <w:pPr>
              <w:rPr>
                <w:rFonts w:ascii="Arial" w:hAnsi="Arial" w:cs="Arial"/>
                <w:b/>
                <w:bCs/>
                <w:color w:val="auto"/>
                <w:szCs w:val="20"/>
              </w:rPr>
            </w:pPr>
            <w:r w:rsidRPr="00374B2E">
              <w:rPr>
                <w:rFonts w:ascii="Arial" w:hAnsi="Arial" w:cs="Arial"/>
                <w:b/>
                <w:bCs/>
                <w:color w:val="auto"/>
                <w:szCs w:val="20"/>
              </w:rPr>
              <w:t xml:space="preserve">4. </w:t>
            </w:r>
            <w:r w:rsidR="007D64DB" w:rsidRPr="00374B2E">
              <w:rPr>
                <w:rFonts w:ascii="Arial" w:hAnsi="Arial" w:cs="Arial"/>
                <w:b/>
                <w:bCs/>
                <w:color w:val="auto"/>
                <w:szCs w:val="20"/>
              </w:rPr>
              <w:t>Statement of Primary Unit</w:t>
            </w:r>
            <w:r w:rsidRPr="00374B2E">
              <w:rPr>
                <w:rFonts w:ascii="Arial" w:hAnsi="Arial" w:cs="Arial"/>
                <w:b/>
                <w:bCs/>
                <w:color w:val="auto"/>
                <w:szCs w:val="20"/>
              </w:rPr>
              <w:t>*</w:t>
            </w:r>
            <w:r w:rsidR="00826689">
              <w:rPr>
                <w:rFonts w:ascii="Arial" w:hAnsi="Arial" w:cs="Arial"/>
                <w:b/>
                <w:bCs/>
                <w:color w:val="auto"/>
                <w:szCs w:val="20"/>
              </w:rPr>
              <w:t>*</w:t>
            </w:r>
            <w:r w:rsidRPr="00374B2E">
              <w:rPr>
                <w:rFonts w:ascii="Arial" w:hAnsi="Arial" w:cs="Arial"/>
                <w:b/>
                <w:bCs/>
                <w:color w:val="auto"/>
                <w:szCs w:val="20"/>
              </w:rPr>
              <w:t xml:space="preserve"> (add Institute Director’s letter for institute-rostered candidates)</w:t>
            </w:r>
          </w:p>
          <w:p w14:paraId="178D98C4" w14:textId="08B7A5AD" w:rsidR="006406D7" w:rsidRPr="00C628CC" w:rsidRDefault="007D64DB" w:rsidP="006406D7">
            <w:pPr>
              <w:rPr>
                <w:rFonts w:ascii="Arial" w:hAnsi="Arial" w:cs="Arial"/>
                <w:szCs w:val="20"/>
              </w:rPr>
            </w:pPr>
            <w:r w:rsidRPr="00A95FAB">
              <w:rPr>
                <w:rFonts w:ascii="Arial" w:hAnsi="Arial" w:cs="Arial"/>
                <w:color w:val="000000" w:themeColor="text1"/>
                <w:szCs w:val="20"/>
              </w:rPr>
              <w:t xml:space="preserve">This key </w:t>
            </w:r>
            <w:r w:rsidR="00374B2E" w:rsidRPr="00A95FAB">
              <w:rPr>
                <w:rFonts w:ascii="Arial" w:hAnsi="Arial" w:cs="Arial"/>
                <w:color w:val="000000" w:themeColor="text1"/>
                <w:szCs w:val="20"/>
              </w:rPr>
              <w:t>comprehensive statement</w:t>
            </w:r>
            <w:r w:rsidRPr="00A95FAB">
              <w:rPr>
                <w:rFonts w:ascii="Arial" w:hAnsi="Arial" w:cs="Arial"/>
                <w:color w:val="000000" w:themeColor="text1"/>
                <w:szCs w:val="20"/>
              </w:rPr>
              <w:t xml:space="preserve">, authored by the </w:t>
            </w:r>
            <w:r w:rsidR="00D5131C" w:rsidRPr="00A95FAB">
              <w:rPr>
                <w:rFonts w:ascii="Arial" w:hAnsi="Arial" w:cs="Arial"/>
                <w:color w:val="000000" w:themeColor="text1"/>
                <w:szCs w:val="20"/>
              </w:rPr>
              <w:t xml:space="preserve">primary unit </w:t>
            </w:r>
            <w:r w:rsidRPr="00A95FAB">
              <w:rPr>
                <w:rFonts w:ascii="Arial" w:hAnsi="Arial" w:cs="Arial"/>
                <w:color w:val="000000" w:themeColor="text1"/>
                <w:szCs w:val="20"/>
              </w:rPr>
              <w:t>chair, should report on the vote taken by the primary unit</w:t>
            </w:r>
            <w:r w:rsidR="007F76F2" w:rsidRPr="00A95FAB">
              <w:rPr>
                <w:rFonts w:ascii="Arial" w:hAnsi="Arial" w:cs="Arial"/>
                <w:color w:val="000000" w:themeColor="text1"/>
                <w:szCs w:val="20"/>
              </w:rPr>
              <w:t>, including the number of votes taken,</w:t>
            </w:r>
            <w:r w:rsidR="00374B2E" w:rsidRPr="00A95FAB">
              <w:rPr>
                <w:rFonts w:ascii="Arial" w:hAnsi="Arial" w:cs="Arial"/>
                <w:color w:val="000000" w:themeColor="text1"/>
                <w:szCs w:val="20"/>
              </w:rPr>
              <w:t xml:space="preserve"> </w:t>
            </w:r>
            <w:r w:rsidR="00CF11A1" w:rsidRPr="00A95FAB">
              <w:rPr>
                <w:rFonts w:ascii="Arial" w:hAnsi="Arial" w:cs="Arial"/>
                <w:color w:val="000000" w:themeColor="text1"/>
                <w:szCs w:val="20"/>
              </w:rPr>
              <w:t>and provide</w:t>
            </w:r>
            <w:r w:rsidR="00374B2E" w:rsidRPr="00A95FAB">
              <w:rPr>
                <w:rFonts w:ascii="Arial" w:hAnsi="Arial" w:cs="Arial"/>
                <w:color w:val="000000" w:themeColor="text1"/>
                <w:szCs w:val="20"/>
              </w:rPr>
              <w:t xml:space="preserve"> the department’s recommend</w:t>
            </w:r>
            <w:r w:rsidR="00E50435" w:rsidRPr="00A95FAB">
              <w:rPr>
                <w:rFonts w:ascii="Arial" w:hAnsi="Arial" w:cs="Arial"/>
                <w:color w:val="000000" w:themeColor="text1"/>
                <w:szCs w:val="20"/>
              </w:rPr>
              <w:t xml:space="preserve">ation </w:t>
            </w:r>
            <w:r w:rsidR="00CF11A1" w:rsidRPr="00A95FAB">
              <w:rPr>
                <w:rFonts w:ascii="Arial" w:hAnsi="Arial" w:cs="Arial"/>
                <w:color w:val="000000" w:themeColor="text1"/>
                <w:szCs w:val="20"/>
              </w:rPr>
              <w:t xml:space="preserve">with clear and substantive justifications </w:t>
            </w:r>
            <w:r w:rsidR="00E50435" w:rsidRPr="00A95FAB">
              <w:rPr>
                <w:rFonts w:ascii="Arial" w:hAnsi="Arial" w:cs="Arial"/>
                <w:color w:val="000000" w:themeColor="text1"/>
                <w:szCs w:val="20"/>
              </w:rPr>
              <w:t>for</w:t>
            </w:r>
            <w:r w:rsidR="00374B2E" w:rsidRPr="00A95FAB">
              <w:rPr>
                <w:rFonts w:ascii="Arial" w:hAnsi="Arial" w:cs="Arial"/>
                <w:color w:val="000000" w:themeColor="text1"/>
                <w:szCs w:val="20"/>
              </w:rPr>
              <w:t xml:space="preserve"> appointment at the particular rank. If the candidate is being hired at the associate professor rank, please include votes in </w:t>
            </w:r>
            <w:r w:rsidR="00E5438C">
              <w:rPr>
                <w:rFonts w:ascii="Arial" w:hAnsi="Arial" w:cs="Arial"/>
                <w:color w:val="000000" w:themeColor="text1"/>
                <w:szCs w:val="20"/>
              </w:rPr>
              <w:t xml:space="preserve">each of </w:t>
            </w:r>
            <w:r w:rsidR="00374B2E" w:rsidRPr="00A95FAB">
              <w:rPr>
                <w:rFonts w:ascii="Arial" w:hAnsi="Arial" w:cs="Arial"/>
                <w:color w:val="000000" w:themeColor="text1"/>
                <w:szCs w:val="20"/>
              </w:rPr>
              <w:t>the areas of scholarly and creative work, teaching, and leadership and service in addition to the vote on appointment (hire) with tenure.</w:t>
            </w:r>
            <w:r w:rsidR="00E50435" w:rsidRPr="00A95FAB">
              <w:rPr>
                <w:rFonts w:ascii="Arial" w:hAnsi="Arial" w:cs="Arial"/>
                <w:color w:val="000000" w:themeColor="text1"/>
                <w:szCs w:val="20"/>
              </w:rPr>
              <w:t xml:space="preserve"> </w:t>
            </w:r>
            <w:r w:rsidR="0048577B" w:rsidRPr="00A95FAB">
              <w:rPr>
                <w:rFonts w:ascii="Arial" w:hAnsi="Arial" w:cs="Arial"/>
                <w:color w:val="000000" w:themeColor="text1"/>
                <w:szCs w:val="20"/>
              </w:rPr>
              <w:t xml:space="preserve">(Note: Minimum size of the voting membership of the primary unit is five. In small units without five eligible voting members, the dean’s office must be consulted regarding supplementation of the primary unit for purposes of the review.) </w:t>
            </w:r>
            <w:r w:rsidR="0089188C" w:rsidRPr="00A95FAB">
              <w:rPr>
                <w:rFonts w:ascii="Arial" w:hAnsi="Arial" w:cs="Arial"/>
                <w:color w:val="000000" w:themeColor="text1"/>
                <w:szCs w:val="20"/>
              </w:rPr>
              <w:t xml:space="preserve">If the faculty member is rostered in an institute, the institute director also should provide a letter with input on appointment at the particular rank, as specified in the MOU put in place at hire. The institute’s role here is not to vote on the candidate’s appointment at a particular rank, but to provide input to the tenure home department, which conducts the primary unit vote. </w:t>
            </w:r>
            <w:r w:rsidR="00374B2E" w:rsidRPr="00A95FAB">
              <w:rPr>
                <w:rFonts w:ascii="Arial" w:hAnsi="Arial" w:cs="Arial"/>
                <w:i/>
                <w:iCs/>
                <w:color w:val="000000" w:themeColor="text1"/>
                <w:szCs w:val="20"/>
              </w:rPr>
              <w:t xml:space="preserve">The </w:t>
            </w:r>
            <w:r w:rsidR="00E50435" w:rsidRPr="00A95FAB">
              <w:rPr>
                <w:rFonts w:ascii="Arial" w:hAnsi="Arial" w:cs="Arial"/>
                <w:i/>
                <w:iCs/>
                <w:color w:val="000000" w:themeColor="text1"/>
                <w:szCs w:val="20"/>
              </w:rPr>
              <w:t>statement</w:t>
            </w:r>
            <w:r w:rsidR="00374B2E" w:rsidRPr="00A95FAB">
              <w:rPr>
                <w:rFonts w:ascii="Arial" w:hAnsi="Arial" w:cs="Arial"/>
                <w:i/>
                <w:iCs/>
                <w:color w:val="000000" w:themeColor="text1"/>
                <w:szCs w:val="20"/>
              </w:rPr>
              <w:t xml:space="preserve"> should </w:t>
            </w:r>
            <w:r w:rsidR="00E50435" w:rsidRPr="00A95FAB">
              <w:rPr>
                <w:rFonts w:ascii="Arial" w:hAnsi="Arial" w:cs="Arial"/>
                <w:i/>
                <w:iCs/>
                <w:color w:val="000000" w:themeColor="text1"/>
                <w:szCs w:val="20"/>
              </w:rPr>
              <w:t xml:space="preserve">also </w:t>
            </w:r>
            <w:r w:rsidR="00374B2E" w:rsidRPr="00A95FAB">
              <w:rPr>
                <w:rFonts w:ascii="Arial" w:hAnsi="Arial" w:cs="Arial"/>
                <w:i/>
                <w:iCs/>
                <w:color w:val="000000" w:themeColor="text1"/>
                <w:szCs w:val="20"/>
              </w:rPr>
              <w:t xml:space="preserve">include </w:t>
            </w:r>
            <w:r w:rsidR="00E50435" w:rsidRPr="00A95FAB">
              <w:rPr>
                <w:rFonts w:ascii="Arial" w:hAnsi="Arial" w:cs="Arial"/>
                <w:i/>
                <w:iCs/>
                <w:color w:val="000000" w:themeColor="text1"/>
                <w:szCs w:val="20"/>
              </w:rPr>
              <w:t>the following:</w:t>
            </w:r>
            <w:r w:rsidR="00E50435" w:rsidRPr="00A95FAB">
              <w:rPr>
                <w:rFonts w:ascii="Arial" w:hAnsi="Arial" w:cs="Arial"/>
                <w:color w:val="000000" w:themeColor="text1"/>
                <w:szCs w:val="20"/>
              </w:rPr>
              <w:t xml:space="preserve"> 1) a</w:t>
            </w:r>
            <w:r w:rsidR="00374B2E" w:rsidRPr="00A95FAB">
              <w:rPr>
                <w:rFonts w:ascii="Arial" w:hAnsi="Arial" w:cs="Arial"/>
                <w:color w:val="000000" w:themeColor="text1"/>
                <w:szCs w:val="20"/>
              </w:rPr>
              <w:t>n introductory Primary Unit Summary paragraph that provides relevant details about the faculty member (e.g., degrees, experience, scholarly and creative expertise, etc.)</w:t>
            </w:r>
            <w:r w:rsidR="00E50435" w:rsidRPr="00A95FAB">
              <w:rPr>
                <w:rFonts w:ascii="Arial" w:hAnsi="Arial" w:cs="Arial"/>
                <w:color w:val="000000" w:themeColor="text1"/>
                <w:szCs w:val="20"/>
              </w:rPr>
              <w:t xml:space="preserve">; </w:t>
            </w:r>
            <w:r w:rsidR="00374B2E" w:rsidRPr="00A95FAB">
              <w:rPr>
                <w:rFonts w:ascii="Arial" w:hAnsi="Arial" w:cs="Arial"/>
                <w:color w:val="000000" w:themeColor="text1"/>
                <w:szCs w:val="20"/>
              </w:rPr>
              <w:t>2) a description of the (a) Scholarly and Creative Work, (b) Teaching, and (c) Leadership and Service of the candidate, and how those characteristics meet or exceed the unit’s criteria for the tenured rank being considered</w:t>
            </w:r>
            <w:r w:rsidR="00E50435" w:rsidRPr="00A95FAB">
              <w:rPr>
                <w:rFonts w:ascii="Arial" w:hAnsi="Arial" w:cs="Arial"/>
                <w:color w:val="000000" w:themeColor="text1"/>
                <w:szCs w:val="20"/>
              </w:rPr>
              <w:t>; 3) an explanation for any dissenting opinion as expressed in the vote.</w:t>
            </w:r>
            <w:r w:rsidR="00C628CC" w:rsidRPr="00A95FAB">
              <w:rPr>
                <w:rFonts w:ascii="Arial" w:hAnsi="Arial" w:cs="Arial"/>
                <w:color w:val="000000" w:themeColor="text1"/>
                <w:szCs w:val="20"/>
              </w:rPr>
              <w:t xml:space="preserve"> </w:t>
            </w:r>
            <w:r w:rsidR="006406D7" w:rsidRPr="00A95FAB">
              <w:rPr>
                <w:rFonts w:ascii="Arial" w:hAnsi="Arial" w:cs="Arial"/>
                <w:color w:val="000000" w:themeColor="text1"/>
                <w:szCs w:val="20"/>
              </w:rPr>
              <w:t>Please include a description of the review and voting process that was followed.</w:t>
            </w:r>
          </w:p>
        </w:tc>
      </w:tr>
      <w:tr w:rsidR="00E7502E" w:rsidRPr="00374B2E" w14:paraId="274DECA4" w14:textId="77777777" w:rsidTr="00716DEC">
        <w:tc>
          <w:tcPr>
            <w:tcW w:w="270" w:type="dxa"/>
          </w:tcPr>
          <w:p w14:paraId="7D8E93D5" w14:textId="6A93B344" w:rsidR="00E7502E" w:rsidRPr="00374B2E" w:rsidRDefault="00E7502E" w:rsidP="002B39DF">
            <w:pPr>
              <w:rPr>
                <w:rFonts w:ascii="Arial" w:hAnsi="Arial" w:cs="Arial"/>
                <w:noProof/>
                <w:color w:val="auto"/>
                <w:szCs w:val="20"/>
              </w:rPr>
            </w:pPr>
            <w:r w:rsidRPr="00374B2E">
              <w:rPr>
                <w:rFonts w:ascii="Arial" w:hAnsi="Arial" w:cs="Arial"/>
                <w:noProof/>
                <w:color w:val="auto"/>
                <w:szCs w:val="20"/>
              </w:rPr>
              <mc:AlternateContent>
                <mc:Choice Requires="wps">
                  <w:drawing>
                    <wp:inline distT="0" distB="0" distL="0" distR="0" wp14:anchorId="3F512819" wp14:editId="277C0C3E">
                      <wp:extent cx="130629" cy="130629"/>
                      <wp:effectExtent l="0" t="0" r="9525" b="9525"/>
                      <wp:docPr id="1549969819" name="Rectangle 15499698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8DEA62" id="Rectangle 1549969819"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520" w:type="dxa"/>
          </w:tcPr>
          <w:p w14:paraId="6214CBD9" w14:textId="358D7208" w:rsidR="00E7502E" w:rsidRPr="00A95FAB" w:rsidRDefault="00D5131C" w:rsidP="006406D7">
            <w:pPr>
              <w:rPr>
                <w:rFonts w:ascii="Arial" w:hAnsi="Arial" w:cs="Arial"/>
                <w:b/>
                <w:bCs/>
                <w:color w:val="000000" w:themeColor="text1"/>
                <w:szCs w:val="20"/>
              </w:rPr>
            </w:pPr>
            <w:r w:rsidRPr="00A95FAB">
              <w:rPr>
                <w:rFonts w:ascii="Arial" w:hAnsi="Arial" w:cs="Arial"/>
                <w:b/>
                <w:bCs/>
                <w:color w:val="000000" w:themeColor="text1"/>
                <w:szCs w:val="20"/>
              </w:rPr>
              <w:t>5</w:t>
            </w:r>
            <w:r w:rsidR="005502DD" w:rsidRPr="00A95FAB">
              <w:rPr>
                <w:rFonts w:ascii="Arial" w:hAnsi="Arial" w:cs="Arial"/>
                <w:b/>
                <w:bCs/>
                <w:color w:val="000000" w:themeColor="text1"/>
                <w:szCs w:val="20"/>
              </w:rPr>
              <w:t>a</w:t>
            </w:r>
            <w:r w:rsidRPr="00A95FAB">
              <w:rPr>
                <w:rFonts w:ascii="Arial" w:hAnsi="Arial" w:cs="Arial"/>
                <w:b/>
                <w:bCs/>
                <w:color w:val="000000" w:themeColor="text1"/>
                <w:szCs w:val="20"/>
              </w:rPr>
              <w:t>. Evidence of Teaching Competence</w:t>
            </w:r>
          </w:p>
          <w:p w14:paraId="25E71F15" w14:textId="68517D11" w:rsidR="00D5131C" w:rsidRPr="00A95FAB" w:rsidRDefault="00D5131C" w:rsidP="006406D7">
            <w:pPr>
              <w:rPr>
                <w:rFonts w:ascii="Arial" w:hAnsi="Arial" w:cs="Arial"/>
                <w:color w:val="000000" w:themeColor="text1"/>
                <w:szCs w:val="20"/>
              </w:rPr>
            </w:pPr>
            <w:r w:rsidRPr="00A95FAB">
              <w:rPr>
                <w:rFonts w:ascii="Arial" w:hAnsi="Arial" w:cs="Arial"/>
                <w:color w:val="000000" w:themeColor="text1"/>
                <w:szCs w:val="20"/>
              </w:rPr>
              <w:t xml:space="preserve">Please include a summary of </w:t>
            </w:r>
            <w:r w:rsidR="00F72459" w:rsidRPr="00A95FAB">
              <w:rPr>
                <w:rFonts w:ascii="Arial" w:hAnsi="Arial" w:cs="Arial"/>
                <w:color w:val="000000" w:themeColor="text1"/>
                <w:szCs w:val="20"/>
              </w:rPr>
              <w:t>the</w:t>
            </w:r>
            <w:r w:rsidRPr="00A95FAB">
              <w:rPr>
                <w:rFonts w:ascii="Arial" w:hAnsi="Arial" w:cs="Arial"/>
                <w:color w:val="000000" w:themeColor="text1"/>
                <w:szCs w:val="20"/>
              </w:rPr>
              <w:t xml:space="preserve"> materials the primary unit consulted to reach its conclusion that the candidate’s recent teaching performance meets the standards for a tenured faculty member at the University of Colorado Boulder.</w:t>
            </w:r>
            <w:r w:rsidR="00716DEC" w:rsidRPr="00A95FAB">
              <w:rPr>
                <w:rFonts w:ascii="Arial" w:hAnsi="Arial" w:cs="Arial"/>
                <w:color w:val="000000" w:themeColor="text1"/>
                <w:szCs w:val="20"/>
              </w:rPr>
              <w:t xml:space="preserve">  </w:t>
            </w:r>
          </w:p>
          <w:p w14:paraId="4A08428B" w14:textId="3245861B" w:rsidR="00D5131C" w:rsidRPr="00A95FAB" w:rsidRDefault="005502DD" w:rsidP="006406D7">
            <w:pPr>
              <w:rPr>
                <w:rFonts w:ascii="Arial" w:hAnsi="Arial" w:cs="Arial"/>
                <w:b/>
                <w:bCs/>
                <w:color w:val="000000" w:themeColor="text1"/>
                <w:szCs w:val="20"/>
              </w:rPr>
            </w:pPr>
            <w:r w:rsidRPr="00A95FAB">
              <w:rPr>
                <w:rFonts w:ascii="Arial" w:hAnsi="Arial" w:cs="Arial"/>
                <w:b/>
                <w:bCs/>
                <w:color w:val="000000" w:themeColor="text1"/>
                <w:szCs w:val="20"/>
              </w:rPr>
              <w:t xml:space="preserve">5b. </w:t>
            </w:r>
            <w:r w:rsidR="00D5131C" w:rsidRPr="00A95FAB">
              <w:rPr>
                <w:rFonts w:ascii="Arial" w:hAnsi="Arial" w:cs="Arial"/>
                <w:b/>
                <w:bCs/>
                <w:color w:val="000000" w:themeColor="text1"/>
                <w:szCs w:val="20"/>
              </w:rPr>
              <w:t>Faculty Statements on Scholarly and Creative Work, Teaching, and Leadership and Service*</w:t>
            </w:r>
            <w:r w:rsidR="000A27FC" w:rsidRPr="00A95FAB">
              <w:rPr>
                <w:rFonts w:ascii="Arial" w:hAnsi="Arial" w:cs="Arial"/>
                <w:b/>
                <w:bCs/>
                <w:color w:val="000000" w:themeColor="text1"/>
                <w:szCs w:val="20"/>
              </w:rPr>
              <w:t>*</w:t>
            </w:r>
            <w:r w:rsidR="009B4292" w:rsidRPr="00A95FAB">
              <w:rPr>
                <w:rFonts w:ascii="Arial" w:hAnsi="Arial" w:cs="Arial"/>
                <w:b/>
                <w:bCs/>
                <w:color w:val="000000" w:themeColor="text1"/>
                <w:szCs w:val="20"/>
              </w:rPr>
              <w:t>*</w:t>
            </w:r>
          </w:p>
          <w:p w14:paraId="61CA41DF" w14:textId="6A29BC97" w:rsidR="005502DD" w:rsidRPr="00A95FAB" w:rsidRDefault="005502DD" w:rsidP="00716DEC">
            <w:pPr>
              <w:tabs>
                <w:tab w:val="left" w:pos="2880"/>
                <w:tab w:val="left" w:pos="5040"/>
                <w:tab w:val="right" w:pos="8640"/>
              </w:tabs>
              <w:autoSpaceDE w:val="0"/>
              <w:autoSpaceDN w:val="0"/>
              <w:rPr>
                <w:rFonts w:ascii="Arial" w:hAnsi="Arial" w:cs="Arial"/>
                <w:color w:val="000000" w:themeColor="text1"/>
                <w:szCs w:val="20"/>
              </w:rPr>
            </w:pPr>
            <w:r w:rsidRPr="00A95FAB">
              <w:rPr>
                <w:rFonts w:ascii="Arial" w:hAnsi="Arial" w:cs="Arial"/>
                <w:color w:val="000000" w:themeColor="text1"/>
                <w:szCs w:val="20"/>
              </w:rPr>
              <w:t>In cases where the candidate does not hold tenure at their current institution, and/or is being promoted to a higher rank at time of hire, please also include candidate statements on scholarly and creative work, teaching, and leadership and service. These narratives</w:t>
            </w:r>
            <w:r w:rsidR="00AA0E23" w:rsidRPr="00A95FAB">
              <w:rPr>
                <w:rFonts w:ascii="Arial" w:hAnsi="Arial" w:cs="Arial"/>
                <w:color w:val="000000" w:themeColor="text1"/>
                <w:szCs w:val="20"/>
              </w:rPr>
              <w:t>,</w:t>
            </w:r>
            <w:r w:rsidRPr="00A95FAB">
              <w:rPr>
                <w:rFonts w:ascii="Arial" w:hAnsi="Arial" w:cs="Arial"/>
                <w:color w:val="000000" w:themeColor="text1"/>
                <w:szCs w:val="20"/>
              </w:rPr>
              <w:t xml:space="preserve"> </w:t>
            </w:r>
            <w:r w:rsidR="00AA0E23" w:rsidRPr="00A95FAB">
              <w:rPr>
                <w:rFonts w:ascii="Arial" w:hAnsi="Arial" w:cs="Arial"/>
                <w:color w:val="000000" w:themeColor="text1"/>
                <w:szCs w:val="20"/>
              </w:rPr>
              <w:t>usually</w:t>
            </w:r>
            <w:r w:rsidRPr="00A95FAB">
              <w:rPr>
                <w:rFonts w:ascii="Arial" w:hAnsi="Arial" w:cs="Arial"/>
                <w:color w:val="000000" w:themeColor="text1"/>
                <w:szCs w:val="20"/>
              </w:rPr>
              <w:t xml:space="preserve"> </w:t>
            </w:r>
            <w:r w:rsidR="007A723F" w:rsidRPr="00A95FAB">
              <w:rPr>
                <w:rFonts w:ascii="Arial" w:hAnsi="Arial" w:cs="Arial"/>
                <w:color w:val="000000" w:themeColor="text1"/>
                <w:szCs w:val="20"/>
              </w:rPr>
              <w:t>a maximum of 1,500 words</w:t>
            </w:r>
            <w:r w:rsidRPr="00A95FAB">
              <w:rPr>
                <w:rFonts w:ascii="Arial" w:hAnsi="Arial" w:cs="Arial"/>
                <w:color w:val="000000" w:themeColor="text1"/>
                <w:szCs w:val="20"/>
              </w:rPr>
              <w:t xml:space="preserve"> each</w:t>
            </w:r>
            <w:r w:rsidR="00AA0E23" w:rsidRPr="00A95FAB">
              <w:rPr>
                <w:rFonts w:ascii="Arial" w:hAnsi="Arial" w:cs="Arial"/>
                <w:color w:val="000000" w:themeColor="text1"/>
                <w:szCs w:val="20"/>
              </w:rPr>
              <w:t>,</w:t>
            </w:r>
            <w:r w:rsidRPr="00A95FAB">
              <w:rPr>
                <w:rFonts w:ascii="Arial" w:hAnsi="Arial" w:cs="Arial"/>
                <w:color w:val="000000" w:themeColor="text1"/>
                <w:szCs w:val="20"/>
              </w:rPr>
              <w:t xml:space="preserve"> are an opportunity for the candidate to speak directly to the review committee members, highlighting their major contributions in all three areas.</w:t>
            </w:r>
          </w:p>
        </w:tc>
      </w:tr>
      <w:tr w:rsidR="00E7502E" w:rsidRPr="00374B2E" w14:paraId="25C20BEA" w14:textId="77777777" w:rsidTr="00716DEC">
        <w:tc>
          <w:tcPr>
            <w:tcW w:w="270" w:type="dxa"/>
          </w:tcPr>
          <w:p w14:paraId="2654D456" w14:textId="5CEE7319" w:rsidR="00E7502E" w:rsidRPr="00374B2E" w:rsidRDefault="00E7502E" w:rsidP="002B39DF">
            <w:pPr>
              <w:rPr>
                <w:rFonts w:ascii="Arial" w:hAnsi="Arial" w:cs="Arial"/>
                <w:color w:val="auto"/>
                <w:szCs w:val="20"/>
              </w:rPr>
            </w:pPr>
            <w:r w:rsidRPr="00374B2E">
              <w:rPr>
                <w:rFonts w:ascii="Arial" w:hAnsi="Arial" w:cs="Arial"/>
                <w:noProof/>
                <w:color w:val="auto"/>
                <w:szCs w:val="20"/>
              </w:rPr>
              <mc:AlternateContent>
                <mc:Choice Requires="wps">
                  <w:drawing>
                    <wp:inline distT="0" distB="0" distL="0" distR="0" wp14:anchorId="42C27859" wp14:editId="398FC83F">
                      <wp:extent cx="130629" cy="130629"/>
                      <wp:effectExtent l="0" t="0" r="9525" b="9525"/>
                      <wp:docPr id="1912065849" name="Rectangle 19120658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6E6719" id="Rectangle 1912065849"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520" w:type="dxa"/>
            <w:vAlign w:val="center"/>
          </w:tcPr>
          <w:p w14:paraId="3C6AEB5E" w14:textId="77777777" w:rsidR="00E7502E" w:rsidRPr="00FA0A26" w:rsidRDefault="00FA0A26" w:rsidP="00EE7907">
            <w:pPr>
              <w:rPr>
                <w:rFonts w:ascii="Arial" w:hAnsi="Arial" w:cs="Arial"/>
                <w:b/>
                <w:bCs/>
                <w:color w:val="auto"/>
                <w:szCs w:val="20"/>
              </w:rPr>
            </w:pPr>
            <w:r w:rsidRPr="00FA0A26">
              <w:rPr>
                <w:rFonts w:ascii="Arial" w:hAnsi="Arial" w:cs="Arial"/>
                <w:b/>
                <w:bCs/>
                <w:color w:val="auto"/>
                <w:szCs w:val="20"/>
              </w:rPr>
              <w:t>6. External Letters of Evaluation</w:t>
            </w:r>
          </w:p>
          <w:p w14:paraId="231DAE14" w14:textId="19DCBC07" w:rsidR="00FA0A26" w:rsidRPr="00A95FAB" w:rsidRDefault="00FA0A26" w:rsidP="00716DEC">
            <w:pPr>
              <w:tabs>
                <w:tab w:val="left" w:pos="2880"/>
                <w:tab w:val="left" w:pos="5040"/>
                <w:tab w:val="right" w:pos="8640"/>
              </w:tabs>
              <w:autoSpaceDE w:val="0"/>
              <w:autoSpaceDN w:val="0"/>
              <w:rPr>
                <w:rFonts w:ascii="Arial" w:hAnsi="Arial" w:cs="Arial"/>
                <w:color w:val="000000" w:themeColor="text1"/>
                <w:szCs w:val="20"/>
              </w:rPr>
            </w:pPr>
            <w:r w:rsidRPr="00A95FAB">
              <w:rPr>
                <w:rFonts w:ascii="Arial" w:hAnsi="Arial" w:cs="Arial"/>
                <w:color w:val="000000" w:themeColor="text1"/>
                <w:szCs w:val="20"/>
              </w:rPr>
              <w:t xml:space="preserve">Please include the external letters that the primary unit considered in reaching the conclusion that the candidate </w:t>
            </w:r>
            <w:r w:rsidR="00E5438C">
              <w:rPr>
                <w:rFonts w:ascii="Arial" w:hAnsi="Arial" w:cs="Arial"/>
                <w:color w:val="000000" w:themeColor="text1"/>
                <w:szCs w:val="20"/>
              </w:rPr>
              <w:t>is accomplished to the level of</w:t>
            </w:r>
            <w:r w:rsidR="00E5438C" w:rsidRPr="00A95FAB">
              <w:rPr>
                <w:rFonts w:ascii="Arial" w:hAnsi="Arial" w:cs="Arial"/>
                <w:color w:val="000000" w:themeColor="text1"/>
                <w:szCs w:val="20"/>
              </w:rPr>
              <w:t xml:space="preserve"> </w:t>
            </w:r>
            <w:r w:rsidRPr="00A95FAB">
              <w:rPr>
                <w:rFonts w:ascii="Arial" w:hAnsi="Arial" w:cs="Arial"/>
                <w:color w:val="000000" w:themeColor="text1"/>
                <w:szCs w:val="20"/>
              </w:rPr>
              <w:t>an appointment with tenure at CU Boulder. A minimum of three letters is required</w:t>
            </w:r>
            <w:r w:rsidR="00E5438C">
              <w:rPr>
                <w:rFonts w:ascii="Arial" w:hAnsi="Arial" w:cs="Arial"/>
                <w:color w:val="000000" w:themeColor="text1"/>
                <w:szCs w:val="20"/>
              </w:rPr>
              <w:t xml:space="preserve"> for lateral hires</w:t>
            </w:r>
            <w:r w:rsidRPr="00A95FAB">
              <w:rPr>
                <w:rFonts w:ascii="Arial" w:hAnsi="Arial" w:cs="Arial"/>
                <w:color w:val="000000" w:themeColor="text1"/>
                <w:szCs w:val="20"/>
              </w:rPr>
              <w:t xml:space="preserve">. The letters may be the recommendation letters submitted with the application for the position. </w:t>
            </w:r>
            <w:r w:rsidRPr="00A95FAB">
              <w:rPr>
                <w:rFonts w:ascii="Arial" w:hAnsi="Arial" w:cs="Arial"/>
                <w:i/>
                <w:iCs/>
                <w:color w:val="000000" w:themeColor="text1"/>
                <w:szCs w:val="20"/>
              </w:rPr>
              <w:t>For cases where the candidate does not hold tenure at their current institution, and/or appointment includes promotion to a higher rank,</w:t>
            </w:r>
            <w:r w:rsidRPr="00A95FAB">
              <w:rPr>
                <w:rFonts w:ascii="Arial" w:hAnsi="Arial" w:cs="Arial"/>
                <w:color w:val="000000" w:themeColor="text1"/>
                <w:szCs w:val="20"/>
              </w:rPr>
              <w:t xml:space="preserve"> six external letters </w:t>
            </w:r>
            <w:r w:rsidR="00E5438C">
              <w:rPr>
                <w:rFonts w:ascii="Arial" w:hAnsi="Arial" w:cs="Arial"/>
                <w:color w:val="000000" w:themeColor="text1"/>
                <w:szCs w:val="20"/>
              </w:rPr>
              <w:t>are required</w:t>
            </w:r>
            <w:r w:rsidR="00A00613" w:rsidRPr="00A95FAB">
              <w:rPr>
                <w:rFonts w:ascii="Arial" w:hAnsi="Arial" w:cs="Arial"/>
                <w:color w:val="000000" w:themeColor="text1"/>
                <w:szCs w:val="20"/>
              </w:rPr>
              <w:t xml:space="preserve"> (</w:t>
            </w:r>
            <w:r w:rsidR="00E5438C">
              <w:rPr>
                <w:rFonts w:ascii="Arial" w:hAnsi="Arial" w:cs="Arial"/>
                <w:color w:val="000000" w:themeColor="text1"/>
                <w:szCs w:val="20"/>
              </w:rPr>
              <w:t>along with</w:t>
            </w:r>
            <w:r w:rsidR="00E5438C" w:rsidRPr="00A95FAB">
              <w:rPr>
                <w:rFonts w:ascii="Arial" w:hAnsi="Arial" w:cs="Arial"/>
                <w:color w:val="000000" w:themeColor="text1"/>
                <w:szCs w:val="20"/>
              </w:rPr>
              <w:t xml:space="preserve"> </w:t>
            </w:r>
            <w:r w:rsidR="00A00613" w:rsidRPr="00A95FAB">
              <w:rPr>
                <w:rFonts w:ascii="Arial" w:hAnsi="Arial" w:cs="Arial"/>
                <w:color w:val="000000" w:themeColor="text1"/>
                <w:szCs w:val="20"/>
              </w:rPr>
              <w:t>an accompanying external reviewer key)</w:t>
            </w:r>
            <w:r w:rsidR="00E5438C">
              <w:rPr>
                <w:rFonts w:ascii="Arial" w:hAnsi="Arial" w:cs="Arial"/>
                <w:color w:val="000000" w:themeColor="text1"/>
                <w:szCs w:val="20"/>
              </w:rPr>
              <w:t>,</w:t>
            </w:r>
            <w:r w:rsidRPr="00A95FAB">
              <w:rPr>
                <w:rFonts w:ascii="Arial" w:hAnsi="Arial" w:cs="Arial"/>
                <w:color w:val="000000" w:themeColor="text1"/>
                <w:szCs w:val="20"/>
              </w:rPr>
              <w:t xml:space="preserve"> because a full review for tenure and/or promotion must be </w:t>
            </w:r>
            <w:proofErr w:type="gramStart"/>
            <w:r w:rsidRPr="00A95FAB">
              <w:rPr>
                <w:rFonts w:ascii="Arial" w:hAnsi="Arial" w:cs="Arial"/>
                <w:color w:val="000000" w:themeColor="text1"/>
                <w:szCs w:val="20"/>
              </w:rPr>
              <w:t>conducted</w:t>
            </w:r>
            <w:r w:rsidR="00834F7E" w:rsidRPr="00A95FAB">
              <w:rPr>
                <w:rFonts w:ascii="Arial" w:hAnsi="Arial" w:cs="Arial"/>
                <w:color w:val="000000" w:themeColor="text1"/>
                <w:szCs w:val="20"/>
              </w:rPr>
              <w:t>.</w:t>
            </w:r>
            <w:r w:rsidR="007B539F" w:rsidRPr="00A95FAB">
              <w:rPr>
                <w:rFonts w:ascii="Arial" w:hAnsi="Arial" w:cs="Arial"/>
                <w:b/>
                <w:bCs/>
                <w:color w:val="000000" w:themeColor="text1"/>
                <w:szCs w:val="20"/>
              </w:rPr>
              <w:t>*</w:t>
            </w:r>
            <w:proofErr w:type="gramEnd"/>
            <w:r w:rsidR="007B539F" w:rsidRPr="00A95FAB">
              <w:rPr>
                <w:rFonts w:ascii="Arial" w:hAnsi="Arial" w:cs="Arial"/>
                <w:b/>
                <w:bCs/>
                <w:color w:val="000000" w:themeColor="text1"/>
                <w:szCs w:val="20"/>
              </w:rPr>
              <w:t>***</w:t>
            </w:r>
            <w:r w:rsidRPr="00A95FAB">
              <w:rPr>
                <w:rFonts w:ascii="Arial" w:hAnsi="Arial" w:cs="Arial"/>
                <w:color w:val="000000" w:themeColor="text1"/>
                <w:szCs w:val="20"/>
              </w:rPr>
              <w:t xml:space="preserve">  </w:t>
            </w:r>
          </w:p>
          <w:p w14:paraId="1F62A0DD" w14:textId="55BEAA8E" w:rsidR="004063E7" w:rsidRPr="00716DEC" w:rsidRDefault="004063E7" w:rsidP="00716DEC">
            <w:pPr>
              <w:tabs>
                <w:tab w:val="left" w:pos="2880"/>
                <w:tab w:val="left" w:pos="5040"/>
                <w:tab w:val="right" w:pos="8640"/>
              </w:tabs>
              <w:autoSpaceDE w:val="0"/>
              <w:autoSpaceDN w:val="0"/>
              <w:rPr>
                <w:rFonts w:ascii="Arial" w:hAnsi="Arial" w:cs="Arial"/>
                <w:szCs w:val="20"/>
              </w:rPr>
            </w:pPr>
          </w:p>
        </w:tc>
      </w:tr>
      <w:tr w:rsidR="00E7502E" w:rsidRPr="00374B2E" w14:paraId="7E99A32C" w14:textId="77777777" w:rsidTr="00716DEC">
        <w:tc>
          <w:tcPr>
            <w:tcW w:w="270" w:type="dxa"/>
          </w:tcPr>
          <w:p w14:paraId="204FCA61" w14:textId="5C01F187" w:rsidR="00E7502E" w:rsidRPr="00374B2E" w:rsidRDefault="00E7502E" w:rsidP="002B39DF">
            <w:pPr>
              <w:rPr>
                <w:rFonts w:ascii="Arial" w:hAnsi="Arial" w:cs="Arial"/>
                <w:color w:val="auto"/>
                <w:szCs w:val="20"/>
              </w:rPr>
            </w:pPr>
            <w:r w:rsidRPr="00374B2E">
              <w:rPr>
                <w:rFonts w:ascii="Arial" w:hAnsi="Arial" w:cs="Arial"/>
                <w:noProof/>
                <w:color w:val="auto"/>
                <w:szCs w:val="20"/>
              </w:rPr>
              <w:lastRenderedPageBreak/>
              <mc:AlternateContent>
                <mc:Choice Requires="wps">
                  <w:drawing>
                    <wp:inline distT="0" distB="0" distL="0" distR="0" wp14:anchorId="519B9D50" wp14:editId="59EED4A9">
                      <wp:extent cx="130629" cy="130629"/>
                      <wp:effectExtent l="0" t="0" r="9525" b="9525"/>
                      <wp:docPr id="1127642759" name="Rectangle 11276427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9CB23F" id="Rectangle 1127642759"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520" w:type="dxa"/>
            <w:vAlign w:val="center"/>
          </w:tcPr>
          <w:p w14:paraId="40ADE709" w14:textId="77777777" w:rsidR="00E7502E" w:rsidRPr="00716DEC" w:rsidRDefault="00716DEC" w:rsidP="00EE7907">
            <w:pPr>
              <w:rPr>
                <w:rFonts w:ascii="Arial" w:hAnsi="Arial" w:cs="Arial"/>
                <w:b/>
                <w:bCs/>
                <w:color w:val="auto"/>
                <w:szCs w:val="20"/>
              </w:rPr>
            </w:pPr>
            <w:r w:rsidRPr="00716DEC">
              <w:rPr>
                <w:rFonts w:ascii="Arial" w:hAnsi="Arial" w:cs="Arial"/>
                <w:b/>
                <w:bCs/>
                <w:color w:val="auto"/>
                <w:szCs w:val="20"/>
              </w:rPr>
              <w:t>7. Primary Unit Criteria</w:t>
            </w:r>
          </w:p>
          <w:p w14:paraId="3013B1D2" w14:textId="2D456FE5" w:rsidR="00716DEC" w:rsidRPr="00374B2E" w:rsidRDefault="00716DEC" w:rsidP="00EE7907">
            <w:pPr>
              <w:rPr>
                <w:rFonts w:ascii="Arial" w:hAnsi="Arial" w:cs="Arial"/>
                <w:color w:val="auto"/>
                <w:szCs w:val="20"/>
              </w:rPr>
            </w:pPr>
            <w:r w:rsidRPr="00A95FAB">
              <w:rPr>
                <w:rFonts w:ascii="Arial" w:hAnsi="Arial" w:cs="Arial"/>
                <w:color w:val="000000" w:themeColor="text1"/>
                <w:szCs w:val="20"/>
              </w:rPr>
              <w:t xml:space="preserve">This document describes the policies, procedures, criteria, and evidence that the primary unit has agreed upon for evaluating comprehensive review, tenure, and promotion cases. This document is mandated and defined in </w:t>
            </w:r>
            <w:hyperlink r:id="rId8" w:history="1">
              <w:r w:rsidRPr="00716DEC">
                <w:rPr>
                  <w:rStyle w:val="Hyperlink"/>
                  <w:rFonts w:ascii="Arial" w:hAnsi="Arial" w:cs="Arial"/>
                  <w:szCs w:val="20"/>
                </w:rPr>
                <w:t xml:space="preserve">Administrative Policy Statement 1022: </w:t>
              </w:r>
              <w:r w:rsidRPr="00716DEC">
                <w:rPr>
                  <w:rStyle w:val="Hyperlink"/>
                  <w:rFonts w:ascii="Arial" w:hAnsi="Arial" w:cs="Arial"/>
                  <w:bCs/>
                  <w:szCs w:val="20"/>
                </w:rPr>
                <w:t>Standards, Processes and Procedures for Reappointment, Tenure, Promotion, and Post-Tenure Review</w:t>
              </w:r>
            </w:hyperlink>
            <w:r w:rsidR="00E5438C">
              <w:rPr>
                <w:rStyle w:val="Hyperlink"/>
                <w:rFonts w:ascii="Arial" w:hAnsi="Arial" w:cs="Arial"/>
                <w:bCs/>
                <w:szCs w:val="20"/>
              </w:rPr>
              <w:t>.</w:t>
            </w:r>
          </w:p>
        </w:tc>
      </w:tr>
      <w:tr w:rsidR="00E7502E" w:rsidRPr="00374B2E" w14:paraId="39CB0A32" w14:textId="77777777" w:rsidTr="00716DEC">
        <w:tc>
          <w:tcPr>
            <w:tcW w:w="270" w:type="dxa"/>
          </w:tcPr>
          <w:p w14:paraId="6715BFAD" w14:textId="3A6145FD" w:rsidR="00E7502E" w:rsidRPr="00374B2E" w:rsidRDefault="00E7502E" w:rsidP="002B39DF">
            <w:pPr>
              <w:rPr>
                <w:rFonts w:ascii="Arial" w:hAnsi="Arial" w:cs="Arial"/>
                <w:color w:val="auto"/>
                <w:szCs w:val="20"/>
              </w:rPr>
            </w:pPr>
            <w:r w:rsidRPr="00374B2E">
              <w:rPr>
                <w:rFonts w:ascii="Arial" w:hAnsi="Arial" w:cs="Arial"/>
                <w:noProof/>
                <w:color w:val="auto"/>
                <w:szCs w:val="20"/>
              </w:rPr>
              <mc:AlternateContent>
                <mc:Choice Requires="wps">
                  <w:drawing>
                    <wp:inline distT="0" distB="0" distL="0" distR="0" wp14:anchorId="40C6D8A5" wp14:editId="277214B3">
                      <wp:extent cx="130629" cy="130629"/>
                      <wp:effectExtent l="0" t="0" r="9525" b="9525"/>
                      <wp:docPr id="1104022628" name="Rectangle 11040226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C47783" id="Rectangle 1104022628"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520" w:type="dxa"/>
            <w:vAlign w:val="center"/>
          </w:tcPr>
          <w:p w14:paraId="3F8389B6" w14:textId="77777777" w:rsidR="00E7502E" w:rsidRPr="00C302C2" w:rsidRDefault="00C302C2" w:rsidP="00EE7907">
            <w:pPr>
              <w:rPr>
                <w:rFonts w:ascii="Arial" w:hAnsi="Arial" w:cs="Arial"/>
                <w:b/>
                <w:bCs/>
                <w:color w:val="auto"/>
                <w:szCs w:val="20"/>
              </w:rPr>
            </w:pPr>
            <w:r w:rsidRPr="00C302C2">
              <w:rPr>
                <w:rFonts w:ascii="Arial" w:hAnsi="Arial" w:cs="Arial"/>
                <w:b/>
                <w:bCs/>
                <w:color w:val="auto"/>
                <w:szCs w:val="20"/>
              </w:rPr>
              <w:t>8. Memorandum of Understanding that accompanied initial offer letter</w:t>
            </w:r>
          </w:p>
          <w:p w14:paraId="486730E1" w14:textId="5E3E1C8C" w:rsidR="00C302C2" w:rsidRPr="00374B2E" w:rsidRDefault="00C302C2" w:rsidP="00EE7907">
            <w:pPr>
              <w:rPr>
                <w:rFonts w:ascii="Arial" w:hAnsi="Arial" w:cs="Arial"/>
                <w:color w:val="auto"/>
                <w:szCs w:val="20"/>
              </w:rPr>
            </w:pPr>
            <w:r>
              <w:rPr>
                <w:rFonts w:ascii="Arial" w:hAnsi="Arial" w:cs="Arial"/>
                <w:color w:val="auto"/>
                <w:szCs w:val="20"/>
              </w:rPr>
              <w:t>This document is only for faculty members rostered in a unit outside of the tenure home department, such as the museum or an institute.</w:t>
            </w:r>
          </w:p>
        </w:tc>
      </w:tr>
      <w:tr w:rsidR="00E7502E" w:rsidRPr="00374B2E" w14:paraId="614BC01F" w14:textId="77777777" w:rsidTr="00716DEC">
        <w:tc>
          <w:tcPr>
            <w:tcW w:w="270" w:type="dxa"/>
          </w:tcPr>
          <w:p w14:paraId="6E7AC298" w14:textId="5E90D9F0" w:rsidR="00E7502E" w:rsidRPr="00374B2E" w:rsidRDefault="00E7502E" w:rsidP="002B39DF">
            <w:pPr>
              <w:rPr>
                <w:rFonts w:ascii="Arial" w:hAnsi="Arial" w:cs="Arial"/>
                <w:color w:val="auto"/>
                <w:szCs w:val="20"/>
              </w:rPr>
            </w:pPr>
            <w:r w:rsidRPr="00374B2E">
              <w:rPr>
                <w:rFonts w:ascii="Arial" w:hAnsi="Arial" w:cs="Arial"/>
                <w:noProof/>
                <w:color w:val="auto"/>
                <w:szCs w:val="20"/>
              </w:rPr>
              <mc:AlternateContent>
                <mc:Choice Requires="wps">
                  <w:drawing>
                    <wp:inline distT="0" distB="0" distL="0" distR="0" wp14:anchorId="7605ADE4" wp14:editId="52ECFEA3">
                      <wp:extent cx="130629" cy="130629"/>
                      <wp:effectExtent l="0" t="0" r="9525" b="9525"/>
                      <wp:docPr id="1283041249" name="Rectangle 1283041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B6A976" id="Rectangle 1283041249"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520" w:type="dxa"/>
            <w:vAlign w:val="center"/>
          </w:tcPr>
          <w:p w14:paraId="76882DA3" w14:textId="170AADD3" w:rsidR="00E7502E" w:rsidRPr="004063E7" w:rsidRDefault="004063E7" w:rsidP="00EE7907">
            <w:pPr>
              <w:rPr>
                <w:rFonts w:ascii="Arial" w:hAnsi="Arial" w:cs="Arial"/>
                <w:b/>
                <w:bCs/>
                <w:color w:val="auto"/>
                <w:szCs w:val="20"/>
              </w:rPr>
            </w:pPr>
            <w:r w:rsidRPr="004063E7">
              <w:rPr>
                <w:rFonts w:ascii="Arial" w:hAnsi="Arial" w:cs="Arial"/>
                <w:b/>
                <w:bCs/>
                <w:color w:val="auto"/>
                <w:szCs w:val="20"/>
              </w:rPr>
              <w:t>9. Examples of Publications/Creative Work (3 only)</w:t>
            </w:r>
          </w:p>
        </w:tc>
      </w:tr>
      <w:tr w:rsidR="00E7502E" w:rsidRPr="00374B2E" w14:paraId="5718CC8C" w14:textId="77777777" w:rsidTr="00716DEC">
        <w:tc>
          <w:tcPr>
            <w:tcW w:w="270" w:type="dxa"/>
          </w:tcPr>
          <w:p w14:paraId="3216537B" w14:textId="0FDA07AC" w:rsidR="00E7502E" w:rsidRPr="00374B2E" w:rsidRDefault="00E7502E" w:rsidP="002B39DF">
            <w:pPr>
              <w:rPr>
                <w:rFonts w:ascii="Arial" w:hAnsi="Arial" w:cs="Arial"/>
                <w:color w:val="auto"/>
                <w:szCs w:val="20"/>
              </w:rPr>
            </w:pPr>
          </w:p>
        </w:tc>
        <w:tc>
          <w:tcPr>
            <w:tcW w:w="10520" w:type="dxa"/>
            <w:vAlign w:val="center"/>
          </w:tcPr>
          <w:p w14:paraId="1D8D76F1" w14:textId="6F5A6615" w:rsidR="00E7502E" w:rsidRPr="00374B2E" w:rsidRDefault="004063E7" w:rsidP="00EE7907">
            <w:pPr>
              <w:rPr>
                <w:rFonts w:ascii="Arial" w:hAnsi="Arial" w:cs="Arial"/>
                <w:color w:val="auto"/>
                <w:szCs w:val="20"/>
              </w:rPr>
            </w:pPr>
            <w:r w:rsidRPr="00374B2E">
              <w:rPr>
                <w:rFonts w:ascii="Arial" w:hAnsi="Arial" w:cs="Arial"/>
                <w:color w:val="auto"/>
                <w:szCs w:val="20"/>
              </w:rPr>
              <w:t>Three representative examples of scholarly and creative work are sufficient. When photographs, recordings, or other multimedia works are appropriate records of scholarly or creative work, candidates should submit examples.</w:t>
            </w:r>
          </w:p>
        </w:tc>
      </w:tr>
      <w:tr w:rsidR="00E7502E" w:rsidRPr="00374B2E" w14:paraId="7C9E8EB3" w14:textId="77777777" w:rsidTr="00716DEC">
        <w:tc>
          <w:tcPr>
            <w:tcW w:w="270" w:type="dxa"/>
          </w:tcPr>
          <w:p w14:paraId="6D6BFE42" w14:textId="057006E0" w:rsidR="00E7502E" w:rsidRPr="00374B2E" w:rsidRDefault="00E7502E" w:rsidP="002B39DF">
            <w:pPr>
              <w:rPr>
                <w:rFonts w:ascii="Arial" w:hAnsi="Arial" w:cs="Arial"/>
                <w:color w:val="auto"/>
                <w:szCs w:val="20"/>
              </w:rPr>
            </w:pPr>
          </w:p>
        </w:tc>
        <w:tc>
          <w:tcPr>
            <w:tcW w:w="10520" w:type="dxa"/>
          </w:tcPr>
          <w:p w14:paraId="63061D4A" w14:textId="4101A39E" w:rsidR="00E7502E" w:rsidRPr="00374B2E" w:rsidRDefault="00E7502E" w:rsidP="00EE7907">
            <w:pPr>
              <w:ind w:right="-64"/>
              <w:rPr>
                <w:rFonts w:ascii="Arial" w:hAnsi="Arial" w:cs="Arial"/>
                <w:color w:val="auto"/>
                <w:szCs w:val="20"/>
              </w:rPr>
            </w:pPr>
          </w:p>
        </w:tc>
      </w:tr>
      <w:tr w:rsidR="00E7502E" w:rsidRPr="00374B2E" w14:paraId="48A3EACF" w14:textId="77777777" w:rsidTr="00716DEC">
        <w:tc>
          <w:tcPr>
            <w:tcW w:w="270" w:type="dxa"/>
          </w:tcPr>
          <w:p w14:paraId="3D52ED91" w14:textId="35C466DD" w:rsidR="00E7502E" w:rsidRPr="00374B2E" w:rsidRDefault="00E7502E" w:rsidP="002B39DF">
            <w:pPr>
              <w:rPr>
                <w:rFonts w:ascii="Arial" w:hAnsi="Arial" w:cs="Arial"/>
                <w:color w:val="auto"/>
                <w:szCs w:val="20"/>
              </w:rPr>
            </w:pPr>
          </w:p>
        </w:tc>
        <w:tc>
          <w:tcPr>
            <w:tcW w:w="10520" w:type="dxa"/>
          </w:tcPr>
          <w:p w14:paraId="31709F81" w14:textId="6A852466" w:rsidR="00E7502E" w:rsidRPr="00374B2E" w:rsidRDefault="00E7502E" w:rsidP="00EE7907">
            <w:pPr>
              <w:rPr>
                <w:rFonts w:ascii="Arial" w:hAnsi="Arial" w:cs="Arial"/>
                <w:color w:val="auto"/>
                <w:szCs w:val="20"/>
              </w:rPr>
            </w:pPr>
          </w:p>
        </w:tc>
      </w:tr>
      <w:tr w:rsidR="00E7502E" w:rsidRPr="00374B2E" w14:paraId="76E68DEB" w14:textId="77777777" w:rsidTr="00716DEC">
        <w:tc>
          <w:tcPr>
            <w:tcW w:w="270" w:type="dxa"/>
          </w:tcPr>
          <w:p w14:paraId="4E5C3036" w14:textId="4AAAFB8F" w:rsidR="00E7502E" w:rsidRPr="00374B2E" w:rsidRDefault="00E7502E" w:rsidP="002B39DF">
            <w:pPr>
              <w:rPr>
                <w:rFonts w:ascii="Arial" w:hAnsi="Arial" w:cs="Arial"/>
                <w:color w:val="auto"/>
                <w:szCs w:val="20"/>
              </w:rPr>
            </w:pPr>
          </w:p>
        </w:tc>
        <w:tc>
          <w:tcPr>
            <w:tcW w:w="10520" w:type="dxa"/>
          </w:tcPr>
          <w:p w14:paraId="41B2795C" w14:textId="71C51266" w:rsidR="00E7502E" w:rsidRPr="00374B2E" w:rsidRDefault="00E7502E" w:rsidP="00EE7907">
            <w:pPr>
              <w:ind w:right="-547"/>
              <w:rPr>
                <w:rStyle w:val="Heading4Char"/>
                <w:rFonts w:ascii="Arial" w:hAnsi="Arial" w:cs="Arial"/>
                <w:color w:val="auto"/>
                <w:szCs w:val="20"/>
              </w:rPr>
            </w:pPr>
          </w:p>
        </w:tc>
      </w:tr>
      <w:tr w:rsidR="00E7502E" w:rsidRPr="00374B2E" w14:paraId="2BB850EE" w14:textId="77777777" w:rsidTr="00716DEC">
        <w:tc>
          <w:tcPr>
            <w:tcW w:w="270" w:type="dxa"/>
          </w:tcPr>
          <w:p w14:paraId="05DF65DD" w14:textId="1C817D89" w:rsidR="00E7502E" w:rsidRPr="00374B2E" w:rsidRDefault="00E7502E" w:rsidP="002B39DF">
            <w:pPr>
              <w:rPr>
                <w:rFonts w:ascii="Arial" w:hAnsi="Arial" w:cs="Arial"/>
                <w:color w:val="auto"/>
                <w:szCs w:val="20"/>
              </w:rPr>
            </w:pPr>
          </w:p>
        </w:tc>
        <w:tc>
          <w:tcPr>
            <w:tcW w:w="10520" w:type="dxa"/>
          </w:tcPr>
          <w:p w14:paraId="66537B91" w14:textId="7B9A0C85" w:rsidR="00E7502E" w:rsidRPr="00374B2E" w:rsidRDefault="00E7502E" w:rsidP="00EE7907">
            <w:pPr>
              <w:rPr>
                <w:rStyle w:val="Heading4Char"/>
                <w:rFonts w:ascii="Arial" w:eastAsiaTheme="minorHAnsi" w:hAnsi="Arial" w:cs="Arial"/>
                <w:i w:val="0"/>
                <w:iCs w:val="0"/>
                <w:color w:val="auto"/>
                <w:szCs w:val="20"/>
                <w:u w:val="single"/>
              </w:rPr>
            </w:pPr>
          </w:p>
        </w:tc>
      </w:tr>
      <w:tr w:rsidR="004063E7" w:rsidRPr="00374B2E" w14:paraId="0D1FA7AD" w14:textId="77777777" w:rsidTr="00716DEC">
        <w:tc>
          <w:tcPr>
            <w:tcW w:w="270" w:type="dxa"/>
          </w:tcPr>
          <w:p w14:paraId="76EB087E" w14:textId="77777777" w:rsidR="004063E7" w:rsidRPr="00374B2E" w:rsidRDefault="004063E7" w:rsidP="002B39DF">
            <w:pPr>
              <w:rPr>
                <w:rFonts w:ascii="Arial" w:hAnsi="Arial" w:cs="Arial"/>
                <w:color w:val="auto"/>
                <w:szCs w:val="20"/>
              </w:rPr>
            </w:pPr>
          </w:p>
        </w:tc>
        <w:tc>
          <w:tcPr>
            <w:tcW w:w="10520" w:type="dxa"/>
          </w:tcPr>
          <w:p w14:paraId="31B1CD59" w14:textId="77777777" w:rsidR="004063E7" w:rsidRPr="00374B2E" w:rsidRDefault="004063E7" w:rsidP="00EE7907">
            <w:pPr>
              <w:rPr>
                <w:rStyle w:val="Heading4Char"/>
                <w:rFonts w:ascii="Arial" w:eastAsiaTheme="minorHAnsi" w:hAnsi="Arial" w:cs="Arial"/>
                <w:i w:val="0"/>
                <w:iCs w:val="0"/>
                <w:color w:val="auto"/>
                <w:szCs w:val="20"/>
                <w:u w:val="single"/>
              </w:rPr>
            </w:pPr>
          </w:p>
        </w:tc>
      </w:tr>
      <w:tr w:rsidR="00E7502E" w:rsidRPr="00374B2E" w14:paraId="49ADC179" w14:textId="77777777" w:rsidTr="00716DEC">
        <w:tc>
          <w:tcPr>
            <w:tcW w:w="270" w:type="dxa"/>
          </w:tcPr>
          <w:p w14:paraId="59057979" w14:textId="2EB9A96B" w:rsidR="00E7502E" w:rsidRPr="00374B2E" w:rsidRDefault="00E7502E" w:rsidP="002B39DF">
            <w:pPr>
              <w:rPr>
                <w:rFonts w:ascii="Arial" w:hAnsi="Arial" w:cs="Arial"/>
                <w:color w:val="auto"/>
                <w:szCs w:val="20"/>
              </w:rPr>
            </w:pPr>
          </w:p>
        </w:tc>
        <w:tc>
          <w:tcPr>
            <w:tcW w:w="10520" w:type="dxa"/>
          </w:tcPr>
          <w:p w14:paraId="42120DF1" w14:textId="51FC572C" w:rsidR="00E7502E" w:rsidRPr="00374B2E" w:rsidRDefault="00E7502E" w:rsidP="00EE7907">
            <w:pPr>
              <w:rPr>
                <w:rStyle w:val="Heading4Char"/>
                <w:rFonts w:ascii="Arial" w:eastAsiaTheme="minorHAnsi" w:hAnsi="Arial" w:cs="Arial"/>
                <w:i w:val="0"/>
                <w:iCs w:val="0"/>
                <w:color w:val="auto"/>
                <w:szCs w:val="20"/>
              </w:rPr>
            </w:pPr>
          </w:p>
        </w:tc>
      </w:tr>
      <w:tr w:rsidR="00E7502E" w:rsidRPr="00374B2E" w14:paraId="7AC33BC8" w14:textId="77777777" w:rsidTr="00716DEC">
        <w:tc>
          <w:tcPr>
            <w:tcW w:w="270" w:type="dxa"/>
          </w:tcPr>
          <w:p w14:paraId="29E42084" w14:textId="23A52DA3" w:rsidR="00E7502E" w:rsidRPr="00374B2E" w:rsidRDefault="00E7502E" w:rsidP="002B39DF">
            <w:pPr>
              <w:rPr>
                <w:rFonts w:ascii="Arial" w:hAnsi="Arial" w:cs="Arial"/>
                <w:color w:val="auto"/>
                <w:szCs w:val="20"/>
              </w:rPr>
            </w:pPr>
          </w:p>
        </w:tc>
        <w:tc>
          <w:tcPr>
            <w:tcW w:w="10520" w:type="dxa"/>
          </w:tcPr>
          <w:p w14:paraId="2FC02E76" w14:textId="7A0B182E" w:rsidR="00E7502E" w:rsidRPr="00374B2E" w:rsidRDefault="00E7502E" w:rsidP="00EE7907">
            <w:pPr>
              <w:rPr>
                <w:rStyle w:val="Heading4Char"/>
                <w:rFonts w:ascii="Arial" w:hAnsi="Arial" w:cs="Arial"/>
                <w:color w:val="auto"/>
                <w:szCs w:val="20"/>
              </w:rPr>
            </w:pPr>
          </w:p>
        </w:tc>
      </w:tr>
      <w:tr w:rsidR="003D40B5" w:rsidRPr="00374B2E" w14:paraId="5AD33676" w14:textId="77777777" w:rsidTr="00716DEC">
        <w:tc>
          <w:tcPr>
            <w:tcW w:w="270" w:type="dxa"/>
          </w:tcPr>
          <w:p w14:paraId="6B53E783" w14:textId="77777777" w:rsidR="003D40B5" w:rsidRPr="00374B2E" w:rsidRDefault="003D40B5" w:rsidP="002B39DF">
            <w:pPr>
              <w:rPr>
                <w:rFonts w:ascii="Arial" w:hAnsi="Arial" w:cs="Arial"/>
                <w:color w:val="auto"/>
                <w:szCs w:val="20"/>
              </w:rPr>
            </w:pPr>
          </w:p>
        </w:tc>
        <w:tc>
          <w:tcPr>
            <w:tcW w:w="10520" w:type="dxa"/>
          </w:tcPr>
          <w:p w14:paraId="0CE57C03" w14:textId="77777777" w:rsidR="003D40B5" w:rsidRPr="00374B2E" w:rsidRDefault="003D40B5" w:rsidP="00EE7907">
            <w:pPr>
              <w:rPr>
                <w:rStyle w:val="Heading4Char"/>
                <w:rFonts w:ascii="Arial" w:hAnsi="Arial" w:cs="Arial"/>
                <w:color w:val="auto"/>
                <w:szCs w:val="20"/>
              </w:rPr>
            </w:pPr>
          </w:p>
        </w:tc>
      </w:tr>
    </w:tbl>
    <w:p w14:paraId="77E03CB1" w14:textId="77777777" w:rsidR="00EE7907" w:rsidRPr="004063E7" w:rsidRDefault="00EE7907" w:rsidP="00EE7907">
      <w:pPr>
        <w:rPr>
          <w:rFonts w:ascii="Arial" w:hAnsi="Arial" w:cs="Arial"/>
          <w:b/>
          <w:bCs/>
          <w:color w:val="auto"/>
          <w:sz w:val="18"/>
          <w:szCs w:val="18"/>
        </w:rPr>
      </w:pPr>
      <w:r w:rsidRPr="004063E7">
        <w:rPr>
          <w:rFonts w:ascii="Arial" w:hAnsi="Arial" w:cs="Arial"/>
          <w:b/>
          <w:bCs/>
          <w:color w:val="auto"/>
          <w:sz w:val="18"/>
          <w:szCs w:val="18"/>
        </w:rPr>
        <w:t>ADDITIONAL INFORMATION</w:t>
      </w:r>
    </w:p>
    <w:p w14:paraId="088841B9" w14:textId="0EA84939" w:rsidR="006B167C" w:rsidRPr="004063E7" w:rsidRDefault="00EE7907" w:rsidP="006B167C">
      <w:pPr>
        <w:pStyle w:val="ListParagraph"/>
        <w:numPr>
          <w:ilvl w:val="0"/>
          <w:numId w:val="1"/>
        </w:numPr>
        <w:rPr>
          <w:rFonts w:ascii="Arial" w:hAnsi="Arial" w:cs="Arial"/>
          <w:color w:val="auto"/>
          <w:sz w:val="18"/>
          <w:szCs w:val="18"/>
        </w:rPr>
      </w:pPr>
      <w:r w:rsidRPr="004063E7">
        <w:rPr>
          <w:rFonts w:ascii="Arial" w:hAnsi="Arial" w:cs="Arial"/>
          <w:color w:val="auto"/>
          <w:sz w:val="18"/>
          <w:szCs w:val="18"/>
        </w:rPr>
        <w:t xml:space="preserve">Please place the VCAC Checklist in front of the dossier and review its contents carefully to be sure it is complete. Incomplete dossiers cannot go forward to the VCAC. </w:t>
      </w:r>
    </w:p>
    <w:p w14:paraId="46226BF4" w14:textId="44260B6B" w:rsidR="00EE7907" w:rsidRPr="004063E7" w:rsidRDefault="00EE7907" w:rsidP="00EE7907">
      <w:pPr>
        <w:pStyle w:val="ListParagraph"/>
        <w:numPr>
          <w:ilvl w:val="0"/>
          <w:numId w:val="1"/>
        </w:numPr>
        <w:rPr>
          <w:rFonts w:ascii="Arial" w:hAnsi="Arial" w:cs="Arial"/>
          <w:color w:val="auto"/>
          <w:sz w:val="18"/>
          <w:szCs w:val="18"/>
        </w:rPr>
      </w:pPr>
      <w:r w:rsidRPr="004063E7">
        <w:rPr>
          <w:rFonts w:ascii="Arial" w:hAnsi="Arial" w:cs="Arial"/>
          <w:color w:val="auto"/>
          <w:sz w:val="18"/>
          <w:szCs w:val="18"/>
        </w:rPr>
        <w:t xml:space="preserve">Candidates are allowed to add items to their dossier up until the end of the review process. </w:t>
      </w:r>
    </w:p>
    <w:p w14:paraId="2294312F" w14:textId="0D1B5EAE" w:rsidR="00EE7907" w:rsidRPr="004063E7" w:rsidRDefault="00EE7907" w:rsidP="00EE7907">
      <w:pPr>
        <w:pStyle w:val="ListParagraph"/>
        <w:numPr>
          <w:ilvl w:val="0"/>
          <w:numId w:val="1"/>
        </w:numPr>
        <w:rPr>
          <w:rFonts w:ascii="Arial" w:hAnsi="Arial" w:cs="Arial"/>
          <w:bCs/>
          <w:color w:val="auto"/>
          <w:sz w:val="18"/>
          <w:szCs w:val="18"/>
        </w:rPr>
      </w:pPr>
      <w:r w:rsidRPr="004063E7">
        <w:rPr>
          <w:rFonts w:ascii="Arial" w:hAnsi="Arial" w:cs="Arial"/>
          <w:bCs/>
          <w:color w:val="auto"/>
          <w:sz w:val="18"/>
          <w:szCs w:val="18"/>
        </w:rPr>
        <w:t xml:space="preserve">Once the VCAC makes a recommendation on a personnel case, the dossier, which includes a voting history from each review body, is forwarded to the Provost and Chancellor for their evaluation and recommendation. </w:t>
      </w:r>
      <w:r w:rsidRPr="004063E7">
        <w:rPr>
          <w:rFonts w:ascii="Arial" w:hAnsi="Arial" w:cs="Arial"/>
          <w:color w:val="auto"/>
          <w:sz w:val="18"/>
          <w:szCs w:val="18"/>
        </w:rPr>
        <w:t xml:space="preserve">For </w:t>
      </w:r>
      <w:r w:rsidR="00971D6B" w:rsidRPr="004063E7">
        <w:rPr>
          <w:rFonts w:ascii="Arial" w:hAnsi="Arial" w:cs="Arial"/>
          <w:color w:val="auto"/>
          <w:sz w:val="18"/>
          <w:szCs w:val="18"/>
        </w:rPr>
        <w:t xml:space="preserve">appointment (hire) </w:t>
      </w:r>
      <w:r w:rsidRPr="004063E7">
        <w:rPr>
          <w:rFonts w:ascii="Arial" w:hAnsi="Arial" w:cs="Arial"/>
          <w:color w:val="auto"/>
          <w:sz w:val="18"/>
          <w:szCs w:val="18"/>
        </w:rPr>
        <w:t xml:space="preserve">tenure cases, the Chancellor makes a recommendation to the President of </w:t>
      </w:r>
      <w:r w:rsidRPr="004063E7">
        <w:rPr>
          <w:rFonts w:ascii="Arial" w:hAnsi="Arial" w:cs="Arial"/>
          <w:bCs/>
          <w:color w:val="auto"/>
          <w:sz w:val="18"/>
          <w:szCs w:val="18"/>
        </w:rPr>
        <w:t xml:space="preserve">the University of Colorado system, with final submission to the Board of Regents. The Board of Regents has final authority in cases of tenure and usually votes </w:t>
      </w:r>
      <w:r w:rsidR="00BE5B19" w:rsidRPr="004063E7">
        <w:rPr>
          <w:rFonts w:ascii="Arial" w:hAnsi="Arial" w:cs="Arial"/>
          <w:bCs/>
          <w:color w:val="auto"/>
          <w:sz w:val="18"/>
          <w:szCs w:val="18"/>
        </w:rPr>
        <w:t xml:space="preserve">on appointment (hire) with tenure cases </w:t>
      </w:r>
      <w:r w:rsidRPr="004063E7">
        <w:rPr>
          <w:rFonts w:ascii="Arial" w:hAnsi="Arial" w:cs="Arial"/>
          <w:bCs/>
          <w:color w:val="auto"/>
          <w:sz w:val="18"/>
          <w:szCs w:val="18"/>
        </w:rPr>
        <w:t xml:space="preserve">at </w:t>
      </w:r>
      <w:r w:rsidR="00E5438C">
        <w:rPr>
          <w:rFonts w:ascii="Arial" w:hAnsi="Arial" w:cs="Arial"/>
          <w:bCs/>
          <w:color w:val="auto"/>
          <w:sz w:val="18"/>
          <w:szCs w:val="18"/>
        </w:rPr>
        <w:t>its</w:t>
      </w:r>
      <w:r w:rsidR="00E5438C" w:rsidRPr="004063E7">
        <w:rPr>
          <w:rFonts w:ascii="Arial" w:hAnsi="Arial" w:cs="Arial"/>
          <w:bCs/>
          <w:color w:val="auto"/>
          <w:sz w:val="18"/>
          <w:szCs w:val="18"/>
        </w:rPr>
        <w:t xml:space="preserve"> </w:t>
      </w:r>
      <w:r w:rsidR="00BE5B19" w:rsidRPr="004063E7">
        <w:rPr>
          <w:rFonts w:ascii="Arial" w:hAnsi="Arial" w:cs="Arial"/>
          <w:bCs/>
          <w:color w:val="auto"/>
          <w:sz w:val="18"/>
          <w:szCs w:val="18"/>
        </w:rPr>
        <w:t>August</w:t>
      </w:r>
      <w:r w:rsidRPr="004063E7">
        <w:rPr>
          <w:rFonts w:ascii="Arial" w:hAnsi="Arial" w:cs="Arial"/>
          <w:bCs/>
          <w:color w:val="auto"/>
          <w:sz w:val="18"/>
          <w:szCs w:val="18"/>
        </w:rPr>
        <w:t xml:space="preserve"> meeting.</w:t>
      </w:r>
    </w:p>
    <w:p w14:paraId="2A2F9465" w14:textId="77777777" w:rsidR="00EE7907" w:rsidRPr="004063E7" w:rsidRDefault="00EE7907" w:rsidP="00EE7907">
      <w:pPr>
        <w:rPr>
          <w:rFonts w:ascii="Arial" w:hAnsi="Arial" w:cs="Arial"/>
          <w:bCs/>
          <w:color w:val="auto"/>
          <w:sz w:val="18"/>
          <w:szCs w:val="18"/>
        </w:rPr>
      </w:pPr>
    </w:p>
    <w:p w14:paraId="7E5CA2A1" w14:textId="77777777" w:rsidR="00EE7907" w:rsidRPr="004063E7" w:rsidRDefault="00EE7907" w:rsidP="00EE7907">
      <w:pPr>
        <w:rPr>
          <w:rFonts w:ascii="Arial" w:hAnsi="Arial" w:cs="Arial"/>
          <w:i/>
          <w:iCs/>
          <w:color w:val="auto"/>
          <w:sz w:val="18"/>
          <w:szCs w:val="18"/>
        </w:rPr>
      </w:pPr>
      <w:r w:rsidRPr="004063E7">
        <w:rPr>
          <w:rFonts w:ascii="Arial" w:hAnsi="Arial" w:cs="Arial"/>
          <w:b/>
          <w:bCs/>
          <w:i/>
          <w:iCs/>
          <w:color w:val="auto"/>
          <w:sz w:val="18"/>
          <w:szCs w:val="18"/>
        </w:rPr>
        <w:t>*</w:t>
      </w:r>
      <w:r w:rsidRPr="004063E7">
        <w:rPr>
          <w:rFonts w:ascii="Arial" w:hAnsi="Arial" w:cs="Arial"/>
          <w:i/>
          <w:iCs/>
          <w:color w:val="auto"/>
          <w:sz w:val="18"/>
          <w:szCs w:val="18"/>
        </w:rPr>
        <w:t xml:space="preserve">The dossier must be complete prior to being submitted to the Office of Faculty Affairs for VCAC review. </w:t>
      </w:r>
    </w:p>
    <w:p w14:paraId="42D806AE" w14:textId="77777777" w:rsidR="00EE7907" w:rsidRPr="004063E7" w:rsidRDefault="00EE7907" w:rsidP="00EE7907">
      <w:pPr>
        <w:rPr>
          <w:rFonts w:ascii="Arial" w:hAnsi="Arial" w:cs="Arial"/>
          <w:i/>
          <w:iCs/>
          <w:color w:val="auto"/>
          <w:sz w:val="18"/>
          <w:szCs w:val="18"/>
        </w:rPr>
      </w:pPr>
    </w:p>
    <w:p w14:paraId="7485155A" w14:textId="77777777" w:rsidR="00EE7907" w:rsidRPr="004063E7" w:rsidRDefault="00EE7907" w:rsidP="00EE7907">
      <w:pPr>
        <w:rPr>
          <w:rFonts w:ascii="Arial" w:hAnsi="Arial" w:cs="Arial"/>
          <w:i/>
          <w:iCs/>
          <w:color w:val="auto"/>
          <w:sz w:val="18"/>
          <w:szCs w:val="18"/>
        </w:rPr>
      </w:pPr>
      <w:r w:rsidRPr="004063E7">
        <w:rPr>
          <w:rFonts w:ascii="Arial" w:hAnsi="Arial" w:cs="Arial"/>
          <w:b/>
          <w:bCs/>
          <w:i/>
          <w:iCs/>
          <w:color w:val="auto"/>
          <w:sz w:val="18"/>
          <w:szCs w:val="18"/>
        </w:rPr>
        <w:t>**</w:t>
      </w:r>
      <w:r w:rsidRPr="004063E7">
        <w:rPr>
          <w:rFonts w:ascii="Arial" w:hAnsi="Arial" w:cs="Arial"/>
          <w:i/>
          <w:iCs/>
          <w:color w:val="auto"/>
          <w:sz w:val="18"/>
          <w:szCs w:val="18"/>
        </w:rPr>
        <w:t>Where there is a disagreement in the recommendation between these 3 reviews (dean, DRC, &amp; primary unit), the case returns to the prior reviewer for reconsideration and revote. Include a letter describing the outcome of the reconsideration and revote. If there remains a disagreement between review levels, the case proceeds forward; reconsiderations in the 1</w:t>
      </w:r>
      <w:r w:rsidRPr="004063E7">
        <w:rPr>
          <w:rFonts w:ascii="Arial" w:hAnsi="Arial" w:cs="Arial"/>
          <w:i/>
          <w:iCs/>
          <w:color w:val="auto"/>
          <w:sz w:val="18"/>
          <w:szCs w:val="18"/>
          <w:vertAlign w:val="superscript"/>
        </w:rPr>
        <w:t>st</w:t>
      </w:r>
      <w:r w:rsidRPr="004063E7">
        <w:rPr>
          <w:rFonts w:ascii="Arial" w:hAnsi="Arial" w:cs="Arial"/>
          <w:i/>
          <w:iCs/>
          <w:color w:val="auto"/>
          <w:sz w:val="18"/>
          <w:szCs w:val="18"/>
        </w:rPr>
        <w:t xml:space="preserve"> Level of Review are required only once.</w:t>
      </w:r>
    </w:p>
    <w:p w14:paraId="2AE15CFF" w14:textId="77777777" w:rsidR="00736BB0" w:rsidRPr="004063E7" w:rsidRDefault="00736BB0" w:rsidP="00EE7907">
      <w:pPr>
        <w:rPr>
          <w:rFonts w:ascii="Arial" w:hAnsi="Arial" w:cs="Arial"/>
          <w:i/>
          <w:iCs/>
          <w:color w:val="auto"/>
          <w:sz w:val="18"/>
          <w:szCs w:val="18"/>
        </w:rPr>
      </w:pPr>
    </w:p>
    <w:p w14:paraId="3C9C3786" w14:textId="4E40CE54" w:rsidR="00736BB0" w:rsidRPr="00A95FAB" w:rsidRDefault="00E9282B" w:rsidP="00EE7907">
      <w:pPr>
        <w:rPr>
          <w:rFonts w:ascii="Arial" w:hAnsi="Arial" w:cs="Arial"/>
          <w:bCs/>
          <w:i/>
          <w:iCs/>
          <w:color w:val="000000" w:themeColor="text1"/>
          <w:sz w:val="18"/>
          <w:szCs w:val="18"/>
        </w:rPr>
      </w:pPr>
      <w:r w:rsidRPr="00A95FAB">
        <w:rPr>
          <w:rFonts w:ascii="Arial" w:hAnsi="Arial" w:cs="Arial"/>
          <w:b/>
          <w:i/>
          <w:iCs/>
          <w:color w:val="000000" w:themeColor="text1"/>
          <w:sz w:val="18"/>
          <w:szCs w:val="18"/>
        </w:rPr>
        <w:t>***</w:t>
      </w:r>
      <w:r w:rsidR="00736BB0" w:rsidRPr="00A95FAB">
        <w:rPr>
          <w:rFonts w:ascii="Arial" w:hAnsi="Arial" w:cs="Arial"/>
          <w:bCs/>
          <w:i/>
          <w:iCs/>
          <w:color w:val="000000" w:themeColor="text1"/>
          <w:sz w:val="18"/>
          <w:szCs w:val="18"/>
        </w:rPr>
        <w:t>Include only in cases where the candidate does not hold tenure at their current institution, and/or is being promoted to a higher rank at the time of hire. In these cases, a full review for tenure and/or promotion must be conducted.</w:t>
      </w:r>
    </w:p>
    <w:p w14:paraId="26DDFF2E" w14:textId="77777777" w:rsidR="007B539F" w:rsidRPr="00A95FAB" w:rsidRDefault="007B539F" w:rsidP="00EE7907">
      <w:pPr>
        <w:rPr>
          <w:rFonts w:ascii="Arial" w:hAnsi="Arial" w:cs="Arial"/>
          <w:bCs/>
          <w:i/>
          <w:iCs/>
          <w:color w:val="000000" w:themeColor="text1"/>
          <w:sz w:val="18"/>
          <w:szCs w:val="18"/>
        </w:rPr>
      </w:pPr>
    </w:p>
    <w:p w14:paraId="00E0DE74" w14:textId="6E0BDE13" w:rsidR="007B539F" w:rsidRPr="004063E7" w:rsidRDefault="007B539F" w:rsidP="007B539F">
      <w:pPr>
        <w:rPr>
          <w:rFonts w:ascii="Arial" w:hAnsi="Arial" w:cs="Arial"/>
          <w:i/>
          <w:iCs/>
          <w:color w:val="auto"/>
          <w:sz w:val="18"/>
          <w:szCs w:val="18"/>
        </w:rPr>
      </w:pPr>
      <w:r w:rsidRPr="004063E7">
        <w:rPr>
          <w:rFonts w:ascii="Arial" w:hAnsi="Arial" w:cs="Arial"/>
          <w:b/>
          <w:i/>
          <w:iCs/>
          <w:sz w:val="18"/>
          <w:szCs w:val="18"/>
        </w:rPr>
        <w:t>****</w:t>
      </w:r>
      <w:r w:rsidRPr="004063E7">
        <w:rPr>
          <w:rFonts w:ascii="Arial" w:hAnsi="Arial" w:cs="Arial"/>
          <w:i/>
          <w:iCs/>
          <w:color w:val="auto"/>
          <w:sz w:val="18"/>
          <w:szCs w:val="18"/>
        </w:rPr>
        <w:t xml:space="preserve"> For cases where the candidate does not hold tenure at their current institution, and/or is being promoted to a higher rank at the time of hire, please note that the external review letters</w:t>
      </w:r>
      <w:r w:rsidR="00834F7E">
        <w:rPr>
          <w:rFonts w:ascii="Arial" w:hAnsi="Arial" w:cs="Arial"/>
          <w:i/>
          <w:iCs/>
          <w:color w:val="auto"/>
          <w:sz w:val="18"/>
          <w:szCs w:val="18"/>
        </w:rPr>
        <w:t>, including an accompanying external reviewer key,</w:t>
      </w:r>
      <w:r w:rsidRPr="004063E7">
        <w:rPr>
          <w:rFonts w:ascii="Arial" w:hAnsi="Arial" w:cs="Arial"/>
          <w:i/>
          <w:iCs/>
          <w:color w:val="auto"/>
          <w:sz w:val="18"/>
          <w:szCs w:val="18"/>
        </w:rPr>
        <w:t xml:space="preserve"> are confidential materials and should comprise the “Supplement to the Dossier,” which is a separate PDF submitted along with the main dossier. The supplemental dossier does not apply to candidates whose hires are lateral, that is, at the tenured rank they already hold elsewhere.</w:t>
      </w:r>
    </w:p>
    <w:p w14:paraId="686F0B8C" w14:textId="4DC2C43C" w:rsidR="007B539F" w:rsidRPr="007B539F" w:rsidRDefault="007B539F" w:rsidP="00EE7907">
      <w:pPr>
        <w:rPr>
          <w:rFonts w:ascii="Arial" w:hAnsi="Arial" w:cs="Arial"/>
          <w:bCs/>
          <w:i/>
          <w:iCs/>
          <w:color w:val="auto"/>
          <w:sz w:val="16"/>
          <w:szCs w:val="16"/>
        </w:rPr>
      </w:pPr>
    </w:p>
    <w:sectPr w:rsidR="007B539F" w:rsidRPr="007B539F" w:rsidSect="00CE7480">
      <w:footerReference w:type="even" r:id="rId9"/>
      <w:footerReference w:type="default" r:id="rId10"/>
      <w:pgSz w:w="12240" w:h="15840"/>
      <w:pgMar w:top="720" w:right="720" w:bottom="720" w:left="720" w:header="720" w:footer="4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26E87" w14:textId="77777777" w:rsidR="0060182F" w:rsidRDefault="0060182F" w:rsidP="00EE7907">
      <w:r>
        <w:separator/>
      </w:r>
    </w:p>
  </w:endnote>
  <w:endnote w:type="continuationSeparator" w:id="0">
    <w:p w14:paraId="24B73AE7" w14:textId="77777777" w:rsidR="0060182F" w:rsidRDefault="0060182F" w:rsidP="00EE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14444938"/>
      <w:docPartObj>
        <w:docPartGallery w:val="Page Numbers (Bottom of Page)"/>
        <w:docPartUnique/>
      </w:docPartObj>
    </w:sdtPr>
    <w:sdtContent>
      <w:p w14:paraId="1F482F7D" w14:textId="0B451387" w:rsidR="00EE7907" w:rsidRDefault="00EE7907" w:rsidP="006753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881DB0" w14:textId="77777777" w:rsidR="00EE7907" w:rsidRDefault="00EE7907" w:rsidP="00EE79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AB2FF" w14:textId="77777777" w:rsidR="00EE7907" w:rsidRDefault="00EE7907" w:rsidP="00EE7907">
    <w:pPr>
      <w:pStyle w:val="Footer"/>
      <w:ind w:right="360"/>
      <w:rPr>
        <w:rFonts w:ascii="Arial" w:hAnsi="Arial" w:cs="Arial"/>
        <w:sz w:val="15"/>
        <w:szCs w:val="20"/>
      </w:rPr>
    </w:pPr>
  </w:p>
  <w:sdt>
    <w:sdtPr>
      <w:rPr>
        <w:rStyle w:val="PageNumber"/>
        <w:rFonts w:ascii="Arial" w:hAnsi="Arial" w:cs="Arial"/>
        <w:sz w:val="15"/>
        <w:szCs w:val="20"/>
      </w:rPr>
      <w:id w:val="923929998"/>
      <w:docPartObj>
        <w:docPartGallery w:val="Page Numbers (Bottom of Page)"/>
        <w:docPartUnique/>
      </w:docPartObj>
    </w:sdtPr>
    <w:sdtContent>
      <w:p w14:paraId="333F0FD7" w14:textId="77777777" w:rsidR="00EE7907" w:rsidRPr="00EE7907" w:rsidRDefault="00EE7907" w:rsidP="00EE7907">
        <w:pPr>
          <w:pStyle w:val="Footer"/>
          <w:framePr w:wrap="none" w:vAnchor="text" w:hAnchor="page" w:x="11417" w:y="37"/>
          <w:rPr>
            <w:rStyle w:val="PageNumber"/>
            <w:rFonts w:ascii="Arial" w:hAnsi="Arial" w:cs="Arial"/>
            <w:sz w:val="15"/>
            <w:szCs w:val="20"/>
          </w:rPr>
        </w:pPr>
        <w:r w:rsidRPr="00EE7907">
          <w:rPr>
            <w:rStyle w:val="PageNumber"/>
            <w:rFonts w:ascii="Arial" w:hAnsi="Arial" w:cs="Arial"/>
            <w:sz w:val="15"/>
            <w:szCs w:val="20"/>
          </w:rPr>
          <w:fldChar w:fldCharType="begin"/>
        </w:r>
        <w:r w:rsidRPr="00EE7907">
          <w:rPr>
            <w:rStyle w:val="PageNumber"/>
            <w:rFonts w:ascii="Arial" w:hAnsi="Arial" w:cs="Arial"/>
            <w:sz w:val="15"/>
            <w:szCs w:val="20"/>
          </w:rPr>
          <w:instrText xml:space="preserve"> PAGE </w:instrText>
        </w:r>
        <w:r w:rsidRPr="00EE7907">
          <w:rPr>
            <w:rStyle w:val="PageNumber"/>
            <w:rFonts w:ascii="Arial" w:hAnsi="Arial" w:cs="Arial"/>
            <w:sz w:val="15"/>
            <w:szCs w:val="20"/>
          </w:rPr>
          <w:fldChar w:fldCharType="separate"/>
        </w:r>
        <w:r w:rsidRPr="00EE7907">
          <w:rPr>
            <w:rStyle w:val="PageNumber"/>
            <w:rFonts w:ascii="Arial" w:hAnsi="Arial" w:cs="Arial"/>
            <w:noProof/>
            <w:sz w:val="15"/>
            <w:szCs w:val="20"/>
          </w:rPr>
          <w:t>1</w:t>
        </w:r>
        <w:r w:rsidRPr="00EE7907">
          <w:rPr>
            <w:rStyle w:val="PageNumber"/>
            <w:rFonts w:ascii="Arial" w:hAnsi="Arial" w:cs="Arial"/>
            <w:sz w:val="15"/>
            <w:szCs w:val="20"/>
          </w:rPr>
          <w:fldChar w:fldCharType="end"/>
        </w:r>
      </w:p>
    </w:sdtContent>
  </w:sdt>
  <w:p w14:paraId="246CC3EB" w14:textId="19469900" w:rsidR="00EE7907" w:rsidRPr="00EE7907" w:rsidRDefault="00EE7907" w:rsidP="00EE7907">
    <w:pPr>
      <w:pStyle w:val="Footer"/>
      <w:ind w:right="360"/>
      <w:rPr>
        <w:rFonts w:ascii="Arial" w:hAnsi="Arial" w:cs="Arial"/>
        <w:sz w:val="15"/>
        <w:szCs w:val="20"/>
      </w:rPr>
    </w:pPr>
    <w:r w:rsidRPr="00EE7907">
      <w:rPr>
        <w:rFonts w:ascii="Arial" w:hAnsi="Arial" w:cs="Arial"/>
        <w:sz w:val="15"/>
        <w:szCs w:val="20"/>
      </w:rPr>
      <w:t xml:space="preserve">Revised </w:t>
    </w:r>
    <w:r w:rsidR="004063E7">
      <w:rPr>
        <w:rFonts w:ascii="Arial" w:hAnsi="Arial" w:cs="Arial"/>
        <w:sz w:val="15"/>
        <w:szCs w:val="20"/>
      </w:rPr>
      <w:t>October</w:t>
    </w:r>
    <w:r w:rsidRPr="00EE7907">
      <w:rPr>
        <w:rFonts w:ascii="Arial" w:hAnsi="Arial" w:cs="Arial"/>
        <w:sz w:val="15"/>
        <w:szCs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7B411" w14:textId="77777777" w:rsidR="0060182F" w:rsidRDefault="0060182F" w:rsidP="00EE7907">
      <w:r>
        <w:separator/>
      </w:r>
    </w:p>
  </w:footnote>
  <w:footnote w:type="continuationSeparator" w:id="0">
    <w:p w14:paraId="3A4889A6" w14:textId="77777777" w:rsidR="0060182F" w:rsidRDefault="0060182F" w:rsidP="00EE7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CB028C"/>
    <w:multiLevelType w:val="hybridMultilevel"/>
    <w:tmpl w:val="24E6E244"/>
    <w:lvl w:ilvl="0" w:tplc="F0384B1A">
      <w:start w:val="5"/>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147330B"/>
    <w:multiLevelType w:val="hybridMultilevel"/>
    <w:tmpl w:val="B948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9682458">
    <w:abstractNumId w:val="1"/>
  </w:num>
  <w:num w:numId="2" w16cid:durableId="157404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63"/>
    <w:rsid w:val="00002F2D"/>
    <w:rsid w:val="00057447"/>
    <w:rsid w:val="00097F06"/>
    <w:rsid w:val="000A27FC"/>
    <w:rsid w:val="000A3659"/>
    <w:rsid w:val="000E1663"/>
    <w:rsid w:val="001639F8"/>
    <w:rsid w:val="001C0840"/>
    <w:rsid w:val="001C3321"/>
    <w:rsid w:val="001D56F3"/>
    <w:rsid w:val="002B39DF"/>
    <w:rsid w:val="002B431D"/>
    <w:rsid w:val="00374B2E"/>
    <w:rsid w:val="003C76B2"/>
    <w:rsid w:val="003D40B5"/>
    <w:rsid w:val="003E1CEA"/>
    <w:rsid w:val="004063E7"/>
    <w:rsid w:val="0048577B"/>
    <w:rsid w:val="004F774A"/>
    <w:rsid w:val="005502DD"/>
    <w:rsid w:val="00565DF3"/>
    <w:rsid w:val="0060182F"/>
    <w:rsid w:val="006406D7"/>
    <w:rsid w:val="00664C74"/>
    <w:rsid w:val="006826D5"/>
    <w:rsid w:val="006B167C"/>
    <w:rsid w:val="006B58A9"/>
    <w:rsid w:val="006B6A4F"/>
    <w:rsid w:val="00716DEC"/>
    <w:rsid w:val="00736BB0"/>
    <w:rsid w:val="007A723F"/>
    <w:rsid w:val="007B539F"/>
    <w:rsid w:val="007B610C"/>
    <w:rsid w:val="007D2291"/>
    <w:rsid w:val="007D64DB"/>
    <w:rsid w:val="007E5314"/>
    <w:rsid w:val="007F76F2"/>
    <w:rsid w:val="008211B5"/>
    <w:rsid w:val="00826689"/>
    <w:rsid w:val="00834F7E"/>
    <w:rsid w:val="00836034"/>
    <w:rsid w:val="0089188C"/>
    <w:rsid w:val="008A63BF"/>
    <w:rsid w:val="008A7844"/>
    <w:rsid w:val="008F7E8F"/>
    <w:rsid w:val="00967EF6"/>
    <w:rsid w:val="00971D6B"/>
    <w:rsid w:val="009B4292"/>
    <w:rsid w:val="009F6F0B"/>
    <w:rsid w:val="00A00613"/>
    <w:rsid w:val="00A33730"/>
    <w:rsid w:val="00A95FAB"/>
    <w:rsid w:val="00AA0E23"/>
    <w:rsid w:val="00B36197"/>
    <w:rsid w:val="00BC7AFE"/>
    <w:rsid w:val="00BE5B19"/>
    <w:rsid w:val="00C302C2"/>
    <w:rsid w:val="00C41180"/>
    <w:rsid w:val="00C628CC"/>
    <w:rsid w:val="00C70D67"/>
    <w:rsid w:val="00C82E0A"/>
    <w:rsid w:val="00CC57E1"/>
    <w:rsid w:val="00CE7480"/>
    <w:rsid w:val="00CF11A1"/>
    <w:rsid w:val="00CF6986"/>
    <w:rsid w:val="00D24950"/>
    <w:rsid w:val="00D5131C"/>
    <w:rsid w:val="00D57157"/>
    <w:rsid w:val="00DA4944"/>
    <w:rsid w:val="00E16D55"/>
    <w:rsid w:val="00E50435"/>
    <w:rsid w:val="00E5438C"/>
    <w:rsid w:val="00E7502E"/>
    <w:rsid w:val="00E9282B"/>
    <w:rsid w:val="00EE4963"/>
    <w:rsid w:val="00EE7907"/>
    <w:rsid w:val="00F21FCA"/>
    <w:rsid w:val="00F72459"/>
    <w:rsid w:val="00F93191"/>
    <w:rsid w:val="00FA0A26"/>
    <w:rsid w:val="00FB563E"/>
    <w:rsid w:val="00FF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E24F"/>
  <w15:chartTrackingRefBased/>
  <w15:docId w15:val="{01D9FD89-5D1A-AE49-836F-D3E04351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EE4963"/>
    <w:pPr>
      <w:spacing w:after="0" w:line="240" w:lineRule="auto"/>
    </w:pPr>
    <w:rPr>
      <w:color w:val="3A3A3A" w:themeColor="background2" w:themeShade="40"/>
      <w:kern w:val="0"/>
      <w:sz w:val="20"/>
      <w14:ligatures w14:val="none"/>
    </w:rPr>
  </w:style>
  <w:style w:type="paragraph" w:styleId="Heading1">
    <w:name w:val="heading 1"/>
    <w:basedOn w:val="Normal"/>
    <w:next w:val="Normal"/>
    <w:link w:val="Heading1Char"/>
    <w:qFormat/>
    <w:rsid w:val="00EE4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3"/>
    <w:unhideWhenUsed/>
    <w:qFormat/>
    <w:rsid w:val="00EE4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9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9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3"/>
    <w:rsid w:val="00EE4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963"/>
    <w:rPr>
      <w:rFonts w:eastAsiaTheme="majorEastAsia" w:cstheme="majorBidi"/>
      <w:color w:val="272727" w:themeColor="text1" w:themeTint="D8"/>
    </w:rPr>
  </w:style>
  <w:style w:type="paragraph" w:styleId="Title">
    <w:name w:val="Title"/>
    <w:basedOn w:val="Normal"/>
    <w:next w:val="Normal"/>
    <w:link w:val="TitleChar"/>
    <w:uiPriority w:val="10"/>
    <w:qFormat/>
    <w:rsid w:val="00EE4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963"/>
    <w:pPr>
      <w:spacing w:before="160"/>
      <w:jc w:val="center"/>
    </w:pPr>
    <w:rPr>
      <w:i/>
      <w:iCs/>
      <w:color w:val="404040" w:themeColor="text1" w:themeTint="BF"/>
    </w:rPr>
  </w:style>
  <w:style w:type="character" w:customStyle="1" w:styleId="QuoteChar">
    <w:name w:val="Quote Char"/>
    <w:basedOn w:val="DefaultParagraphFont"/>
    <w:link w:val="Quote"/>
    <w:uiPriority w:val="29"/>
    <w:rsid w:val="00EE4963"/>
    <w:rPr>
      <w:i/>
      <w:iCs/>
      <w:color w:val="404040" w:themeColor="text1" w:themeTint="BF"/>
    </w:rPr>
  </w:style>
  <w:style w:type="paragraph" w:styleId="ListParagraph">
    <w:name w:val="List Paragraph"/>
    <w:basedOn w:val="Normal"/>
    <w:uiPriority w:val="34"/>
    <w:qFormat/>
    <w:rsid w:val="00EE4963"/>
    <w:pPr>
      <w:ind w:left="720"/>
      <w:contextualSpacing/>
    </w:pPr>
  </w:style>
  <w:style w:type="character" w:styleId="IntenseEmphasis">
    <w:name w:val="Intense Emphasis"/>
    <w:basedOn w:val="DefaultParagraphFont"/>
    <w:uiPriority w:val="21"/>
    <w:qFormat/>
    <w:rsid w:val="00EE4963"/>
    <w:rPr>
      <w:i/>
      <w:iCs/>
      <w:color w:val="0F4761" w:themeColor="accent1" w:themeShade="BF"/>
    </w:rPr>
  </w:style>
  <w:style w:type="paragraph" w:styleId="IntenseQuote">
    <w:name w:val="Intense Quote"/>
    <w:basedOn w:val="Normal"/>
    <w:next w:val="Normal"/>
    <w:link w:val="IntenseQuoteChar"/>
    <w:uiPriority w:val="30"/>
    <w:qFormat/>
    <w:rsid w:val="00EE4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963"/>
    <w:rPr>
      <w:i/>
      <w:iCs/>
      <w:color w:val="0F4761" w:themeColor="accent1" w:themeShade="BF"/>
    </w:rPr>
  </w:style>
  <w:style w:type="character" w:styleId="IntenseReference">
    <w:name w:val="Intense Reference"/>
    <w:basedOn w:val="DefaultParagraphFont"/>
    <w:uiPriority w:val="32"/>
    <w:qFormat/>
    <w:rsid w:val="00EE4963"/>
    <w:rPr>
      <w:b/>
      <w:bCs/>
      <w:smallCaps/>
      <w:color w:val="0F4761" w:themeColor="accent1" w:themeShade="BF"/>
      <w:spacing w:val="5"/>
    </w:rPr>
  </w:style>
  <w:style w:type="table" w:styleId="TableGrid">
    <w:name w:val="Table Grid"/>
    <w:basedOn w:val="TableNormal"/>
    <w:uiPriority w:val="39"/>
    <w:rsid w:val="0064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7907"/>
    <w:rPr>
      <w:color w:val="467886" w:themeColor="hyperlink"/>
      <w:u w:val="single"/>
    </w:rPr>
  </w:style>
  <w:style w:type="paragraph" w:customStyle="1" w:styleId="Default">
    <w:name w:val="Default"/>
    <w:uiPriority w:val="99"/>
    <w:rsid w:val="00EE7907"/>
    <w:pPr>
      <w:autoSpaceDE w:val="0"/>
      <w:autoSpaceDN w:val="0"/>
      <w:adjustRightInd w:val="0"/>
      <w:spacing w:after="0" w:line="240" w:lineRule="auto"/>
    </w:pPr>
    <w:rPr>
      <w:rFonts w:ascii="Arial" w:eastAsia="Times New Roman" w:hAnsi="Arial" w:cs="Arial"/>
      <w:color w:val="000000"/>
      <w:kern w:val="0"/>
      <w14:ligatures w14:val="none"/>
    </w:rPr>
  </w:style>
  <w:style w:type="paragraph" w:styleId="Header">
    <w:name w:val="header"/>
    <w:basedOn w:val="Normal"/>
    <w:link w:val="HeaderChar"/>
    <w:uiPriority w:val="99"/>
    <w:unhideWhenUsed/>
    <w:rsid w:val="00EE7907"/>
    <w:pPr>
      <w:tabs>
        <w:tab w:val="center" w:pos="4680"/>
        <w:tab w:val="right" w:pos="9360"/>
      </w:tabs>
    </w:pPr>
  </w:style>
  <w:style w:type="character" w:customStyle="1" w:styleId="HeaderChar">
    <w:name w:val="Header Char"/>
    <w:basedOn w:val="DefaultParagraphFont"/>
    <w:link w:val="Header"/>
    <w:uiPriority w:val="99"/>
    <w:rsid w:val="00EE7907"/>
    <w:rPr>
      <w:color w:val="3A3A3A" w:themeColor="background2" w:themeShade="40"/>
      <w:kern w:val="0"/>
      <w:sz w:val="20"/>
      <w14:ligatures w14:val="none"/>
    </w:rPr>
  </w:style>
  <w:style w:type="paragraph" w:styleId="Footer">
    <w:name w:val="footer"/>
    <w:basedOn w:val="Normal"/>
    <w:link w:val="FooterChar"/>
    <w:uiPriority w:val="99"/>
    <w:unhideWhenUsed/>
    <w:rsid w:val="00EE7907"/>
    <w:pPr>
      <w:tabs>
        <w:tab w:val="center" w:pos="4680"/>
        <w:tab w:val="right" w:pos="9360"/>
      </w:tabs>
    </w:pPr>
  </w:style>
  <w:style w:type="character" w:customStyle="1" w:styleId="FooterChar">
    <w:name w:val="Footer Char"/>
    <w:basedOn w:val="DefaultParagraphFont"/>
    <w:link w:val="Footer"/>
    <w:uiPriority w:val="99"/>
    <w:rsid w:val="00EE7907"/>
    <w:rPr>
      <w:color w:val="3A3A3A" w:themeColor="background2" w:themeShade="40"/>
      <w:kern w:val="0"/>
      <w:sz w:val="20"/>
      <w14:ligatures w14:val="none"/>
    </w:rPr>
  </w:style>
  <w:style w:type="character" w:styleId="PageNumber">
    <w:name w:val="page number"/>
    <w:basedOn w:val="DefaultParagraphFont"/>
    <w:uiPriority w:val="99"/>
    <w:semiHidden/>
    <w:unhideWhenUsed/>
    <w:rsid w:val="00EE7907"/>
  </w:style>
  <w:style w:type="character" w:styleId="FollowedHyperlink">
    <w:name w:val="FollowedHyperlink"/>
    <w:basedOn w:val="DefaultParagraphFont"/>
    <w:uiPriority w:val="99"/>
    <w:semiHidden/>
    <w:unhideWhenUsed/>
    <w:rsid w:val="00C70D67"/>
    <w:rPr>
      <w:color w:val="96607D" w:themeColor="followedHyperlink"/>
      <w:u w:val="single"/>
    </w:rPr>
  </w:style>
  <w:style w:type="paragraph" w:styleId="Revision">
    <w:name w:val="Revision"/>
    <w:hidden/>
    <w:uiPriority w:val="99"/>
    <w:semiHidden/>
    <w:rsid w:val="001C0840"/>
    <w:pPr>
      <w:spacing w:after="0" w:line="240" w:lineRule="auto"/>
    </w:pPr>
    <w:rPr>
      <w:color w:val="3A3A3A" w:themeColor="background2" w:themeShade="40"/>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du/ope/aps/1022"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Yong Kleiner</dc:creator>
  <cp:keywords/>
  <dc:description/>
  <cp:lastModifiedBy>Carolyn Tir</cp:lastModifiedBy>
  <cp:revision>3</cp:revision>
  <dcterms:created xsi:type="dcterms:W3CDTF">2024-10-23T19:45:00Z</dcterms:created>
  <dcterms:modified xsi:type="dcterms:W3CDTF">2024-10-23T19:45:00Z</dcterms:modified>
</cp:coreProperties>
</file>