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Student Voice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Student voice is one of three required sources of evidence for evaluating teaching in QTI. As the primary audience for any course, students have a specific perspective on quality of instruction. Their views can be powerful in helping instructors and departments understand how students experience the class. 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Historically, CU has relied heavily on the FCQs for student voice evidence; however, research has demonstrated many vulnerabilities of student evaluation of teaching surveys. QTI in a Box suggests approaches to collect, analyze, and report student perspectives.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When departments use structured tools and processes to collect, analyze, and evaluate using narrative data, it allows more consistent evaluation for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each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instructor over time and equitable application of evaluation for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members of the department.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QTI Recommended Student-Voice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QTI strongly recommends using multiple forms of collecting student data on teaching quality: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In-class Student Data Collection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Focus groups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Surveys 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Lab group/Studio interviews/observations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Student letters.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0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A075D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FNs/nB4an7D+5l1q5dx1NedbDw==">AMUW2mWeiblBulKUsGF2iGaH0kOSmsxNec9UsyzTjqt/T+9Nef8l39c3t2W/Pwn6KGN0uFjZqKpEVv+D7wIS1WMlQdH8XZD18ZoO/EJadyKPaJozXEDg3k4=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2022-04-05T20:33:00Z</dcterms:created>
  <dc:creator>Heidi G. Loshbaugh</dc:creator>
</cp:coreProperties>
</file>