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BF" w:rsidRDefault="00BF1B3D">
      <w:pPr>
        <w:spacing w:line="360" w:lineRule="auto"/>
        <w:jc w:val="center"/>
        <w:rPr>
          <w:b/>
          <w:sz w:val="28"/>
        </w:rPr>
      </w:pPr>
      <w:bookmarkStart w:id="0" w:name="_GoBack"/>
      <w:bookmarkEnd w:id="0"/>
      <w:r>
        <w:rPr>
          <w:b/>
          <w:sz w:val="28"/>
        </w:rPr>
        <w:t xml:space="preserve">University of Colorado </w:t>
      </w:r>
    </w:p>
    <w:p w:rsidR="00C13890" w:rsidRDefault="00C13890">
      <w:pPr>
        <w:spacing w:line="360" w:lineRule="auto"/>
        <w:jc w:val="center"/>
        <w:rPr>
          <w:b/>
          <w:sz w:val="28"/>
        </w:rPr>
      </w:pPr>
      <w:r>
        <w:rPr>
          <w:b/>
          <w:sz w:val="28"/>
        </w:rPr>
        <w:t xml:space="preserve">Summer Salary </w:t>
      </w:r>
      <w:r w:rsidR="00BF1B3D">
        <w:rPr>
          <w:b/>
          <w:sz w:val="28"/>
        </w:rPr>
        <w:t>Guidelines</w:t>
      </w:r>
      <w:r>
        <w:rPr>
          <w:b/>
          <w:sz w:val="28"/>
        </w:rPr>
        <w:t xml:space="preserve"> for Boulder Campus </w:t>
      </w:r>
    </w:p>
    <w:p w:rsidR="00C13890" w:rsidRPr="00EE4686" w:rsidRDefault="00BF1B3D">
      <w:pPr>
        <w:pStyle w:val="Heading1"/>
        <w:spacing w:line="360" w:lineRule="auto"/>
        <w:rPr>
          <w:b/>
          <w:sz w:val="20"/>
        </w:rPr>
      </w:pPr>
      <w:r>
        <w:rPr>
          <w:b/>
        </w:rPr>
        <w:t>Summer 2017</w:t>
      </w:r>
    </w:p>
    <w:p w:rsidR="00C13890" w:rsidRDefault="00C13890"/>
    <w:p w:rsidR="004757FF" w:rsidRPr="00775056" w:rsidRDefault="004757FF" w:rsidP="00CC4978">
      <w:pPr>
        <w:numPr>
          <w:ilvl w:val="0"/>
          <w:numId w:val="10"/>
        </w:numPr>
        <w:rPr>
          <w:b/>
          <w:sz w:val="28"/>
          <w:szCs w:val="28"/>
        </w:rPr>
      </w:pPr>
      <w:r w:rsidRPr="00775056">
        <w:rPr>
          <w:b/>
          <w:sz w:val="28"/>
          <w:szCs w:val="28"/>
        </w:rPr>
        <w:t>Overview</w:t>
      </w:r>
    </w:p>
    <w:p w:rsidR="001413C1" w:rsidRDefault="001413C1" w:rsidP="00CC4978">
      <w:pPr>
        <w:rPr>
          <w:sz w:val="24"/>
        </w:rPr>
      </w:pPr>
    </w:p>
    <w:p w:rsidR="00506028" w:rsidRPr="001413C1" w:rsidRDefault="001413C1" w:rsidP="00CC4978">
      <w:pPr>
        <w:rPr>
          <w:sz w:val="24"/>
        </w:rPr>
      </w:pPr>
      <w:r>
        <w:rPr>
          <w:sz w:val="24"/>
        </w:rPr>
        <w:t>The guidelines and examples outlined in this document describe the technical aspects of applying the 3/9</w:t>
      </w:r>
      <w:r w:rsidRPr="003C4039">
        <w:rPr>
          <w:sz w:val="24"/>
          <w:vertAlign w:val="superscript"/>
        </w:rPr>
        <w:t>ths</w:t>
      </w:r>
      <w:r>
        <w:rPr>
          <w:sz w:val="24"/>
        </w:rPr>
        <w:t xml:space="preserve"> rule to ensure not only compliance with federal and University polices, but also </w:t>
      </w:r>
      <w:r w:rsidR="00276AEE">
        <w:rPr>
          <w:sz w:val="24"/>
        </w:rPr>
        <w:t xml:space="preserve">that </w:t>
      </w:r>
      <w:r>
        <w:rPr>
          <w:sz w:val="24"/>
        </w:rPr>
        <w:t xml:space="preserve">the faculty member can earn the maximum allowable summer salary.  These guidelines are applicable to all units on campus that have academic year appointed faculty who teach or conduct summer research and must be consistently applied throughout the campus.  Non-compliance places the University in jeopardy and could result in an audit finding.  </w:t>
      </w:r>
    </w:p>
    <w:p w:rsidR="008606A8" w:rsidRDefault="008606A8">
      <w:pPr>
        <w:rPr>
          <w:b/>
          <w:sz w:val="24"/>
        </w:rPr>
      </w:pPr>
    </w:p>
    <w:p w:rsidR="00301111" w:rsidRPr="00F5258D" w:rsidRDefault="00301111" w:rsidP="005C583D">
      <w:pPr>
        <w:pStyle w:val="BodyText"/>
        <w:spacing w:line="240" w:lineRule="auto"/>
        <w:rPr>
          <w:szCs w:val="24"/>
        </w:rPr>
      </w:pPr>
      <w:r w:rsidRPr="00EE4686">
        <w:rPr>
          <w:b/>
          <w:szCs w:val="24"/>
        </w:rPr>
        <w:t>Planning</w:t>
      </w:r>
    </w:p>
    <w:p w:rsidR="00301111" w:rsidRPr="00C84F0C" w:rsidRDefault="00301111" w:rsidP="005C583D">
      <w:pPr>
        <w:rPr>
          <w:sz w:val="24"/>
          <w:szCs w:val="24"/>
        </w:rPr>
      </w:pPr>
      <w:r w:rsidRPr="00C84F0C">
        <w:rPr>
          <w:sz w:val="24"/>
          <w:szCs w:val="24"/>
        </w:rPr>
        <w:t>Since summer months</w:t>
      </w:r>
      <w:r w:rsidR="004377D2">
        <w:rPr>
          <w:sz w:val="24"/>
          <w:szCs w:val="24"/>
        </w:rPr>
        <w:t xml:space="preserve"> are split by the academic year, </w:t>
      </w:r>
      <w:r w:rsidRPr="00C84F0C">
        <w:rPr>
          <w:sz w:val="24"/>
          <w:szCs w:val="24"/>
        </w:rPr>
        <w:t xml:space="preserve">it is important for a faculty member to carefully plan how they intend to earn their summer compensation.  </w:t>
      </w:r>
      <w:r w:rsidR="005C583D">
        <w:rPr>
          <w:sz w:val="24"/>
          <w:szCs w:val="24"/>
        </w:rPr>
        <w:t xml:space="preserve">Please use </w:t>
      </w:r>
      <w:r w:rsidR="00620035">
        <w:rPr>
          <w:sz w:val="24"/>
          <w:szCs w:val="24"/>
        </w:rPr>
        <w:t>the</w:t>
      </w:r>
      <w:r w:rsidR="005C583D">
        <w:rPr>
          <w:sz w:val="24"/>
          <w:szCs w:val="24"/>
        </w:rPr>
        <w:t xml:space="preserve"> tool to help plan and calculate:</w:t>
      </w:r>
      <w:r w:rsidR="0036790D">
        <w:rPr>
          <w:sz w:val="24"/>
          <w:szCs w:val="24"/>
        </w:rPr>
        <w:t xml:space="preserve"> </w:t>
      </w:r>
      <w:r w:rsidR="0036790D" w:rsidRPr="00620035">
        <w:rPr>
          <w:sz w:val="24"/>
          <w:szCs w:val="24"/>
        </w:rPr>
        <w:t>3/9ths Request Form &amp; Planning Tool</w:t>
      </w:r>
    </w:p>
    <w:p w:rsidR="00534EC7" w:rsidRDefault="00534EC7">
      <w:pPr>
        <w:rPr>
          <w:sz w:val="24"/>
        </w:rPr>
      </w:pPr>
    </w:p>
    <w:p w:rsidR="00C957FD" w:rsidRPr="00775056" w:rsidRDefault="00C957FD" w:rsidP="00506028">
      <w:pPr>
        <w:numPr>
          <w:ilvl w:val="0"/>
          <w:numId w:val="10"/>
        </w:numPr>
        <w:rPr>
          <w:b/>
          <w:sz w:val="28"/>
          <w:szCs w:val="28"/>
        </w:rPr>
      </w:pPr>
      <w:r w:rsidRPr="00775056">
        <w:rPr>
          <w:b/>
          <w:sz w:val="28"/>
          <w:szCs w:val="28"/>
        </w:rPr>
        <w:t>Calculating Summer Pay</w:t>
      </w:r>
    </w:p>
    <w:p w:rsidR="00C13890" w:rsidRDefault="00C13890">
      <w:pPr>
        <w:pStyle w:val="FootnoteText"/>
      </w:pPr>
    </w:p>
    <w:p w:rsidR="00C13890" w:rsidRDefault="00C13890">
      <w:pPr>
        <w:pStyle w:val="BodyText2"/>
        <w:ind w:left="360"/>
      </w:pPr>
      <w:r>
        <w:rPr>
          <w:b/>
        </w:rPr>
        <w:t>Example A</w:t>
      </w:r>
      <w:r>
        <w:t>: Professor X’s academic year salary is $72,000.  She teaches one overload class in the fall for $5,000 and is the Associate Chair of her department, which pay 2.5% of her academic year salary or $1,800 ($72,000 x 2.5%).  The maximum she can earn during the summer months is $24,000 ($72,000 / 9 = 8,000 x 3).  The compensation earned for the overload appointment and the associate chair stipend are not included in this calculation.</w:t>
      </w:r>
    </w:p>
    <w:p w:rsidR="00ED5FB1" w:rsidRDefault="00ED5FB1" w:rsidP="008E0726">
      <w:pPr>
        <w:rPr>
          <w:sz w:val="24"/>
        </w:rPr>
      </w:pPr>
    </w:p>
    <w:p w:rsidR="008E0726" w:rsidRDefault="008E0726" w:rsidP="008E0726">
      <w:pPr>
        <w:rPr>
          <w:sz w:val="24"/>
        </w:rPr>
      </w:pPr>
      <w:r>
        <w:rPr>
          <w:sz w:val="24"/>
        </w:rPr>
        <w:t xml:space="preserve">Faculty </w:t>
      </w:r>
      <w:r w:rsidR="00ED5FB1">
        <w:rPr>
          <w:sz w:val="24"/>
        </w:rPr>
        <w:t xml:space="preserve">members </w:t>
      </w:r>
      <w:r>
        <w:rPr>
          <w:sz w:val="24"/>
        </w:rPr>
        <w:t xml:space="preserve">serving as summer chair </w:t>
      </w:r>
      <w:r w:rsidR="00A61AAF">
        <w:rPr>
          <w:sz w:val="24"/>
        </w:rPr>
        <w:t>or faculty director</w:t>
      </w:r>
      <w:r>
        <w:rPr>
          <w:sz w:val="24"/>
        </w:rPr>
        <w:t xml:space="preserve"> earn 1/12</w:t>
      </w:r>
      <w:r w:rsidRPr="008E0726">
        <w:rPr>
          <w:sz w:val="24"/>
          <w:vertAlign w:val="superscript"/>
        </w:rPr>
        <w:t>th</w:t>
      </w:r>
      <w:r w:rsidR="005C583D">
        <w:rPr>
          <w:sz w:val="24"/>
        </w:rPr>
        <w:t xml:space="preserve"> of the approved</w:t>
      </w:r>
      <w:r>
        <w:rPr>
          <w:sz w:val="24"/>
        </w:rPr>
        <w:t xml:space="preserve"> administrative stipend each month </w:t>
      </w:r>
      <w:r w:rsidR="002D743B">
        <w:rPr>
          <w:sz w:val="24"/>
        </w:rPr>
        <w:t>he/she serves</w:t>
      </w:r>
      <w:r>
        <w:rPr>
          <w:sz w:val="24"/>
        </w:rPr>
        <w:t xml:space="preserve"> in these capacities.  The </w:t>
      </w:r>
      <w:r w:rsidR="00BD12CC">
        <w:rPr>
          <w:sz w:val="24"/>
        </w:rPr>
        <w:t xml:space="preserve">entire </w:t>
      </w:r>
      <w:r>
        <w:rPr>
          <w:sz w:val="24"/>
        </w:rPr>
        <w:t xml:space="preserve">administrative stipend cannot </w:t>
      </w:r>
      <w:r w:rsidR="00BD12CC">
        <w:rPr>
          <w:sz w:val="24"/>
        </w:rPr>
        <w:t xml:space="preserve">be paid out during the 9-month academic year period </w:t>
      </w:r>
      <w:r w:rsidR="00016686">
        <w:rPr>
          <w:sz w:val="24"/>
        </w:rPr>
        <w:t>as</w:t>
      </w:r>
      <w:r w:rsidR="00E3655F">
        <w:rPr>
          <w:sz w:val="24"/>
        </w:rPr>
        <w:t xml:space="preserve"> doing so violates</w:t>
      </w:r>
      <w:r w:rsidR="00BD12CC">
        <w:rPr>
          <w:sz w:val="24"/>
        </w:rPr>
        <w:t xml:space="preserve"> a State Fiscal r</w:t>
      </w:r>
      <w:r w:rsidR="00790418">
        <w:rPr>
          <w:sz w:val="24"/>
        </w:rPr>
        <w:t>ule which prohibits salary from being</w:t>
      </w:r>
      <w:r w:rsidR="00BD12CC">
        <w:rPr>
          <w:sz w:val="24"/>
        </w:rPr>
        <w:t xml:space="preserve"> paid before it is earned.</w:t>
      </w:r>
    </w:p>
    <w:p w:rsidR="00C13890" w:rsidRDefault="00C13890">
      <w:pPr>
        <w:rPr>
          <w:i/>
        </w:rPr>
      </w:pPr>
    </w:p>
    <w:p w:rsidR="00C13890" w:rsidRDefault="00C13890">
      <w:pPr>
        <w:ind w:left="720"/>
        <w:rPr>
          <w:i/>
          <w:sz w:val="24"/>
        </w:rPr>
      </w:pPr>
      <w:r>
        <w:rPr>
          <w:b/>
          <w:i/>
          <w:sz w:val="24"/>
        </w:rPr>
        <w:t>Example B</w:t>
      </w:r>
      <w:r>
        <w:rPr>
          <w:i/>
          <w:sz w:val="24"/>
        </w:rPr>
        <w:t>: Professor X (see Example A) earns $4,000 for</w:t>
      </w:r>
      <w:r>
        <w:rPr>
          <w:sz w:val="24"/>
        </w:rPr>
        <w:t xml:space="preserve"> </w:t>
      </w:r>
      <w:r>
        <w:rPr>
          <w:i/>
          <w:sz w:val="24"/>
        </w:rPr>
        <w:t xml:space="preserve">teaching a Term B summer session class and an additional $4,000 for teaching a </w:t>
      </w:r>
      <w:proofErr w:type="spellStart"/>
      <w:r>
        <w:rPr>
          <w:i/>
          <w:sz w:val="24"/>
        </w:rPr>
        <w:t>Maymester</w:t>
      </w:r>
      <w:proofErr w:type="spellEnd"/>
      <w:r>
        <w:rPr>
          <w:i/>
          <w:sz w:val="24"/>
        </w:rPr>
        <w:t xml:space="preserve"> class, or a total of $8,000 for summer teaching.  Since her 3/9</w:t>
      </w:r>
      <w:r>
        <w:rPr>
          <w:i/>
          <w:sz w:val="24"/>
          <w:vertAlign w:val="superscript"/>
        </w:rPr>
        <w:t>ths</w:t>
      </w:r>
      <w:r>
        <w:rPr>
          <w:i/>
          <w:sz w:val="24"/>
        </w:rPr>
        <w:t xml:space="preserve"> limit is $24,000, she can only pay herself an additional $16,000 (24,000 - 4,000 - 4,000 = 16,000) from her grant to remain in compliance with the 3/9</w:t>
      </w:r>
      <w:r>
        <w:rPr>
          <w:i/>
          <w:sz w:val="24"/>
          <w:vertAlign w:val="superscript"/>
        </w:rPr>
        <w:t>ths</w:t>
      </w:r>
      <w:r>
        <w:rPr>
          <w:i/>
          <w:sz w:val="24"/>
        </w:rPr>
        <w:t xml:space="preserve"> rule.  She could also perform consulting services outside of the University and the compensation earned from those services would have no impact on her 3/9</w:t>
      </w:r>
      <w:r>
        <w:rPr>
          <w:i/>
          <w:sz w:val="24"/>
          <w:vertAlign w:val="superscript"/>
        </w:rPr>
        <w:t>ths</w:t>
      </w:r>
      <w:r>
        <w:rPr>
          <w:i/>
          <w:sz w:val="24"/>
        </w:rPr>
        <w:t xml:space="preserve"> limit.</w:t>
      </w:r>
    </w:p>
    <w:p w:rsidR="00C13890" w:rsidRDefault="00C13890">
      <w:pPr>
        <w:pStyle w:val="FootnoteText"/>
      </w:pPr>
    </w:p>
    <w:p w:rsidR="00C13890" w:rsidRDefault="00C13890">
      <w:pPr>
        <w:pStyle w:val="BodyText"/>
        <w:spacing w:line="240" w:lineRule="auto"/>
        <w:rPr>
          <w:b/>
        </w:rPr>
      </w:pPr>
      <w:r>
        <w:rPr>
          <w:b/>
        </w:rPr>
        <w:t>Begin and end dates for calculating the 3/9</w:t>
      </w:r>
      <w:r>
        <w:rPr>
          <w:b/>
          <w:vertAlign w:val="superscript"/>
        </w:rPr>
        <w:t>ths</w:t>
      </w:r>
      <w:r>
        <w:rPr>
          <w:b/>
        </w:rPr>
        <w:t xml:space="preserve"> total</w:t>
      </w:r>
    </w:p>
    <w:p w:rsidR="00C75D66" w:rsidRDefault="00C13890">
      <w:pPr>
        <w:pStyle w:val="FootnoteText"/>
        <w:rPr>
          <w:sz w:val="24"/>
        </w:rPr>
      </w:pPr>
      <w:r>
        <w:rPr>
          <w:sz w:val="24"/>
        </w:rPr>
        <w:t>The 3/9</w:t>
      </w:r>
      <w:r>
        <w:rPr>
          <w:sz w:val="24"/>
          <w:vertAlign w:val="superscript"/>
        </w:rPr>
        <w:t>ths</w:t>
      </w:r>
      <w:r>
        <w:rPr>
          <w:sz w:val="24"/>
        </w:rPr>
        <w:t xml:space="preserve"> limit is based on compensation earned during the fiscal year (July 1 – June 30) and </w:t>
      </w:r>
      <w:r>
        <w:rPr>
          <w:b/>
          <w:sz w:val="24"/>
        </w:rPr>
        <w:t>not</w:t>
      </w:r>
      <w:r>
        <w:rPr>
          <w:sz w:val="24"/>
        </w:rPr>
        <w:t xml:space="preserve"> during the calendar summer months (May – August).  In other words, the compensation earned in the period July 1</w:t>
      </w:r>
      <w:r>
        <w:rPr>
          <w:sz w:val="24"/>
          <w:vertAlign w:val="superscript"/>
        </w:rPr>
        <w:t>st</w:t>
      </w:r>
      <w:r>
        <w:rPr>
          <w:sz w:val="24"/>
        </w:rPr>
        <w:t xml:space="preserve"> through </w:t>
      </w:r>
      <w:r w:rsidR="00B00283">
        <w:rPr>
          <w:sz w:val="24"/>
        </w:rPr>
        <w:t>the end of the summer session, typically in early August,</w:t>
      </w:r>
      <w:r w:rsidR="00BD12CC">
        <w:rPr>
          <w:sz w:val="24"/>
        </w:rPr>
        <w:t xml:space="preserve"> added with </w:t>
      </w:r>
      <w:r>
        <w:rPr>
          <w:sz w:val="24"/>
        </w:rPr>
        <w:t xml:space="preserve">the compensation earned in the period </w:t>
      </w:r>
      <w:r w:rsidR="00BD12CC">
        <w:rPr>
          <w:sz w:val="24"/>
        </w:rPr>
        <w:t xml:space="preserve">beginning with the </w:t>
      </w:r>
      <w:r w:rsidR="00B00283">
        <w:rPr>
          <w:sz w:val="24"/>
        </w:rPr>
        <w:t>summer session, the Monday after the academic year commencement in May</w:t>
      </w:r>
      <w:r w:rsidR="00BD12CC">
        <w:rPr>
          <w:sz w:val="24"/>
        </w:rPr>
        <w:t>,</w:t>
      </w:r>
      <w:r>
        <w:rPr>
          <w:sz w:val="24"/>
        </w:rPr>
        <w:t xml:space="preserve"> through June 30</w:t>
      </w:r>
      <w:r>
        <w:rPr>
          <w:sz w:val="24"/>
          <w:vertAlign w:val="superscript"/>
        </w:rPr>
        <w:t>th</w:t>
      </w:r>
      <w:r w:rsidR="00BD12CC">
        <w:rPr>
          <w:sz w:val="24"/>
        </w:rPr>
        <w:t xml:space="preserve"> </w:t>
      </w:r>
      <w:r>
        <w:rPr>
          <w:sz w:val="24"/>
        </w:rPr>
        <w:t>cannot exceed the 3/9</w:t>
      </w:r>
      <w:r>
        <w:rPr>
          <w:sz w:val="24"/>
          <w:vertAlign w:val="superscript"/>
        </w:rPr>
        <w:t>ths</w:t>
      </w:r>
      <w:r w:rsidR="005C583D">
        <w:rPr>
          <w:sz w:val="24"/>
        </w:rPr>
        <w:t xml:space="preserve"> limit </w:t>
      </w:r>
      <w:r w:rsidR="00790418">
        <w:rPr>
          <w:sz w:val="24"/>
        </w:rPr>
        <w:t>It is important to remember the final 1/9</w:t>
      </w:r>
      <w:r w:rsidR="00790418" w:rsidRPr="00790418">
        <w:rPr>
          <w:sz w:val="24"/>
          <w:vertAlign w:val="superscript"/>
        </w:rPr>
        <w:t>th</w:t>
      </w:r>
      <w:r w:rsidR="00790418">
        <w:rPr>
          <w:sz w:val="24"/>
        </w:rPr>
        <w:t xml:space="preserve"> academic year payment received in the May pay </w:t>
      </w:r>
      <w:r w:rsidR="00790418">
        <w:rPr>
          <w:sz w:val="24"/>
        </w:rPr>
        <w:lastRenderedPageBreak/>
        <w:t>period does not count towards the 3/9</w:t>
      </w:r>
      <w:r w:rsidR="00790418" w:rsidRPr="00790418">
        <w:rPr>
          <w:sz w:val="24"/>
          <w:vertAlign w:val="superscript"/>
        </w:rPr>
        <w:t>ths</w:t>
      </w:r>
      <w:r w:rsidR="00790418">
        <w:rPr>
          <w:sz w:val="24"/>
        </w:rPr>
        <w:t xml:space="preserve"> limit as the effort related to this payment was expended prior to the start of the summer session. </w:t>
      </w:r>
    </w:p>
    <w:p w:rsidR="00C75D66" w:rsidRDefault="00C75D66">
      <w:pPr>
        <w:pStyle w:val="FootnoteText"/>
        <w:rPr>
          <w:sz w:val="24"/>
        </w:rPr>
      </w:pPr>
    </w:p>
    <w:p w:rsidR="00C13890" w:rsidRDefault="00C13890">
      <w:pPr>
        <w:pStyle w:val="FootnoteText"/>
        <w:rPr>
          <w:sz w:val="24"/>
        </w:rPr>
      </w:pPr>
      <w:r>
        <w:rPr>
          <w:sz w:val="24"/>
        </w:rPr>
        <w:t>For clarity, this document will refer to the 3/9</w:t>
      </w:r>
      <w:r>
        <w:rPr>
          <w:sz w:val="24"/>
          <w:vertAlign w:val="superscript"/>
        </w:rPr>
        <w:t>ths</w:t>
      </w:r>
      <w:r>
        <w:rPr>
          <w:sz w:val="24"/>
        </w:rPr>
        <w:t xml:space="preserve"> period</w:t>
      </w:r>
      <w:r w:rsidR="00790418">
        <w:rPr>
          <w:sz w:val="24"/>
        </w:rPr>
        <w:t xml:space="preserve"> as July, August, May, and June</w:t>
      </w:r>
      <w:r w:rsidR="00C75D66">
        <w:rPr>
          <w:sz w:val="24"/>
        </w:rPr>
        <w:t xml:space="preserve"> and uses </w:t>
      </w:r>
      <w:r w:rsidR="00790418">
        <w:rPr>
          <w:sz w:val="24"/>
        </w:rPr>
        <w:t xml:space="preserve">a typical fiscal year </w:t>
      </w:r>
      <w:r w:rsidR="00C75D66">
        <w:rPr>
          <w:sz w:val="24"/>
        </w:rPr>
        <w:t>identified as</w:t>
      </w:r>
      <w:r w:rsidR="00790418">
        <w:rPr>
          <w:sz w:val="24"/>
        </w:rPr>
        <w:t xml:space="preserve"> 20xx – 20xy with the dates of the August summer session as 8/1/xx to 8/9/xx and the dates of the May summer sessions as </w:t>
      </w:r>
      <w:r w:rsidR="00C75D66">
        <w:rPr>
          <w:sz w:val="24"/>
        </w:rPr>
        <w:t>5/12/</w:t>
      </w:r>
      <w:proofErr w:type="spellStart"/>
      <w:r w:rsidR="00C75D66">
        <w:rPr>
          <w:sz w:val="24"/>
        </w:rPr>
        <w:t>xy</w:t>
      </w:r>
      <w:proofErr w:type="spellEnd"/>
      <w:r w:rsidR="00C75D66">
        <w:rPr>
          <w:sz w:val="24"/>
        </w:rPr>
        <w:t xml:space="preserve"> to 5/31/</w:t>
      </w:r>
      <w:proofErr w:type="spellStart"/>
      <w:r w:rsidR="00C75D66">
        <w:rPr>
          <w:sz w:val="24"/>
        </w:rPr>
        <w:t>xy</w:t>
      </w:r>
      <w:proofErr w:type="spellEnd"/>
      <w:r w:rsidR="00C75D66">
        <w:rPr>
          <w:sz w:val="24"/>
        </w:rPr>
        <w:t xml:space="preserve"> to illustrate the summer session calculations.  The actual begin and end dates of any given fiscal year can be found on the Registrar’s website in the Calendars and Schedules link.</w:t>
      </w:r>
    </w:p>
    <w:p w:rsidR="004377D2" w:rsidRDefault="004377D2">
      <w:pPr>
        <w:pStyle w:val="FootnoteText"/>
        <w:rPr>
          <w:sz w:val="24"/>
        </w:rPr>
      </w:pPr>
      <w:r>
        <w:rPr>
          <w:noProof/>
        </w:rPr>
        <w:drawing>
          <wp:inline distT="0" distB="0" distL="0" distR="0" wp14:anchorId="33D2BEC4" wp14:editId="36ED34B4">
            <wp:extent cx="5943600" cy="42214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943600" cy="4221480"/>
                    </a:xfrm>
                    <a:prstGeom prst="rect">
                      <a:avLst/>
                    </a:prstGeom>
                  </pic:spPr>
                </pic:pic>
              </a:graphicData>
            </a:graphic>
          </wp:inline>
        </w:drawing>
      </w:r>
    </w:p>
    <w:p w:rsidR="00C13890" w:rsidRDefault="00C13890">
      <w:pPr>
        <w:pStyle w:val="FootnoteText"/>
      </w:pPr>
    </w:p>
    <w:p w:rsidR="005C583D" w:rsidRDefault="005C583D">
      <w:pPr>
        <w:pStyle w:val="BodyText"/>
        <w:spacing w:line="240" w:lineRule="auto"/>
        <w:rPr>
          <w:b/>
        </w:rPr>
      </w:pPr>
    </w:p>
    <w:p w:rsidR="00C13890" w:rsidRDefault="00C13890">
      <w:pPr>
        <w:pStyle w:val="Heading2"/>
        <w:rPr>
          <w:b/>
        </w:rPr>
      </w:pPr>
      <w:r>
        <w:rPr>
          <w:b/>
        </w:rPr>
        <w:t>Rate of Pay</w:t>
      </w:r>
    </w:p>
    <w:p w:rsidR="00C13890" w:rsidRDefault="00D4565C">
      <w:pPr>
        <w:pStyle w:val="BodyText"/>
        <w:spacing w:line="240" w:lineRule="auto"/>
      </w:pPr>
      <w:r>
        <w:t>Increases to a</w:t>
      </w:r>
      <w:r w:rsidR="00C13890">
        <w:t xml:space="preserve">cademic year salaries are </w:t>
      </w:r>
      <w:r>
        <w:t>typically reviewed</w:t>
      </w:r>
      <w:r w:rsidR="00C13890">
        <w:t xml:space="preserve"> in the spring</w:t>
      </w:r>
      <w:r w:rsidR="00301D8B">
        <w:t>.</w:t>
      </w:r>
      <w:r w:rsidR="00C13890">
        <w:t xml:space="preserve"> </w:t>
      </w:r>
      <w:r>
        <w:t xml:space="preserve"> Per Regent policy</w:t>
      </w:r>
      <w:r w:rsidR="00301D8B">
        <w:rPr>
          <w:rStyle w:val="FootnoteReference"/>
        </w:rPr>
        <w:footnoteReference w:id="1"/>
      </w:r>
      <w:r>
        <w:t xml:space="preserve">, </w:t>
      </w:r>
      <w:r w:rsidR="00301D8B">
        <w:t xml:space="preserve">implementation of adjustments usually is effective the first day of each fiscal year.  </w:t>
      </w:r>
      <w:r w:rsidR="00C13890">
        <w:t>Therefore, the 3/9</w:t>
      </w:r>
      <w:r w:rsidR="00C13890">
        <w:rPr>
          <w:vertAlign w:val="superscript"/>
        </w:rPr>
        <w:t>ths</w:t>
      </w:r>
      <w:r w:rsidR="00C13890">
        <w:t xml:space="preserve"> limit is calculated beginning July 1</w:t>
      </w:r>
      <w:r w:rsidR="00C13890">
        <w:rPr>
          <w:vertAlign w:val="superscript"/>
        </w:rPr>
        <w:t>st</w:t>
      </w:r>
      <w:r w:rsidR="00C13890">
        <w:t xml:space="preserve"> based on the new academic year salary.  Every July, compensation rates for research appointments funded from grants must be recalculated</w:t>
      </w:r>
      <w:r w:rsidR="00572700">
        <w:t xml:space="preserve"> on the basis of the new </w:t>
      </w:r>
      <w:r w:rsidR="00C13890">
        <w:t>approved rate of pay.</w:t>
      </w:r>
    </w:p>
    <w:p w:rsidR="00C13890" w:rsidRDefault="00C13890">
      <w:pPr>
        <w:pStyle w:val="BodyText"/>
        <w:spacing w:line="240" w:lineRule="auto"/>
        <w:rPr>
          <w:sz w:val="20"/>
        </w:rPr>
      </w:pPr>
    </w:p>
    <w:p w:rsidR="00C13890" w:rsidRDefault="00C13890">
      <w:pPr>
        <w:pStyle w:val="BodyText"/>
        <w:spacing w:line="240" w:lineRule="auto"/>
        <w:ind w:left="720"/>
        <w:rPr>
          <w:i/>
        </w:rPr>
      </w:pPr>
      <w:r>
        <w:rPr>
          <w:b/>
          <w:i/>
        </w:rPr>
        <w:t>Example C</w:t>
      </w:r>
      <w:r>
        <w:rPr>
          <w:i/>
        </w:rPr>
        <w:t>: Summer appointments with an effective date from the beginning of the summer session (mid-May) through June 30</w:t>
      </w:r>
      <w:r>
        <w:rPr>
          <w:i/>
          <w:vertAlign w:val="superscript"/>
        </w:rPr>
        <w:t>th</w:t>
      </w:r>
      <w:r>
        <w:rPr>
          <w:i/>
        </w:rPr>
        <w:t xml:space="preserve"> are calculated based on the academic year salary the faculty member received during the previous fall and spring semesters.  Appointments with effective dates of July 1</w:t>
      </w:r>
      <w:r>
        <w:rPr>
          <w:i/>
          <w:vertAlign w:val="superscript"/>
        </w:rPr>
        <w:t>st</w:t>
      </w:r>
      <w:r>
        <w:rPr>
          <w:i/>
        </w:rPr>
        <w:t xml:space="preserve"> through the end of the summer session (mid-August) are calculated based on the academic year salary the faculty member will earn the upcoming fall and spring semester</w:t>
      </w:r>
      <w:r w:rsidR="00715E88">
        <w:rPr>
          <w:i/>
        </w:rPr>
        <w:t xml:space="preserve">.  If a faculty member plans to be paid </w:t>
      </w:r>
      <w:r w:rsidR="006D4A6C">
        <w:rPr>
          <w:i/>
        </w:rPr>
        <w:t>from a</w:t>
      </w:r>
      <w:r w:rsidR="00715E88">
        <w:rPr>
          <w:i/>
        </w:rPr>
        <w:t xml:space="preserve"> </w:t>
      </w:r>
      <w:r>
        <w:rPr>
          <w:i/>
        </w:rPr>
        <w:t xml:space="preserve">research </w:t>
      </w:r>
      <w:r w:rsidR="00715E88">
        <w:rPr>
          <w:i/>
        </w:rPr>
        <w:t xml:space="preserve">grant </w:t>
      </w:r>
      <w:r>
        <w:rPr>
          <w:i/>
        </w:rPr>
        <w:t>the entire cal</w:t>
      </w:r>
      <w:r w:rsidR="00715E88">
        <w:rPr>
          <w:i/>
        </w:rPr>
        <w:t>endar summer (May – August), the</w:t>
      </w:r>
      <w:r>
        <w:rPr>
          <w:i/>
        </w:rPr>
        <w:t xml:space="preserve"> compensation rate must be adjusted on July 1 to reflect his/her new salary.</w:t>
      </w:r>
    </w:p>
    <w:p w:rsidR="00C13890" w:rsidRDefault="00C13890">
      <w:pPr>
        <w:pStyle w:val="FootnoteText"/>
      </w:pPr>
    </w:p>
    <w:p w:rsidR="00E45F21" w:rsidRPr="00506028" w:rsidRDefault="00E45F21" w:rsidP="00E45F21">
      <w:pPr>
        <w:pStyle w:val="FootnoteText"/>
        <w:rPr>
          <w:b/>
          <w:sz w:val="24"/>
          <w:szCs w:val="24"/>
        </w:rPr>
      </w:pPr>
      <w:r w:rsidRPr="00506028">
        <w:rPr>
          <w:b/>
          <w:sz w:val="24"/>
          <w:szCs w:val="24"/>
        </w:rPr>
        <w:t>Salary Rates for Summer Teaching</w:t>
      </w:r>
    </w:p>
    <w:p w:rsidR="00E45F21" w:rsidRDefault="00E45F21">
      <w:pPr>
        <w:pStyle w:val="FootnoteText"/>
      </w:pPr>
    </w:p>
    <w:p w:rsidR="00695D95" w:rsidRDefault="00695D95" w:rsidP="00695D95">
      <w:pPr>
        <w:pStyle w:val="BodyText"/>
        <w:spacing w:line="240" w:lineRule="auto"/>
        <w:rPr>
          <w:lang w:val="en-US"/>
        </w:rPr>
      </w:pPr>
      <w:r>
        <w:t xml:space="preserve">The </w:t>
      </w:r>
      <w:r w:rsidR="00276AEE">
        <w:t>salar</w:t>
      </w:r>
      <w:r w:rsidR="00276AEE">
        <w:rPr>
          <w:lang w:val="en-US"/>
        </w:rPr>
        <w:t>y</w:t>
      </w:r>
      <w:r w:rsidR="00276AEE">
        <w:t xml:space="preserve"> </w:t>
      </w:r>
      <w:r>
        <w:t>rates for summer teaching are set by the school/college based on faculty rank.  In some situations, 1/9</w:t>
      </w:r>
      <w:r w:rsidRPr="00767EFB">
        <w:rPr>
          <w:vertAlign w:val="superscript"/>
        </w:rPr>
        <w:t>th</w:t>
      </w:r>
      <w:r>
        <w:t xml:space="preserve"> of a junior faculty member’s salary may be less than the summer rate.  To limit the salary to 1/9</w:t>
      </w:r>
      <w:r w:rsidRPr="00767EFB">
        <w:rPr>
          <w:vertAlign w:val="superscript"/>
        </w:rPr>
        <w:t>th</w:t>
      </w:r>
      <w:r>
        <w:t xml:space="preserve"> for these faculty members would prohibit the opportunity to teach in the summer session.  </w:t>
      </w:r>
      <w:r w:rsidR="00276AEE" w:rsidRPr="00276AEE">
        <w:t xml:space="preserve">In this situation, the 1/9th rule would not apply, as long as the faculty member is not doing any research during the month he/she is teaching the course.  </w:t>
      </w:r>
      <w:r>
        <w:t>However, the 3/9</w:t>
      </w:r>
      <w:r w:rsidRPr="00767EFB">
        <w:rPr>
          <w:vertAlign w:val="superscript"/>
        </w:rPr>
        <w:t>ths</w:t>
      </w:r>
      <w:r>
        <w:t xml:space="preserve"> limit still applies.</w:t>
      </w:r>
    </w:p>
    <w:p w:rsidR="00695D95" w:rsidRDefault="00695D95" w:rsidP="00695D95">
      <w:pPr>
        <w:pStyle w:val="BodyText"/>
        <w:spacing w:line="240" w:lineRule="auto"/>
        <w:rPr>
          <w:lang w:val="en-US"/>
        </w:rPr>
      </w:pPr>
    </w:p>
    <w:p w:rsidR="00695D95" w:rsidRDefault="00695D95" w:rsidP="00695D95">
      <w:pPr>
        <w:pStyle w:val="BodyText"/>
        <w:spacing w:line="240" w:lineRule="auto"/>
        <w:ind w:left="720"/>
        <w:rPr>
          <w:i/>
          <w:lang w:val="en-US"/>
        </w:rPr>
      </w:pPr>
      <w:r w:rsidRPr="00421758">
        <w:rPr>
          <w:b/>
          <w:i/>
          <w:lang w:val="en-US"/>
        </w:rPr>
        <w:t>Example D</w:t>
      </w:r>
      <w:r>
        <w:rPr>
          <w:lang w:val="en-US"/>
        </w:rPr>
        <w:t xml:space="preserve">: </w:t>
      </w:r>
      <w:r>
        <w:rPr>
          <w:i/>
          <w:lang w:val="en-US"/>
        </w:rPr>
        <w:t>Professor Z’s academic year salary is $60,000.  His 3/9</w:t>
      </w:r>
      <w:r w:rsidRPr="00421758">
        <w:rPr>
          <w:i/>
          <w:vertAlign w:val="superscript"/>
          <w:lang w:val="en-US"/>
        </w:rPr>
        <w:t>ths</w:t>
      </w:r>
      <w:r>
        <w:rPr>
          <w:i/>
          <w:lang w:val="en-US"/>
        </w:rPr>
        <w:t xml:space="preserve"> limit is $20,000 and his 1/9</w:t>
      </w:r>
      <w:r w:rsidRPr="00421758">
        <w:rPr>
          <w:i/>
          <w:vertAlign w:val="superscript"/>
          <w:lang w:val="en-US"/>
        </w:rPr>
        <w:t>th</w:t>
      </w:r>
      <w:r>
        <w:rPr>
          <w:i/>
          <w:lang w:val="en-US"/>
        </w:rPr>
        <w:t xml:space="preserve"> limit is $6,667.  During the month of July 20xx, he wants to teach a summer course of which the posted salary is $7,000; Term B in summer 20xx runs from 7/2/xx to 7/31/xx.  Even though the salary exceeds his 1/9</w:t>
      </w:r>
      <w:r w:rsidRPr="00421758">
        <w:rPr>
          <w:i/>
          <w:vertAlign w:val="superscript"/>
          <w:lang w:val="en-US"/>
        </w:rPr>
        <w:t>th</w:t>
      </w:r>
      <w:r>
        <w:rPr>
          <w:i/>
          <w:lang w:val="en-US"/>
        </w:rPr>
        <w:t>, he can earn the entire $7,000 as long as he does no research during the month of July.  However, he will need to reduce the amounts he can earn between August 20xx and June 20xy to stay in compliance with the 3/9</w:t>
      </w:r>
      <w:r w:rsidRPr="00421758">
        <w:rPr>
          <w:i/>
          <w:vertAlign w:val="superscript"/>
          <w:lang w:val="en-US"/>
        </w:rPr>
        <w:t>ths</w:t>
      </w:r>
      <w:r>
        <w:rPr>
          <w:i/>
          <w:lang w:val="en-US"/>
        </w:rPr>
        <w:t xml:space="preserve"> rule.</w:t>
      </w:r>
    </w:p>
    <w:p w:rsidR="00695D95" w:rsidRDefault="00695D95" w:rsidP="00695D95">
      <w:pPr>
        <w:pStyle w:val="BodyText"/>
        <w:spacing w:line="240" w:lineRule="auto"/>
        <w:ind w:left="720"/>
        <w:rPr>
          <w:i/>
          <w:lang w:val="en-US"/>
        </w:rPr>
      </w:pPr>
    </w:p>
    <w:p w:rsidR="00695D95" w:rsidRDefault="00695D95" w:rsidP="00695D95">
      <w:pPr>
        <w:pStyle w:val="BodyText"/>
        <w:spacing w:line="240" w:lineRule="auto"/>
        <w:ind w:left="720"/>
        <w:rPr>
          <w:i/>
          <w:lang w:val="en-US"/>
        </w:rPr>
      </w:pPr>
      <w:r w:rsidRPr="00186980">
        <w:rPr>
          <w:b/>
          <w:i/>
          <w:lang w:val="en-US"/>
        </w:rPr>
        <w:t>Example E:</w:t>
      </w:r>
      <w:r>
        <w:rPr>
          <w:i/>
          <w:lang w:val="en-US"/>
        </w:rPr>
        <w:t xml:space="preserve"> Professor Y’s academic year salary is $97,000.  Her 3/9</w:t>
      </w:r>
      <w:r w:rsidRPr="00186980">
        <w:rPr>
          <w:i/>
          <w:vertAlign w:val="superscript"/>
          <w:lang w:val="en-US"/>
        </w:rPr>
        <w:t>ths</w:t>
      </w:r>
      <w:r>
        <w:rPr>
          <w:i/>
          <w:lang w:val="en-US"/>
        </w:rPr>
        <w:t xml:space="preserve"> limit is $32,333 and her 1/9</w:t>
      </w:r>
      <w:r w:rsidRPr="00186980">
        <w:rPr>
          <w:i/>
          <w:vertAlign w:val="superscript"/>
          <w:lang w:val="en-US"/>
        </w:rPr>
        <w:t>th</w:t>
      </w:r>
      <w:r>
        <w:rPr>
          <w:i/>
          <w:lang w:val="en-US"/>
        </w:rPr>
        <w:t xml:space="preserve"> limit is $10,778.  She would like to teach two summer courses in July 20xx (Term B) which pays $9,700 per course; she has no plans to conduct research during the summer.  Earning $19,400 in a month exceed her 1/9</w:t>
      </w:r>
      <w:r w:rsidRPr="00186980">
        <w:rPr>
          <w:i/>
          <w:vertAlign w:val="superscript"/>
          <w:lang w:val="en-US"/>
        </w:rPr>
        <w:t>th</w:t>
      </w:r>
      <w:r>
        <w:rPr>
          <w:i/>
          <w:lang w:val="en-US"/>
        </w:rPr>
        <w:t xml:space="preserve"> limit so she would be in violation of the rules if she is allow to teach the two courses even though the compensation is derived solely from teaching.  She does not qualify for the exception because her compensation for teaching one summer course is less than her 1/9</w:t>
      </w:r>
      <w:r w:rsidRPr="00186980">
        <w:rPr>
          <w:i/>
          <w:vertAlign w:val="superscript"/>
          <w:lang w:val="en-US"/>
        </w:rPr>
        <w:t>th</w:t>
      </w:r>
      <w:r>
        <w:rPr>
          <w:i/>
          <w:lang w:val="en-US"/>
        </w:rPr>
        <w:t xml:space="preserve"> limit.  In other words, she cannot exceed the 1/9</w:t>
      </w:r>
      <w:r w:rsidRPr="00411378">
        <w:rPr>
          <w:i/>
          <w:vertAlign w:val="superscript"/>
          <w:lang w:val="en-US"/>
        </w:rPr>
        <w:t>th</w:t>
      </w:r>
      <w:r>
        <w:rPr>
          <w:i/>
          <w:lang w:val="en-US"/>
        </w:rPr>
        <w:t xml:space="preserve"> limit because 1/9</w:t>
      </w:r>
      <w:r w:rsidRPr="00411378">
        <w:rPr>
          <w:i/>
          <w:vertAlign w:val="superscript"/>
          <w:lang w:val="en-US"/>
        </w:rPr>
        <w:t>th</w:t>
      </w:r>
      <w:r>
        <w:rPr>
          <w:i/>
          <w:lang w:val="en-US"/>
        </w:rPr>
        <w:t xml:space="preserve"> of her academic year salary ($10,778) is not less than what she can earn teaching in the summer session course ($9,700).</w:t>
      </w:r>
    </w:p>
    <w:p w:rsidR="00572E97" w:rsidRPr="00FE7FDB" w:rsidRDefault="00572E97" w:rsidP="00F5258D">
      <w:pPr>
        <w:pStyle w:val="BodyText"/>
        <w:spacing w:line="240" w:lineRule="auto"/>
        <w:rPr>
          <w:lang w:val="en-US"/>
        </w:rPr>
      </w:pPr>
    </w:p>
    <w:p w:rsidR="00C13890" w:rsidRPr="00775056" w:rsidRDefault="00C111C7" w:rsidP="00DC7051">
      <w:pPr>
        <w:pStyle w:val="BodyText"/>
        <w:numPr>
          <w:ilvl w:val="0"/>
          <w:numId w:val="10"/>
        </w:numPr>
        <w:spacing w:line="240" w:lineRule="auto"/>
        <w:rPr>
          <w:b/>
          <w:sz w:val="28"/>
          <w:szCs w:val="28"/>
        </w:rPr>
      </w:pPr>
      <w:r w:rsidRPr="00775056">
        <w:rPr>
          <w:b/>
          <w:sz w:val="28"/>
          <w:szCs w:val="28"/>
        </w:rPr>
        <w:t xml:space="preserve">Frequently Asked Questions </w:t>
      </w:r>
    </w:p>
    <w:p w:rsidR="00C13890" w:rsidRDefault="00C13890"/>
    <w:p w:rsidR="00C13890" w:rsidRDefault="00FE7FDB">
      <w:pPr>
        <w:rPr>
          <w:sz w:val="24"/>
        </w:rPr>
      </w:pPr>
      <w:r>
        <w:rPr>
          <w:b/>
          <w:sz w:val="24"/>
        </w:rPr>
        <w:t>Q 1</w:t>
      </w:r>
      <w:r w:rsidR="00C13890">
        <w:rPr>
          <w:b/>
          <w:sz w:val="24"/>
        </w:rPr>
        <w:t>:</w:t>
      </w:r>
      <w:r w:rsidR="00C13890">
        <w:rPr>
          <w:sz w:val="24"/>
        </w:rPr>
        <w:t xml:space="preserve"> My faculty member is teaching a class in Term B that pays $4,000.  She plans to supplement her salary by researching.  The class begins in </w:t>
      </w:r>
      <w:proofErr w:type="spellStart"/>
      <w:r w:rsidR="00C13890">
        <w:rPr>
          <w:sz w:val="24"/>
        </w:rPr>
        <w:t>mid July</w:t>
      </w:r>
      <w:proofErr w:type="spellEnd"/>
      <w:r w:rsidR="00C13890">
        <w:rPr>
          <w:sz w:val="24"/>
        </w:rPr>
        <w:t xml:space="preserve"> and ends in </w:t>
      </w:r>
      <w:proofErr w:type="spellStart"/>
      <w:r w:rsidR="00C13890">
        <w:rPr>
          <w:sz w:val="24"/>
        </w:rPr>
        <w:t>mid August</w:t>
      </w:r>
      <w:proofErr w:type="spellEnd"/>
      <w:r w:rsidR="0014028D">
        <w:rPr>
          <w:sz w:val="24"/>
        </w:rPr>
        <w:t xml:space="preserve"> and </w:t>
      </w:r>
      <w:r w:rsidR="00C13890">
        <w:rPr>
          <w:sz w:val="24"/>
        </w:rPr>
        <w:t>I plan to use the contract method.  How can I determine how much salary is earned in each month to determine how much she can earn from her grant and also ensure she is in compliance with the 1/9</w:t>
      </w:r>
      <w:r w:rsidR="00C13890">
        <w:rPr>
          <w:sz w:val="24"/>
          <w:vertAlign w:val="superscript"/>
        </w:rPr>
        <w:t>th</w:t>
      </w:r>
      <w:r w:rsidR="00C13890">
        <w:rPr>
          <w:sz w:val="24"/>
        </w:rPr>
        <w:t xml:space="preserve"> rule?</w:t>
      </w:r>
    </w:p>
    <w:p w:rsidR="00C13890" w:rsidRDefault="00C13890">
      <w:pPr>
        <w:pStyle w:val="FootnoteText"/>
      </w:pPr>
    </w:p>
    <w:p w:rsidR="00C13890" w:rsidRDefault="00FE7FDB" w:rsidP="00506028">
      <w:pPr>
        <w:rPr>
          <w:sz w:val="24"/>
        </w:rPr>
      </w:pPr>
      <w:r>
        <w:rPr>
          <w:b/>
          <w:sz w:val="24"/>
        </w:rPr>
        <w:t>A 1</w:t>
      </w:r>
      <w:r w:rsidR="00C13890">
        <w:rPr>
          <w:b/>
          <w:sz w:val="24"/>
        </w:rPr>
        <w:t xml:space="preserve">: </w:t>
      </w:r>
      <w:r w:rsidR="00A65E19">
        <w:rPr>
          <w:sz w:val="24"/>
        </w:rPr>
        <w:t>Please refer to the Summer Planning tool (provide web link for download)</w:t>
      </w:r>
    </w:p>
    <w:p w:rsidR="00C13890" w:rsidRDefault="00C13890">
      <w:pPr>
        <w:pStyle w:val="FootnoteText"/>
      </w:pPr>
    </w:p>
    <w:p w:rsidR="00C13890" w:rsidRDefault="00FE7FDB" w:rsidP="00506028">
      <w:pPr>
        <w:rPr>
          <w:sz w:val="24"/>
        </w:rPr>
      </w:pPr>
      <w:r>
        <w:rPr>
          <w:b/>
          <w:sz w:val="24"/>
        </w:rPr>
        <w:t>Q 2</w:t>
      </w:r>
      <w:r w:rsidR="00C13890">
        <w:rPr>
          <w:b/>
          <w:sz w:val="24"/>
        </w:rPr>
        <w:t>:</w:t>
      </w:r>
      <w:r w:rsidR="00C13890">
        <w:rPr>
          <w:sz w:val="24"/>
        </w:rPr>
        <w:t xml:space="preserve"> My faculty member wants to pay himself an entire 1/9</w:t>
      </w:r>
      <w:r w:rsidR="00C13890">
        <w:rPr>
          <w:sz w:val="24"/>
          <w:vertAlign w:val="superscript"/>
        </w:rPr>
        <w:t>th</w:t>
      </w:r>
      <w:r w:rsidR="00C13890">
        <w:rPr>
          <w:sz w:val="24"/>
        </w:rPr>
        <w:t xml:space="preserve"> from his research grant in August.  Since summer session ends and the fall semester begins during that month, can I pay him for the entire month?</w:t>
      </w:r>
    </w:p>
    <w:p w:rsidR="00506028" w:rsidRPr="00506028" w:rsidRDefault="00506028" w:rsidP="00506028">
      <w:pPr>
        <w:rPr>
          <w:sz w:val="24"/>
        </w:rPr>
      </w:pPr>
    </w:p>
    <w:p w:rsidR="00C13890" w:rsidRDefault="00FE7FDB">
      <w:pPr>
        <w:rPr>
          <w:sz w:val="24"/>
        </w:rPr>
      </w:pPr>
      <w:r>
        <w:rPr>
          <w:b/>
          <w:sz w:val="24"/>
        </w:rPr>
        <w:t>A 2</w:t>
      </w:r>
      <w:r w:rsidR="00C13890">
        <w:rPr>
          <w:b/>
          <w:sz w:val="24"/>
        </w:rPr>
        <w:t xml:space="preserve">: </w:t>
      </w:r>
      <w:r w:rsidR="00C13890">
        <w:rPr>
          <w:sz w:val="24"/>
        </w:rPr>
        <w:t>No, you’ll need to prorate his 1/9</w:t>
      </w:r>
      <w:r w:rsidR="00C13890">
        <w:rPr>
          <w:sz w:val="24"/>
          <w:vertAlign w:val="superscript"/>
        </w:rPr>
        <w:t>th</w:t>
      </w:r>
      <w:r w:rsidR="00C13890">
        <w:rPr>
          <w:sz w:val="24"/>
        </w:rPr>
        <w:t xml:space="preserve"> salary</w:t>
      </w:r>
      <w:r w:rsidR="0007210B">
        <w:rPr>
          <w:sz w:val="24"/>
        </w:rPr>
        <w:t xml:space="preserve">. </w:t>
      </w:r>
      <w:r>
        <w:rPr>
          <w:sz w:val="24"/>
        </w:rPr>
        <w:t>Please refer to the Summer Planning tool</w:t>
      </w:r>
      <w:r w:rsidR="0007210B">
        <w:rPr>
          <w:sz w:val="24"/>
        </w:rPr>
        <w:t xml:space="preserve"> to determine the appropriate limit.</w:t>
      </w:r>
      <w:r w:rsidR="00193848">
        <w:rPr>
          <w:sz w:val="24"/>
        </w:rPr>
        <w:t>’</w:t>
      </w:r>
    </w:p>
    <w:p w:rsidR="00193848" w:rsidRDefault="00193848">
      <w:pPr>
        <w:rPr>
          <w:sz w:val="24"/>
        </w:rPr>
      </w:pPr>
    </w:p>
    <w:p w:rsidR="00193848" w:rsidRDefault="00193848">
      <w:pPr>
        <w:rPr>
          <w:sz w:val="24"/>
        </w:rPr>
      </w:pPr>
      <w:r w:rsidRPr="00193848">
        <w:rPr>
          <w:b/>
          <w:sz w:val="24"/>
        </w:rPr>
        <w:t>Q 3</w:t>
      </w:r>
      <w:r>
        <w:rPr>
          <w:sz w:val="24"/>
        </w:rPr>
        <w:t>: What if I have questions or run into issues with the tool?</w:t>
      </w:r>
    </w:p>
    <w:p w:rsidR="00193848" w:rsidRDefault="00193848">
      <w:pPr>
        <w:rPr>
          <w:sz w:val="24"/>
        </w:rPr>
      </w:pPr>
    </w:p>
    <w:p w:rsidR="00193848" w:rsidRDefault="00193848">
      <w:pPr>
        <w:rPr>
          <w:sz w:val="24"/>
        </w:rPr>
      </w:pPr>
      <w:r w:rsidRPr="00193848">
        <w:rPr>
          <w:b/>
          <w:sz w:val="24"/>
        </w:rPr>
        <w:t>A 3</w:t>
      </w:r>
      <w:r>
        <w:rPr>
          <w:sz w:val="24"/>
        </w:rPr>
        <w:t xml:space="preserve">: Please contact the HR Service Center to help with transactional assistance at </w:t>
      </w:r>
      <w:hyperlink r:id="rId9" w:history="1">
        <w:r w:rsidRPr="001138CA">
          <w:rPr>
            <w:rStyle w:val="Hyperlink"/>
            <w:sz w:val="24"/>
          </w:rPr>
          <w:t>HRSC@colorado.edu</w:t>
        </w:r>
      </w:hyperlink>
      <w:r>
        <w:rPr>
          <w:sz w:val="24"/>
        </w:rPr>
        <w:t xml:space="preserve">, however, you may be referred to other groups regarding policy questions.  </w:t>
      </w:r>
    </w:p>
    <w:p w:rsidR="00C13890" w:rsidRDefault="00C13890" w:rsidP="00506028">
      <w:pPr>
        <w:ind w:right="-1440"/>
        <w:rPr>
          <w:b/>
        </w:rPr>
      </w:pPr>
    </w:p>
    <w:sectPr w:rsidR="00C13890">
      <w:footerReference w:type="even" r:id="rId10"/>
      <w:footerReference w:type="default" r:id="rId11"/>
      <w:pgSz w:w="12240" w:h="15840" w:code="1"/>
      <w:pgMar w:top="1440" w:right="1440" w:bottom="965" w:left="1440" w:header="288"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58" w:rsidRDefault="00F94C58">
      <w:r>
        <w:separator/>
      </w:r>
    </w:p>
  </w:endnote>
  <w:endnote w:type="continuationSeparator" w:id="0">
    <w:p w:rsidR="00F94C58" w:rsidRDefault="00F9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999" w:rsidRDefault="000B4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999" w:rsidRDefault="000B4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999" w:rsidRPr="00ED0B6C" w:rsidRDefault="000B4999" w:rsidP="00ED0B6C">
    <w:pPr>
      <w:pStyle w:val="Footer"/>
      <w:jc w:val="center"/>
    </w:pPr>
    <w:r>
      <w:rPr>
        <w:rStyle w:val="PageNumber"/>
      </w:rPr>
      <w:fldChar w:fldCharType="begin"/>
    </w:r>
    <w:r>
      <w:rPr>
        <w:rStyle w:val="PageNumber"/>
      </w:rPr>
      <w:instrText xml:space="preserve"> PAGE </w:instrText>
    </w:r>
    <w:r>
      <w:rPr>
        <w:rStyle w:val="PageNumber"/>
      </w:rPr>
      <w:fldChar w:fldCharType="separate"/>
    </w:r>
    <w:r w:rsidR="00245481">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548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58" w:rsidRDefault="00F94C58">
      <w:r>
        <w:separator/>
      </w:r>
    </w:p>
  </w:footnote>
  <w:footnote w:type="continuationSeparator" w:id="0">
    <w:p w:rsidR="00F94C58" w:rsidRDefault="00F94C58">
      <w:r>
        <w:continuationSeparator/>
      </w:r>
    </w:p>
  </w:footnote>
  <w:footnote w:id="1">
    <w:p w:rsidR="000B4999" w:rsidRPr="00301D8B" w:rsidRDefault="000B4999">
      <w:pPr>
        <w:pStyle w:val="FootnoteText"/>
        <w:rPr>
          <w:sz w:val="16"/>
          <w:szCs w:val="16"/>
        </w:rPr>
      </w:pPr>
      <w:r>
        <w:rPr>
          <w:rStyle w:val="FootnoteReference"/>
        </w:rPr>
        <w:t>1</w:t>
      </w:r>
      <w:r>
        <w:t xml:space="preserve"> </w:t>
      </w:r>
      <w:r w:rsidRPr="00301D8B">
        <w:rPr>
          <w:sz w:val="16"/>
          <w:szCs w:val="16"/>
        </w:rPr>
        <w:t>Board of Regent Poli</w:t>
      </w:r>
      <w:r>
        <w:rPr>
          <w:sz w:val="16"/>
          <w:szCs w:val="16"/>
        </w:rPr>
        <w:t>cy, Policy 11B: Faculty Salary 2.c</w:t>
      </w:r>
      <w:proofErr w:type="gramStart"/>
      <w:r>
        <w:rPr>
          <w:sz w:val="16"/>
          <w:szCs w:val="16"/>
        </w:rPr>
        <w:t>.(</w:t>
      </w:r>
      <w:proofErr w:type="gramEnd"/>
      <w:r>
        <w:rPr>
          <w:sz w:val="16"/>
          <w:szCs w:val="16"/>
        </w:rPr>
        <w:t>3)d.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0685"/>
    <w:multiLevelType w:val="hybridMultilevel"/>
    <w:tmpl w:val="06428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5273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372703FE"/>
    <w:multiLevelType w:val="singleLevel"/>
    <w:tmpl w:val="1B9ED8A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BB5ACA"/>
    <w:multiLevelType w:val="hybridMultilevel"/>
    <w:tmpl w:val="9378CFB4"/>
    <w:lvl w:ilvl="0" w:tplc="C6B257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90979"/>
    <w:multiLevelType w:val="singleLevel"/>
    <w:tmpl w:val="1B9ED8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85197F"/>
    <w:multiLevelType w:val="hybridMultilevel"/>
    <w:tmpl w:val="D2C8CD4C"/>
    <w:lvl w:ilvl="0" w:tplc="7734A6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023C3"/>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6B8A6C89"/>
    <w:multiLevelType w:val="singleLevel"/>
    <w:tmpl w:val="682495A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442DE5"/>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77264C7E"/>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775D029D"/>
    <w:multiLevelType w:val="singleLevel"/>
    <w:tmpl w:val="682495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F04D6E"/>
    <w:multiLevelType w:val="singleLevel"/>
    <w:tmpl w:val="1B9ED8AA"/>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4"/>
  </w:num>
  <w:num w:numId="4">
    <w:abstractNumId w:val="10"/>
  </w:num>
  <w:num w:numId="5">
    <w:abstractNumId w:val="7"/>
  </w:num>
  <w:num w:numId="6">
    <w:abstractNumId w:val="8"/>
  </w:num>
  <w:num w:numId="7">
    <w:abstractNumId w:val="6"/>
  </w:num>
  <w:num w:numId="8">
    <w:abstractNumId w:val="1"/>
  </w:num>
  <w:num w:numId="9">
    <w:abstractNumId w:val="9"/>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E4"/>
    <w:rsid w:val="00006355"/>
    <w:rsid w:val="0001178C"/>
    <w:rsid w:val="000130C7"/>
    <w:rsid w:val="00013B49"/>
    <w:rsid w:val="00016686"/>
    <w:rsid w:val="00044D97"/>
    <w:rsid w:val="000632AE"/>
    <w:rsid w:val="0007210B"/>
    <w:rsid w:val="000B39EF"/>
    <w:rsid w:val="000B4999"/>
    <w:rsid w:val="000D5F32"/>
    <w:rsid w:val="000E5552"/>
    <w:rsid w:val="000F1F95"/>
    <w:rsid w:val="00111FF4"/>
    <w:rsid w:val="00121419"/>
    <w:rsid w:val="001339C6"/>
    <w:rsid w:val="0014028D"/>
    <w:rsid w:val="001413C1"/>
    <w:rsid w:val="00151431"/>
    <w:rsid w:val="00160290"/>
    <w:rsid w:val="00162B70"/>
    <w:rsid w:val="00186980"/>
    <w:rsid w:val="00190BAE"/>
    <w:rsid w:val="00193848"/>
    <w:rsid w:val="00197FED"/>
    <w:rsid w:val="001A6A04"/>
    <w:rsid w:val="001A7633"/>
    <w:rsid w:val="001C0456"/>
    <w:rsid w:val="001C25E0"/>
    <w:rsid w:val="001C7900"/>
    <w:rsid w:val="001D0EFC"/>
    <w:rsid w:val="001D1304"/>
    <w:rsid w:val="00204879"/>
    <w:rsid w:val="00211D7A"/>
    <w:rsid w:val="00215DD7"/>
    <w:rsid w:val="0022066E"/>
    <w:rsid w:val="00223C58"/>
    <w:rsid w:val="00226D94"/>
    <w:rsid w:val="00227B2D"/>
    <w:rsid w:val="002446BA"/>
    <w:rsid w:val="00245481"/>
    <w:rsid w:val="00276AEE"/>
    <w:rsid w:val="00282B93"/>
    <w:rsid w:val="002A3FE7"/>
    <w:rsid w:val="002A58FC"/>
    <w:rsid w:val="002A59EF"/>
    <w:rsid w:val="002B1459"/>
    <w:rsid w:val="002C7AB9"/>
    <w:rsid w:val="002D3C48"/>
    <w:rsid w:val="002D743B"/>
    <w:rsid w:val="002D7488"/>
    <w:rsid w:val="002F155D"/>
    <w:rsid w:val="00301111"/>
    <w:rsid w:val="00301D8B"/>
    <w:rsid w:val="003024BA"/>
    <w:rsid w:val="00324AAC"/>
    <w:rsid w:val="00324CE9"/>
    <w:rsid w:val="00326714"/>
    <w:rsid w:val="00330F8E"/>
    <w:rsid w:val="003327AD"/>
    <w:rsid w:val="00346943"/>
    <w:rsid w:val="0035008A"/>
    <w:rsid w:val="00356CAA"/>
    <w:rsid w:val="0036790D"/>
    <w:rsid w:val="003875F0"/>
    <w:rsid w:val="00387E76"/>
    <w:rsid w:val="003B2E9E"/>
    <w:rsid w:val="003B5963"/>
    <w:rsid w:val="003C1722"/>
    <w:rsid w:val="003C4039"/>
    <w:rsid w:val="003C4A6B"/>
    <w:rsid w:val="003D0F9C"/>
    <w:rsid w:val="003D5C17"/>
    <w:rsid w:val="003E44EA"/>
    <w:rsid w:val="003E69D1"/>
    <w:rsid w:val="003F48BD"/>
    <w:rsid w:val="003F48E5"/>
    <w:rsid w:val="00411378"/>
    <w:rsid w:val="004169D5"/>
    <w:rsid w:val="00421758"/>
    <w:rsid w:val="0042401C"/>
    <w:rsid w:val="004300EF"/>
    <w:rsid w:val="004377D2"/>
    <w:rsid w:val="00446586"/>
    <w:rsid w:val="004515F6"/>
    <w:rsid w:val="004567EB"/>
    <w:rsid w:val="00461F6F"/>
    <w:rsid w:val="004757FF"/>
    <w:rsid w:val="00476779"/>
    <w:rsid w:val="004924C6"/>
    <w:rsid w:val="00495329"/>
    <w:rsid w:val="00497273"/>
    <w:rsid w:val="004A741E"/>
    <w:rsid w:val="004A74AB"/>
    <w:rsid w:val="004F28AC"/>
    <w:rsid w:val="00506028"/>
    <w:rsid w:val="00522B3D"/>
    <w:rsid w:val="00527097"/>
    <w:rsid w:val="00534EC7"/>
    <w:rsid w:val="005431D7"/>
    <w:rsid w:val="005452A3"/>
    <w:rsid w:val="005576EF"/>
    <w:rsid w:val="00561CCE"/>
    <w:rsid w:val="00561D7D"/>
    <w:rsid w:val="00567DF5"/>
    <w:rsid w:val="00572700"/>
    <w:rsid w:val="00572E97"/>
    <w:rsid w:val="00587D7B"/>
    <w:rsid w:val="00594CE8"/>
    <w:rsid w:val="005A1ABF"/>
    <w:rsid w:val="005A3BBB"/>
    <w:rsid w:val="005A6EA1"/>
    <w:rsid w:val="005B3F34"/>
    <w:rsid w:val="005C3A01"/>
    <w:rsid w:val="005C583D"/>
    <w:rsid w:val="005D1C88"/>
    <w:rsid w:val="005E5A99"/>
    <w:rsid w:val="00602313"/>
    <w:rsid w:val="006139D6"/>
    <w:rsid w:val="00614A94"/>
    <w:rsid w:val="00620035"/>
    <w:rsid w:val="006206FF"/>
    <w:rsid w:val="00624651"/>
    <w:rsid w:val="0065334F"/>
    <w:rsid w:val="00661633"/>
    <w:rsid w:val="006619D2"/>
    <w:rsid w:val="00666AE5"/>
    <w:rsid w:val="0066708A"/>
    <w:rsid w:val="00695D95"/>
    <w:rsid w:val="006A2319"/>
    <w:rsid w:val="006A24BE"/>
    <w:rsid w:val="006B6B80"/>
    <w:rsid w:val="006B6D67"/>
    <w:rsid w:val="006D4A6C"/>
    <w:rsid w:val="006E2BE5"/>
    <w:rsid w:val="006E42D1"/>
    <w:rsid w:val="006E5C86"/>
    <w:rsid w:val="006F7826"/>
    <w:rsid w:val="00701193"/>
    <w:rsid w:val="007152A6"/>
    <w:rsid w:val="00715E88"/>
    <w:rsid w:val="00731007"/>
    <w:rsid w:val="00760924"/>
    <w:rsid w:val="00767EFB"/>
    <w:rsid w:val="00773F97"/>
    <w:rsid w:val="00775056"/>
    <w:rsid w:val="00781F82"/>
    <w:rsid w:val="00790418"/>
    <w:rsid w:val="007A095D"/>
    <w:rsid w:val="007B2DA7"/>
    <w:rsid w:val="007D3657"/>
    <w:rsid w:val="007E436D"/>
    <w:rsid w:val="0081042E"/>
    <w:rsid w:val="00814828"/>
    <w:rsid w:val="00833670"/>
    <w:rsid w:val="008606A8"/>
    <w:rsid w:val="008A5A75"/>
    <w:rsid w:val="008A72B4"/>
    <w:rsid w:val="008A73E4"/>
    <w:rsid w:val="008B4248"/>
    <w:rsid w:val="008D3F6D"/>
    <w:rsid w:val="008E0726"/>
    <w:rsid w:val="008E09F3"/>
    <w:rsid w:val="008E5F02"/>
    <w:rsid w:val="008E7D7E"/>
    <w:rsid w:val="008F2B37"/>
    <w:rsid w:val="008F3753"/>
    <w:rsid w:val="008F4DD1"/>
    <w:rsid w:val="008F68F1"/>
    <w:rsid w:val="008F73BA"/>
    <w:rsid w:val="00901F81"/>
    <w:rsid w:val="009031F9"/>
    <w:rsid w:val="009070D1"/>
    <w:rsid w:val="009127C4"/>
    <w:rsid w:val="00933BE9"/>
    <w:rsid w:val="00947A62"/>
    <w:rsid w:val="00957540"/>
    <w:rsid w:val="00961E15"/>
    <w:rsid w:val="00983E56"/>
    <w:rsid w:val="009A7285"/>
    <w:rsid w:val="009D21C9"/>
    <w:rsid w:val="009F586B"/>
    <w:rsid w:val="00A0049A"/>
    <w:rsid w:val="00A00E30"/>
    <w:rsid w:val="00A12462"/>
    <w:rsid w:val="00A14308"/>
    <w:rsid w:val="00A2321E"/>
    <w:rsid w:val="00A54447"/>
    <w:rsid w:val="00A61AAF"/>
    <w:rsid w:val="00A65E19"/>
    <w:rsid w:val="00A67783"/>
    <w:rsid w:val="00A709EA"/>
    <w:rsid w:val="00A70B71"/>
    <w:rsid w:val="00A72E19"/>
    <w:rsid w:val="00A74960"/>
    <w:rsid w:val="00A9177D"/>
    <w:rsid w:val="00AA57E9"/>
    <w:rsid w:val="00AB006E"/>
    <w:rsid w:val="00AB29DC"/>
    <w:rsid w:val="00AE069A"/>
    <w:rsid w:val="00AE3A40"/>
    <w:rsid w:val="00AE6B67"/>
    <w:rsid w:val="00B00283"/>
    <w:rsid w:val="00B0236E"/>
    <w:rsid w:val="00B048B9"/>
    <w:rsid w:val="00B221DA"/>
    <w:rsid w:val="00B64A85"/>
    <w:rsid w:val="00B8160C"/>
    <w:rsid w:val="00B90843"/>
    <w:rsid w:val="00B95095"/>
    <w:rsid w:val="00BA2788"/>
    <w:rsid w:val="00BB0B93"/>
    <w:rsid w:val="00BC27B7"/>
    <w:rsid w:val="00BD12CC"/>
    <w:rsid w:val="00BD4842"/>
    <w:rsid w:val="00BF1B3D"/>
    <w:rsid w:val="00BF20AF"/>
    <w:rsid w:val="00BF6908"/>
    <w:rsid w:val="00BF6DA3"/>
    <w:rsid w:val="00C111C7"/>
    <w:rsid w:val="00C13890"/>
    <w:rsid w:val="00C308EB"/>
    <w:rsid w:val="00C40C11"/>
    <w:rsid w:val="00C436A8"/>
    <w:rsid w:val="00C45706"/>
    <w:rsid w:val="00C50129"/>
    <w:rsid w:val="00C56D75"/>
    <w:rsid w:val="00C576EC"/>
    <w:rsid w:val="00C619E3"/>
    <w:rsid w:val="00C63E53"/>
    <w:rsid w:val="00C75D66"/>
    <w:rsid w:val="00C84F0C"/>
    <w:rsid w:val="00C9052B"/>
    <w:rsid w:val="00C937C5"/>
    <w:rsid w:val="00C957FD"/>
    <w:rsid w:val="00CA5941"/>
    <w:rsid w:val="00CC4978"/>
    <w:rsid w:val="00CC5F0C"/>
    <w:rsid w:val="00CC699F"/>
    <w:rsid w:val="00CC6FA5"/>
    <w:rsid w:val="00CE3F91"/>
    <w:rsid w:val="00CE6DC9"/>
    <w:rsid w:val="00CF0185"/>
    <w:rsid w:val="00D252C0"/>
    <w:rsid w:val="00D3119F"/>
    <w:rsid w:val="00D4565C"/>
    <w:rsid w:val="00D5716F"/>
    <w:rsid w:val="00D6152E"/>
    <w:rsid w:val="00D6329E"/>
    <w:rsid w:val="00D76FA3"/>
    <w:rsid w:val="00D86364"/>
    <w:rsid w:val="00DA100D"/>
    <w:rsid w:val="00DC5796"/>
    <w:rsid w:val="00DC7051"/>
    <w:rsid w:val="00DD1878"/>
    <w:rsid w:val="00DE0161"/>
    <w:rsid w:val="00DE22CF"/>
    <w:rsid w:val="00DF0326"/>
    <w:rsid w:val="00DF7384"/>
    <w:rsid w:val="00E25EF3"/>
    <w:rsid w:val="00E3655F"/>
    <w:rsid w:val="00E44DE4"/>
    <w:rsid w:val="00E45F21"/>
    <w:rsid w:val="00E63226"/>
    <w:rsid w:val="00E703C9"/>
    <w:rsid w:val="00E82425"/>
    <w:rsid w:val="00E9067F"/>
    <w:rsid w:val="00E92710"/>
    <w:rsid w:val="00E9443B"/>
    <w:rsid w:val="00EB0993"/>
    <w:rsid w:val="00ED0B6C"/>
    <w:rsid w:val="00ED5FB1"/>
    <w:rsid w:val="00EE4686"/>
    <w:rsid w:val="00F00A4D"/>
    <w:rsid w:val="00F03B9B"/>
    <w:rsid w:val="00F21C44"/>
    <w:rsid w:val="00F23CFE"/>
    <w:rsid w:val="00F32CB2"/>
    <w:rsid w:val="00F446FB"/>
    <w:rsid w:val="00F5258D"/>
    <w:rsid w:val="00F565BB"/>
    <w:rsid w:val="00F75D9A"/>
    <w:rsid w:val="00F94C58"/>
    <w:rsid w:val="00FA4E03"/>
    <w:rsid w:val="00FB0F87"/>
    <w:rsid w:val="00FD1534"/>
    <w:rsid w:val="00FD586B"/>
    <w:rsid w:val="00FE1BD8"/>
    <w:rsid w:val="00FE76A9"/>
    <w:rsid w:val="00F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5875C4D4-D86D-49F2-A095-56F12C00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pPr>
      <w:spacing w:line="360" w:lineRule="auto"/>
    </w:pPr>
    <w:rPr>
      <w:sz w:val="24"/>
      <w:lang w:val="x-none" w:eastAsia="x-none"/>
    </w:rPr>
  </w:style>
  <w:style w:type="paragraph" w:styleId="BodyText2">
    <w:name w:val="Body Text 2"/>
    <w:basedOn w:val="Normal"/>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A57E9"/>
    <w:rPr>
      <w:rFonts w:ascii="Tahoma" w:hAnsi="Tahoma" w:cs="Tahoma"/>
      <w:sz w:val="16"/>
      <w:szCs w:val="16"/>
    </w:rPr>
  </w:style>
  <w:style w:type="character" w:styleId="CommentReference">
    <w:name w:val="annotation reference"/>
    <w:rsid w:val="00301111"/>
    <w:rPr>
      <w:sz w:val="16"/>
      <w:szCs w:val="16"/>
    </w:rPr>
  </w:style>
  <w:style w:type="paragraph" w:styleId="CommentText">
    <w:name w:val="annotation text"/>
    <w:basedOn w:val="Normal"/>
    <w:link w:val="CommentTextChar"/>
    <w:rsid w:val="00301111"/>
  </w:style>
  <w:style w:type="character" w:customStyle="1" w:styleId="CommentTextChar">
    <w:name w:val="Comment Text Char"/>
    <w:basedOn w:val="DefaultParagraphFont"/>
    <w:link w:val="CommentText"/>
    <w:rsid w:val="00301111"/>
  </w:style>
  <w:style w:type="paragraph" w:styleId="CommentSubject">
    <w:name w:val="annotation subject"/>
    <w:basedOn w:val="CommentText"/>
    <w:next w:val="CommentText"/>
    <w:link w:val="CommentSubjectChar"/>
    <w:rsid w:val="00301111"/>
    <w:rPr>
      <w:b/>
      <w:bCs/>
      <w:lang w:val="x-none" w:eastAsia="x-none"/>
    </w:rPr>
  </w:style>
  <w:style w:type="character" w:customStyle="1" w:styleId="CommentSubjectChar">
    <w:name w:val="Comment Subject Char"/>
    <w:link w:val="CommentSubject"/>
    <w:rsid w:val="00301111"/>
    <w:rPr>
      <w:b/>
      <w:bCs/>
    </w:rPr>
  </w:style>
  <w:style w:type="character" w:customStyle="1" w:styleId="BodyTextChar">
    <w:name w:val="Body Text Char"/>
    <w:link w:val="BodyText"/>
    <w:rsid w:val="00301111"/>
    <w:rPr>
      <w:sz w:val="24"/>
    </w:rPr>
  </w:style>
  <w:style w:type="paragraph" w:styleId="Revision">
    <w:name w:val="Revision"/>
    <w:hidden/>
    <w:uiPriority w:val="99"/>
    <w:semiHidden/>
    <w:rsid w:val="00833670"/>
  </w:style>
  <w:style w:type="paragraph" w:styleId="ListParagraph">
    <w:name w:val="List Paragraph"/>
    <w:basedOn w:val="Normal"/>
    <w:uiPriority w:val="34"/>
    <w:qFormat/>
    <w:rsid w:val="0014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SC@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9D40-A9C2-48A3-B9DD-B12DC154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Boulder Campus Policy on Summer Salary Limitations (3/9 Rule)</vt:lpstr>
    </vt:vector>
  </TitlesOfParts>
  <Company>University of Colorado</Company>
  <LinksUpToDate>false</LinksUpToDate>
  <CharactersWithSpaces>7494</CharactersWithSpaces>
  <SharedDoc>false</SharedDoc>
  <HLinks>
    <vt:vector size="30" baseType="variant">
      <vt:variant>
        <vt:i4>4194396</vt:i4>
      </vt:variant>
      <vt:variant>
        <vt:i4>15</vt:i4>
      </vt:variant>
      <vt:variant>
        <vt:i4>0</vt:i4>
      </vt:variant>
      <vt:variant>
        <vt:i4>5</vt:i4>
      </vt:variant>
      <vt:variant>
        <vt:lpwstr>http://www.cu.edu/hcm-community/master-resources-page</vt:lpwstr>
      </vt:variant>
      <vt:variant>
        <vt:lpwstr/>
      </vt:variant>
      <vt:variant>
        <vt:i4>4194396</vt:i4>
      </vt:variant>
      <vt:variant>
        <vt:i4>12</vt:i4>
      </vt:variant>
      <vt:variant>
        <vt:i4>0</vt:i4>
      </vt:variant>
      <vt:variant>
        <vt:i4>5</vt:i4>
      </vt:variant>
      <vt:variant>
        <vt:lpwstr>http://www.cu.edu/hcm-community/master-resources-page</vt:lpwstr>
      </vt:variant>
      <vt:variant>
        <vt:lpwstr/>
      </vt:variant>
      <vt:variant>
        <vt:i4>3080254</vt:i4>
      </vt:variant>
      <vt:variant>
        <vt:i4>9</vt:i4>
      </vt:variant>
      <vt:variant>
        <vt:i4>0</vt:i4>
      </vt:variant>
      <vt:variant>
        <vt:i4>5</vt:i4>
      </vt:variant>
      <vt:variant>
        <vt:lpwstr>http://www.colorado.edu/AcademicAffairs/resources.html</vt:lpwstr>
      </vt:variant>
      <vt:variant>
        <vt:lpwstr/>
      </vt:variant>
      <vt:variant>
        <vt:i4>3080254</vt:i4>
      </vt:variant>
      <vt:variant>
        <vt:i4>3</vt:i4>
      </vt:variant>
      <vt:variant>
        <vt:i4>0</vt:i4>
      </vt:variant>
      <vt:variant>
        <vt:i4>5</vt:i4>
      </vt:variant>
      <vt:variant>
        <vt:lpwstr>http://www.colorado.edu/AcademicAffairs/resources.html</vt:lpwstr>
      </vt:variant>
      <vt:variant>
        <vt:lpwstr/>
      </vt:variant>
      <vt:variant>
        <vt:i4>8257637</vt:i4>
      </vt:variant>
      <vt:variant>
        <vt:i4>0</vt:i4>
      </vt:variant>
      <vt:variant>
        <vt:i4>0</vt:i4>
      </vt:variant>
      <vt:variant>
        <vt:i4>5</vt:i4>
      </vt:variant>
      <vt:variant>
        <vt:lpwstr>https://facultyaffairs.colorado.edu/faculty/policy-resources/campus-policies/additional-compensation/?searchterm=additional%20compensation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Boulder Campus Policy on Summer Salary Limitations (3/9 Rule)</dc:title>
  <dc:subject/>
  <dc:creator>Elaine Hernandez</dc:creator>
  <cp:keywords/>
  <cp:lastModifiedBy>Elizabeth A Garfield</cp:lastModifiedBy>
  <cp:revision>2</cp:revision>
  <cp:lastPrinted>2012-02-15T20:53:00Z</cp:lastPrinted>
  <dcterms:created xsi:type="dcterms:W3CDTF">2017-03-24T16:02:00Z</dcterms:created>
  <dcterms:modified xsi:type="dcterms:W3CDTF">2017-03-24T16:02:00Z</dcterms:modified>
</cp:coreProperties>
</file>