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791F" w14:textId="77777777" w:rsidR="00241F09" w:rsidRDefault="00241F09" w:rsidP="00A7419F">
      <w:pPr>
        <w:pStyle w:val="OCGTitle"/>
      </w:pPr>
      <w:bookmarkStart w:id="0" w:name="_GoBack"/>
      <w:bookmarkEnd w:id="0"/>
    </w:p>
    <w:p w14:paraId="536A31F5" w14:textId="0577A0F6" w:rsidR="00B25D39" w:rsidRPr="00A7419F" w:rsidRDefault="000D6304" w:rsidP="00A7419F">
      <w:pPr>
        <w:pStyle w:val="OCGTitle"/>
      </w:pPr>
      <w:r>
        <w:t>POLICY</w:t>
      </w:r>
      <w:r w:rsidR="00B25D39" w:rsidRPr="00615781">
        <w:t xml:space="preserve"> STATEMENT</w:t>
      </w:r>
    </w:p>
    <w:p w14:paraId="2C0B5394" w14:textId="32FC5169" w:rsidR="009829F3" w:rsidRPr="00A7419F" w:rsidRDefault="000D6304" w:rsidP="00A7419F">
      <w:pPr>
        <w:spacing w:after="0" w:line="240" w:lineRule="auto"/>
        <w:rPr>
          <w:rStyle w:val="OCGSubtitleChar"/>
        </w:rPr>
      </w:pPr>
      <w:r>
        <w:rPr>
          <w:rStyle w:val="OCGSubtitleChar"/>
        </w:rPr>
        <w:t>OCG Policy</w:t>
      </w:r>
      <w:r w:rsidR="009829F3" w:rsidRPr="00A7419F">
        <w:rPr>
          <w:rStyle w:val="OCGSubtitleChar"/>
        </w:rPr>
        <w:t xml:space="preserve"> Statement Title:</w:t>
      </w:r>
      <w:r w:rsidR="00F249AF">
        <w:rPr>
          <w:rStyle w:val="OCGSubtitleChar"/>
        </w:rPr>
        <w:t xml:space="preserve"> </w:t>
      </w:r>
      <w:r w:rsidR="00403EA3">
        <w:rPr>
          <w:rStyle w:val="OCGSubtitleChar"/>
        </w:rPr>
        <w:t xml:space="preserve"> 3/9</w:t>
      </w:r>
      <w:r w:rsidR="00403EA3" w:rsidRPr="00403EA3">
        <w:rPr>
          <w:rStyle w:val="OCGSubtitleChar"/>
          <w:vertAlign w:val="superscript"/>
        </w:rPr>
        <w:t>ths</w:t>
      </w:r>
      <w:r w:rsidR="00403EA3">
        <w:rPr>
          <w:rStyle w:val="OCGSubtitleChar"/>
        </w:rPr>
        <w:t xml:space="preserve"> Summer Salary Limit</w:t>
      </w:r>
    </w:p>
    <w:p w14:paraId="49922ADC" w14:textId="77777777" w:rsidR="009829F3" w:rsidRPr="00A7419F" w:rsidRDefault="009829F3" w:rsidP="00A7419F">
      <w:pPr>
        <w:spacing w:after="0" w:line="240" w:lineRule="auto"/>
        <w:rPr>
          <w:rFonts w:ascii="Arial" w:eastAsia="Arial Unicode MS" w:hAnsi="Arial" w:cs="Arial"/>
        </w:rPr>
      </w:pPr>
    </w:p>
    <w:p w14:paraId="07830873" w14:textId="450D6035" w:rsidR="009829F3" w:rsidRPr="00A7419F" w:rsidRDefault="009829F3" w:rsidP="00A7419F">
      <w:pPr>
        <w:spacing w:after="0" w:line="240" w:lineRule="auto"/>
        <w:rPr>
          <w:rFonts w:ascii="Arial" w:eastAsia="Arial Unicode MS" w:hAnsi="Arial" w:cs="Arial"/>
        </w:rPr>
      </w:pPr>
      <w:r w:rsidRPr="00A7419F">
        <w:rPr>
          <w:rFonts w:ascii="Arial" w:eastAsia="Arial Unicode MS" w:hAnsi="Arial" w:cs="Arial"/>
          <w:b/>
        </w:rPr>
        <w:t>Functional Area:</w:t>
      </w:r>
      <w:r w:rsidRPr="00A7419F">
        <w:rPr>
          <w:rFonts w:ascii="Arial" w:eastAsia="Arial Unicode MS" w:hAnsi="Arial" w:cs="Arial"/>
        </w:rPr>
        <w:t xml:space="preserve"> </w:t>
      </w:r>
      <w:r w:rsidR="006C2424">
        <w:rPr>
          <w:rFonts w:ascii="Arial" w:eastAsia="Arial Unicode MS" w:hAnsi="Arial" w:cs="Arial"/>
        </w:rPr>
        <w:t xml:space="preserve">  </w:t>
      </w:r>
      <w:r w:rsidRPr="00A7419F">
        <w:rPr>
          <w:rFonts w:ascii="Arial" w:eastAsia="Arial Unicode MS" w:hAnsi="Arial" w:cs="Arial"/>
        </w:rPr>
        <w:t>Research Administration</w:t>
      </w:r>
    </w:p>
    <w:p w14:paraId="48E7E50A" w14:textId="77777777" w:rsidR="009829F3" w:rsidRPr="00A7419F" w:rsidRDefault="003C52F9" w:rsidP="00A7419F">
      <w:pPr>
        <w:spacing w:after="0" w:line="240" w:lineRule="auto"/>
        <w:rPr>
          <w:rFonts w:ascii="Arial" w:eastAsia="Arial Unicode MS" w:hAnsi="Arial" w:cs="Arial"/>
        </w:rPr>
      </w:pPr>
      <w:r>
        <w:rPr>
          <w:rFonts w:ascii="Arial" w:eastAsia="Arial Unicode MS" w:hAnsi="Arial" w:cs="Arial"/>
        </w:rPr>
        <w:pict w14:anchorId="49C95B01">
          <v:rect id="_x0000_i1025" style="width:486pt;height:1.5pt" o:hralign="center" o:hrstd="t" o:hrnoshade="t" o:hr="t" fillcolor="#a0a0a0" stroked="f"/>
        </w:pict>
      </w:r>
    </w:p>
    <w:p w14:paraId="034A927E" w14:textId="0C45F99A" w:rsidR="009829F3" w:rsidRPr="00A7419F" w:rsidRDefault="009829F3" w:rsidP="00711A23">
      <w:pPr>
        <w:tabs>
          <w:tab w:val="left" w:pos="90"/>
          <w:tab w:val="left" w:pos="2790"/>
        </w:tabs>
        <w:spacing w:before="60" w:after="60" w:line="240" w:lineRule="auto"/>
        <w:ind w:left="2790" w:hanging="2790"/>
        <w:rPr>
          <w:rFonts w:ascii="Arial" w:eastAsia="Arial Unicode MS" w:hAnsi="Arial" w:cs="Arial"/>
          <w:b/>
          <w:sz w:val="20"/>
          <w:szCs w:val="20"/>
        </w:rPr>
      </w:pPr>
      <w:r w:rsidRPr="00A7419F">
        <w:rPr>
          <w:rFonts w:ascii="Arial" w:eastAsia="Arial Unicode MS" w:hAnsi="Arial" w:cs="Arial"/>
          <w:b/>
          <w:sz w:val="20"/>
          <w:szCs w:val="20"/>
        </w:rPr>
        <w:t>Related Policy:</w:t>
      </w:r>
      <w:r w:rsidRPr="00A7419F">
        <w:rPr>
          <w:rFonts w:ascii="Arial" w:eastAsia="Arial Unicode MS" w:hAnsi="Arial" w:cs="Arial"/>
          <w:b/>
          <w:sz w:val="20"/>
          <w:szCs w:val="20"/>
        </w:rPr>
        <w:tab/>
      </w:r>
      <w:r w:rsidR="00403EA3">
        <w:rPr>
          <w:rFonts w:ascii="Arial" w:eastAsia="Arial Unicode MS" w:hAnsi="Arial" w:cs="Arial"/>
          <w:b/>
          <w:sz w:val="20"/>
          <w:szCs w:val="20"/>
        </w:rPr>
        <w:t>2 CFR 200</w:t>
      </w:r>
      <w:r w:rsidR="00711A23">
        <w:rPr>
          <w:rFonts w:ascii="Arial" w:eastAsia="Arial Unicode MS" w:hAnsi="Arial" w:cs="Arial"/>
          <w:b/>
          <w:sz w:val="20"/>
          <w:szCs w:val="20"/>
        </w:rPr>
        <w:t>; Institutional Base Salary &amp; Additional Faculty Compensation for Faculty on 9-Month/Academic Year Appointments</w:t>
      </w:r>
    </w:p>
    <w:p w14:paraId="5EE2A7CA" w14:textId="41AC2256" w:rsidR="009829F3" w:rsidRPr="00A7419F" w:rsidRDefault="009829F3" w:rsidP="00317855">
      <w:pPr>
        <w:tabs>
          <w:tab w:val="left" w:pos="2790"/>
        </w:tabs>
        <w:spacing w:before="60" w:after="60" w:line="240" w:lineRule="auto"/>
        <w:ind w:left="2794" w:hanging="2794"/>
        <w:rPr>
          <w:rFonts w:ascii="Arial" w:eastAsia="Arial Unicode MS" w:hAnsi="Arial" w:cs="Arial"/>
          <w:b/>
          <w:sz w:val="20"/>
          <w:szCs w:val="20"/>
        </w:rPr>
      </w:pPr>
      <w:r w:rsidRPr="00A7419F">
        <w:rPr>
          <w:rFonts w:ascii="Arial" w:eastAsia="Arial Unicode MS" w:hAnsi="Arial" w:cs="Arial"/>
          <w:b/>
          <w:sz w:val="20"/>
          <w:szCs w:val="20"/>
        </w:rPr>
        <w:t>Effective Date:</w:t>
      </w:r>
      <w:r w:rsidRPr="00A7419F">
        <w:rPr>
          <w:rFonts w:ascii="Arial" w:eastAsia="Arial Unicode MS" w:hAnsi="Arial" w:cs="Arial"/>
          <w:b/>
          <w:sz w:val="20"/>
          <w:szCs w:val="20"/>
        </w:rPr>
        <w:tab/>
      </w:r>
      <w:r w:rsidR="0022504C">
        <w:rPr>
          <w:rFonts w:ascii="Arial" w:eastAsia="Arial Unicode MS" w:hAnsi="Arial" w:cs="Arial"/>
          <w:b/>
          <w:sz w:val="20"/>
          <w:szCs w:val="20"/>
        </w:rPr>
        <w:t>March 1, 2017</w:t>
      </w:r>
    </w:p>
    <w:p w14:paraId="384BDD2F" w14:textId="77777777" w:rsidR="009829F3" w:rsidRPr="00A7419F" w:rsidRDefault="009829F3" w:rsidP="00A7419F">
      <w:pPr>
        <w:tabs>
          <w:tab w:val="left" w:pos="2790"/>
        </w:tabs>
        <w:spacing w:before="60" w:after="60" w:line="240" w:lineRule="auto"/>
        <w:rPr>
          <w:rFonts w:ascii="Arial" w:eastAsia="Arial Unicode MS" w:hAnsi="Arial" w:cs="Arial"/>
          <w:sz w:val="20"/>
          <w:szCs w:val="20"/>
        </w:rPr>
      </w:pPr>
      <w:r w:rsidRPr="00A7419F">
        <w:rPr>
          <w:rFonts w:ascii="Arial" w:eastAsia="Arial Unicode MS" w:hAnsi="Arial" w:cs="Arial"/>
          <w:b/>
          <w:sz w:val="20"/>
          <w:szCs w:val="20"/>
        </w:rPr>
        <w:t>Approved by:</w:t>
      </w:r>
      <w:r w:rsidRPr="00A7419F">
        <w:rPr>
          <w:rFonts w:ascii="Arial" w:eastAsia="Arial Unicode MS" w:hAnsi="Arial" w:cs="Arial"/>
          <w:sz w:val="20"/>
          <w:szCs w:val="20"/>
        </w:rPr>
        <w:tab/>
      </w:r>
    </w:p>
    <w:p w14:paraId="517114A9" w14:textId="5054718E" w:rsidR="009829F3" w:rsidRPr="00A7419F" w:rsidRDefault="009829F3" w:rsidP="00A7419F">
      <w:pPr>
        <w:tabs>
          <w:tab w:val="left" w:pos="2790"/>
        </w:tabs>
        <w:spacing w:before="60" w:after="60" w:line="240" w:lineRule="auto"/>
        <w:rPr>
          <w:rFonts w:ascii="Arial" w:eastAsia="Arial Unicode MS" w:hAnsi="Arial" w:cs="Arial"/>
          <w:sz w:val="20"/>
          <w:szCs w:val="20"/>
        </w:rPr>
      </w:pPr>
      <w:r w:rsidRPr="00A7419F">
        <w:rPr>
          <w:rFonts w:ascii="Arial" w:eastAsia="Arial Unicode MS" w:hAnsi="Arial" w:cs="Arial"/>
          <w:b/>
          <w:sz w:val="20"/>
          <w:szCs w:val="20"/>
        </w:rPr>
        <w:t>Responsible Office:</w:t>
      </w:r>
      <w:r w:rsidRPr="00A7419F">
        <w:rPr>
          <w:rFonts w:ascii="Arial" w:eastAsia="Arial Unicode MS" w:hAnsi="Arial" w:cs="Arial"/>
          <w:sz w:val="20"/>
          <w:szCs w:val="20"/>
        </w:rPr>
        <w:tab/>
      </w:r>
      <w:r w:rsidR="00F7010C">
        <w:rPr>
          <w:rFonts w:ascii="Arial" w:eastAsia="Arial Unicode MS" w:hAnsi="Arial" w:cs="Arial"/>
          <w:sz w:val="20"/>
          <w:szCs w:val="20"/>
        </w:rPr>
        <w:t>Office of Contracts and Grants</w:t>
      </w:r>
    </w:p>
    <w:p w14:paraId="7A328742" w14:textId="77777777" w:rsidR="009829F3" w:rsidRPr="00A7419F" w:rsidRDefault="003C52F9" w:rsidP="00A7419F">
      <w:pPr>
        <w:tabs>
          <w:tab w:val="left" w:pos="2790"/>
        </w:tabs>
        <w:spacing w:after="0" w:line="240" w:lineRule="auto"/>
        <w:rPr>
          <w:rFonts w:ascii="Arial" w:eastAsia="Arial Unicode MS" w:hAnsi="Arial" w:cs="Arial"/>
          <w:sz w:val="20"/>
          <w:szCs w:val="20"/>
        </w:rPr>
      </w:pPr>
      <w:r>
        <w:rPr>
          <w:rFonts w:ascii="Arial" w:eastAsia="Arial Unicode MS" w:hAnsi="Arial" w:cs="Arial"/>
        </w:rPr>
        <w:pict w14:anchorId="4CB507EF">
          <v:rect id="_x0000_i1026" style="width:486pt;height:1.5pt" o:hralign="center" o:hrstd="t" o:hrnoshade="t" o:hr="t" fillcolor="#a0a0a0" stroked="f"/>
        </w:pict>
      </w:r>
    </w:p>
    <w:p w14:paraId="7F7BF672" w14:textId="42DCFB6C" w:rsidR="009829F3" w:rsidRPr="00A7419F" w:rsidRDefault="00641A08" w:rsidP="00A7419F">
      <w:pPr>
        <w:pStyle w:val="OCGHeading1"/>
      </w:pPr>
      <w:r>
        <w:t>P</w:t>
      </w:r>
      <w:r w:rsidR="00A10035">
        <w:t>ROCEDURAL</w:t>
      </w:r>
      <w:r w:rsidR="009829F3" w:rsidRPr="00A7419F">
        <w:t xml:space="preserve"> STATEMENT</w:t>
      </w:r>
    </w:p>
    <w:p w14:paraId="56A40149" w14:textId="2718FC13" w:rsidR="00403EA3" w:rsidRDefault="00403EA3" w:rsidP="00235F33">
      <w:pPr>
        <w:spacing w:after="0" w:line="240" w:lineRule="auto"/>
        <w:ind w:left="720"/>
        <w:rPr>
          <w:sz w:val="24"/>
        </w:rPr>
      </w:pPr>
      <w:r w:rsidRPr="00403EA3">
        <w:rPr>
          <w:rFonts w:ascii="Arial" w:hAnsi="Arial" w:cs="Arial"/>
          <w:sz w:val="20"/>
          <w:szCs w:val="20"/>
        </w:rPr>
        <w:t>The Office of Management and Budget (OMB), a branch of the Executive Office of the President, issued Circular 2 CFR 200 to establish principles for administrative requirements and costs applicable to federally funded grants, contracts and other agreements.   Section</w:t>
      </w:r>
      <w:r w:rsidR="00D87287">
        <w:rPr>
          <w:rFonts w:ascii="Arial" w:hAnsi="Arial" w:cs="Arial"/>
          <w:sz w:val="20"/>
          <w:szCs w:val="20"/>
        </w:rPr>
        <w:t xml:space="preserve"> </w:t>
      </w:r>
      <w:hyperlink r:id="rId8" w:history="1">
        <w:r w:rsidR="00D87287" w:rsidRPr="00D87287">
          <w:rPr>
            <w:rStyle w:val="Hyperlink"/>
            <w:rFonts w:ascii="Arial" w:hAnsi="Arial" w:cs="Arial"/>
            <w:sz w:val="20"/>
            <w:szCs w:val="20"/>
          </w:rPr>
          <w:t>2 CFR 200.430(h</w:t>
        </w:r>
        <w:proofErr w:type="gramStart"/>
        <w:r w:rsidR="00D87287" w:rsidRPr="00D87287">
          <w:rPr>
            <w:rStyle w:val="Hyperlink"/>
            <w:rFonts w:ascii="Arial" w:hAnsi="Arial" w:cs="Arial"/>
            <w:sz w:val="20"/>
            <w:szCs w:val="20"/>
          </w:rPr>
          <w:t>)(</w:t>
        </w:r>
        <w:proofErr w:type="gramEnd"/>
        <w:r w:rsidR="00D87287" w:rsidRPr="00D87287">
          <w:rPr>
            <w:rStyle w:val="Hyperlink"/>
            <w:rFonts w:ascii="Arial" w:hAnsi="Arial" w:cs="Arial"/>
            <w:sz w:val="20"/>
            <w:szCs w:val="20"/>
          </w:rPr>
          <w:t>5)</w:t>
        </w:r>
      </w:hyperlink>
      <w:r w:rsidRPr="00403EA3">
        <w:rPr>
          <w:rFonts w:ascii="Arial" w:hAnsi="Arial" w:cs="Arial"/>
          <w:sz w:val="20"/>
          <w:szCs w:val="20"/>
        </w:rPr>
        <w:t xml:space="preserve"> of that document addresses salary rates for faculty members during periods outside the academic year and </w:t>
      </w:r>
      <w:r w:rsidR="00235F33">
        <w:rPr>
          <w:rFonts w:ascii="Arial" w:hAnsi="Arial" w:cs="Arial"/>
          <w:sz w:val="20"/>
          <w:szCs w:val="20"/>
        </w:rPr>
        <w:t>2 CFR 200.430(h)(2</w:t>
      </w:r>
      <w:r w:rsidR="00235F33" w:rsidRPr="00403EA3">
        <w:rPr>
          <w:rFonts w:ascii="Arial" w:hAnsi="Arial" w:cs="Arial"/>
          <w:sz w:val="20"/>
          <w:szCs w:val="20"/>
        </w:rPr>
        <w:t xml:space="preserve">) </w:t>
      </w:r>
      <w:r w:rsidR="00235F33">
        <w:rPr>
          <w:rFonts w:ascii="Arial" w:hAnsi="Arial" w:cs="Arial"/>
          <w:sz w:val="20"/>
          <w:szCs w:val="20"/>
        </w:rPr>
        <w:t>defines the salary limits that cannot be exceeded for work performed on Federal award.  This set</w:t>
      </w:r>
      <w:r w:rsidRPr="00403EA3">
        <w:rPr>
          <w:rFonts w:ascii="Arial" w:hAnsi="Arial" w:cs="Arial"/>
          <w:sz w:val="20"/>
          <w:szCs w:val="20"/>
        </w:rPr>
        <w:t>s the basis for the 3/9</w:t>
      </w:r>
      <w:r w:rsidRPr="00403EA3">
        <w:rPr>
          <w:rFonts w:ascii="Arial" w:hAnsi="Arial" w:cs="Arial"/>
          <w:sz w:val="20"/>
          <w:szCs w:val="20"/>
          <w:vertAlign w:val="superscript"/>
        </w:rPr>
        <w:t>ths</w:t>
      </w:r>
      <w:r w:rsidRPr="00403EA3">
        <w:rPr>
          <w:rFonts w:ascii="Arial" w:hAnsi="Arial" w:cs="Arial"/>
          <w:sz w:val="20"/>
          <w:szCs w:val="20"/>
        </w:rPr>
        <w:t xml:space="preserve"> rule.   Additionally, 2 CFR 200 expects the University to establish and consistently apply policies regarding compensation paid by sponsored projects and it is the responsibility of the faculty member to understand and comply with regulations regarding summer</w:t>
      </w:r>
      <w:r w:rsidR="00340ED4">
        <w:rPr>
          <w:rFonts w:ascii="Arial" w:hAnsi="Arial" w:cs="Arial"/>
          <w:sz w:val="20"/>
          <w:szCs w:val="20"/>
        </w:rPr>
        <w:t xml:space="preserve"> pay.</w:t>
      </w:r>
    </w:p>
    <w:p w14:paraId="1AE7586C" w14:textId="77777777" w:rsidR="00A10035" w:rsidRPr="00A7419F" w:rsidRDefault="00A10035" w:rsidP="00A10035">
      <w:pPr>
        <w:pStyle w:val="OCGHeading1"/>
      </w:pPr>
      <w:r>
        <w:t>POLICY</w:t>
      </w:r>
      <w:r w:rsidRPr="00A7419F">
        <w:t xml:space="preserve"> STATEMENT</w:t>
      </w:r>
    </w:p>
    <w:p w14:paraId="07D4121F" w14:textId="37E9530C" w:rsidR="000A6726" w:rsidRDefault="000A6726" w:rsidP="000A6726">
      <w:pPr>
        <w:spacing w:after="0" w:line="240" w:lineRule="auto"/>
        <w:ind w:left="720"/>
        <w:rPr>
          <w:rFonts w:ascii="Arial" w:hAnsi="Arial" w:cs="Arial"/>
          <w:sz w:val="20"/>
          <w:szCs w:val="20"/>
        </w:rPr>
      </w:pPr>
      <w:r w:rsidRPr="00C95FDD">
        <w:rPr>
          <w:rFonts w:ascii="Arial" w:hAnsi="Arial" w:cs="Arial"/>
          <w:sz w:val="20"/>
          <w:szCs w:val="20"/>
        </w:rPr>
        <w:t xml:space="preserve">For academic year (9-month contractual) appointed faculty, </w:t>
      </w:r>
      <w:hyperlink r:id="rId9" w:history="1">
        <w:r w:rsidRPr="00C95FDD">
          <w:rPr>
            <w:rStyle w:val="Hyperlink"/>
            <w:rFonts w:ascii="Arial" w:hAnsi="Arial" w:cs="Arial"/>
            <w:sz w:val="20"/>
            <w:szCs w:val="20"/>
          </w:rPr>
          <w:t>campus guidelines allow</w:t>
        </w:r>
      </w:hyperlink>
      <w:r w:rsidRPr="00C95FDD">
        <w:rPr>
          <w:rFonts w:ascii="Arial" w:hAnsi="Arial" w:cs="Arial"/>
          <w:sz w:val="20"/>
          <w:szCs w:val="20"/>
        </w:rPr>
        <w:t xml:space="preserve"> for the </w:t>
      </w:r>
      <w:r w:rsidRPr="000A6726">
        <w:rPr>
          <w:rFonts w:ascii="Arial" w:hAnsi="Arial" w:cs="Arial"/>
          <w:sz w:val="20"/>
          <w:szCs w:val="20"/>
        </w:rPr>
        <w:t>maximum of an additional 3/9</w:t>
      </w:r>
      <w:r w:rsidRPr="000A6726">
        <w:rPr>
          <w:rFonts w:ascii="Arial" w:hAnsi="Arial" w:cs="Arial"/>
          <w:sz w:val="20"/>
          <w:szCs w:val="20"/>
          <w:vertAlign w:val="superscript"/>
        </w:rPr>
        <w:t>ths</w:t>
      </w:r>
      <w:r w:rsidRPr="000A6726">
        <w:rPr>
          <w:rFonts w:ascii="Arial" w:hAnsi="Arial" w:cs="Arial"/>
          <w:sz w:val="20"/>
          <w:szCs w:val="20"/>
        </w:rPr>
        <w:t xml:space="preserve"> of the academic year salary to be earned for summer work during the summer months including summer teaching, research pay in any proportion, additional, pay, etc.  These rules do not apply to research faculty paid on a fiscal year 12-month appointment.  </w:t>
      </w:r>
      <w:r w:rsidR="00DA3E5C">
        <w:rPr>
          <w:rFonts w:ascii="Arial" w:hAnsi="Arial" w:cs="Arial"/>
          <w:sz w:val="20"/>
          <w:szCs w:val="20"/>
        </w:rPr>
        <w:t xml:space="preserve">It is important to note that </w:t>
      </w:r>
      <w:r w:rsidRPr="000A6726">
        <w:rPr>
          <w:rFonts w:ascii="Arial" w:hAnsi="Arial" w:cs="Arial"/>
          <w:sz w:val="20"/>
          <w:szCs w:val="20"/>
        </w:rPr>
        <w:t xml:space="preserve">not all granting agencies allow the entire 3/9ths to be charged to the grant. </w:t>
      </w:r>
      <w:r w:rsidRPr="000A6726">
        <w:rPr>
          <w:rFonts w:ascii="Arial" w:hAnsi="Arial" w:cs="Arial"/>
          <w:b/>
          <w:sz w:val="20"/>
          <w:szCs w:val="20"/>
        </w:rPr>
        <w:t xml:space="preserve"> </w:t>
      </w:r>
    </w:p>
    <w:p w14:paraId="14151505" w14:textId="77777777" w:rsidR="000A6726" w:rsidRDefault="000A6726" w:rsidP="000A6726">
      <w:pPr>
        <w:spacing w:after="0" w:line="240" w:lineRule="auto"/>
        <w:ind w:left="720"/>
        <w:rPr>
          <w:sz w:val="24"/>
        </w:rPr>
      </w:pPr>
    </w:p>
    <w:p w14:paraId="39C8DD0C" w14:textId="4533046B" w:rsidR="00403EA3" w:rsidRDefault="00403EA3" w:rsidP="000A6726">
      <w:pPr>
        <w:spacing w:after="0" w:line="240" w:lineRule="auto"/>
        <w:ind w:left="720"/>
        <w:rPr>
          <w:rFonts w:ascii="Arial" w:hAnsi="Arial" w:cs="Arial"/>
          <w:sz w:val="20"/>
          <w:szCs w:val="20"/>
        </w:rPr>
      </w:pPr>
      <w:r w:rsidRPr="00403EA3">
        <w:rPr>
          <w:rFonts w:ascii="Arial" w:hAnsi="Arial" w:cs="Arial"/>
          <w:sz w:val="20"/>
          <w:szCs w:val="20"/>
        </w:rPr>
        <w:t xml:space="preserve">Faculty members often receive multiple grants for a single research area.  </w:t>
      </w:r>
      <w:r>
        <w:rPr>
          <w:rFonts w:ascii="Arial" w:hAnsi="Arial" w:cs="Arial"/>
          <w:sz w:val="20"/>
          <w:szCs w:val="20"/>
        </w:rPr>
        <w:t xml:space="preserve">It is essential to ensure </w:t>
      </w:r>
      <w:r w:rsidRPr="00403EA3">
        <w:rPr>
          <w:rFonts w:ascii="Arial" w:hAnsi="Arial" w:cs="Arial"/>
          <w:sz w:val="20"/>
          <w:szCs w:val="20"/>
        </w:rPr>
        <w:t xml:space="preserve">salary </w:t>
      </w:r>
      <w:r>
        <w:rPr>
          <w:rFonts w:ascii="Arial" w:hAnsi="Arial" w:cs="Arial"/>
          <w:sz w:val="20"/>
          <w:szCs w:val="20"/>
        </w:rPr>
        <w:t xml:space="preserve">is not charged </w:t>
      </w:r>
      <w:r w:rsidRPr="00403EA3">
        <w:rPr>
          <w:rFonts w:ascii="Arial" w:hAnsi="Arial" w:cs="Arial"/>
          <w:sz w:val="20"/>
          <w:szCs w:val="20"/>
        </w:rPr>
        <w:t>to one project while expending effort on a different project.  Failure to account accurately for salary charges to various projects can result in significa</w:t>
      </w:r>
      <w:r>
        <w:rPr>
          <w:rFonts w:ascii="Arial" w:hAnsi="Arial" w:cs="Arial"/>
          <w:sz w:val="20"/>
          <w:szCs w:val="20"/>
        </w:rPr>
        <w:t xml:space="preserve">nt disallowances.  </w:t>
      </w:r>
      <w:r w:rsidRPr="00403EA3">
        <w:rPr>
          <w:rFonts w:ascii="Arial" w:hAnsi="Arial" w:cs="Arial"/>
          <w:sz w:val="20"/>
          <w:szCs w:val="20"/>
        </w:rPr>
        <w:t>Therefore, the effort devoted to a sponsored project should be consistent with the plan that was proposed to the sponsoring agency and agreed to at the time of the award.  Paid effort must be supported by a proposed salary budget and adequate funding.   Effort on projects that do not have adequate budget or funding cannot have that effo</w:t>
      </w:r>
      <w:r w:rsidR="00C95FDD">
        <w:rPr>
          <w:rFonts w:ascii="Arial" w:hAnsi="Arial" w:cs="Arial"/>
          <w:sz w:val="20"/>
          <w:szCs w:val="20"/>
        </w:rPr>
        <w:t xml:space="preserve">rt paid by a different project and it is inappropriate to have summer salary pay for research effort expended during the academic year. </w:t>
      </w:r>
    </w:p>
    <w:p w14:paraId="7152FA8F" w14:textId="77777777" w:rsidR="0031665D" w:rsidRDefault="0031665D" w:rsidP="000A6726">
      <w:pPr>
        <w:spacing w:after="0" w:line="240" w:lineRule="auto"/>
        <w:ind w:left="720"/>
        <w:rPr>
          <w:rFonts w:ascii="Arial" w:hAnsi="Arial" w:cs="Arial"/>
          <w:sz w:val="20"/>
          <w:szCs w:val="20"/>
        </w:rPr>
      </w:pPr>
    </w:p>
    <w:p w14:paraId="17633404" w14:textId="7C408291" w:rsidR="0031665D" w:rsidRPr="0031665D" w:rsidRDefault="0031665D" w:rsidP="000A6726">
      <w:pPr>
        <w:spacing w:after="0" w:line="240" w:lineRule="auto"/>
        <w:ind w:left="720"/>
        <w:rPr>
          <w:rFonts w:ascii="Arial" w:hAnsi="Arial" w:cs="Arial"/>
          <w:sz w:val="20"/>
          <w:szCs w:val="20"/>
        </w:rPr>
      </w:pPr>
      <w:r w:rsidRPr="0031665D">
        <w:rPr>
          <w:rFonts w:ascii="Arial" w:hAnsi="Arial" w:cs="Arial"/>
          <w:sz w:val="20"/>
          <w:szCs w:val="20"/>
        </w:rPr>
        <w:t>It is important to keep in mind that during the summer months, the effort a faculty member expends should coincide with where the salary is charged.  If a faculty member charges an entire 1/9</w:t>
      </w:r>
      <w:r w:rsidRPr="0031665D">
        <w:rPr>
          <w:rFonts w:ascii="Arial" w:hAnsi="Arial" w:cs="Arial"/>
          <w:sz w:val="20"/>
          <w:szCs w:val="20"/>
          <w:vertAlign w:val="superscript"/>
        </w:rPr>
        <w:t>th</w:t>
      </w:r>
      <w:r w:rsidRPr="0031665D">
        <w:rPr>
          <w:rFonts w:ascii="Arial" w:hAnsi="Arial" w:cs="Arial"/>
          <w:sz w:val="20"/>
          <w:szCs w:val="20"/>
        </w:rPr>
        <w:t xml:space="preserve"> of their academic salary to a grant, they must expend 100% of their effort for that month towards that grant.  In other words, he/she cannot take significant time off for vacation while being paid from a grant.  Nor can he/she spend any time writing new grant proposals, developing new course curriculum or performing any non-research related work</w:t>
      </w:r>
      <w:r w:rsidR="00D87287">
        <w:rPr>
          <w:rFonts w:ascii="Arial" w:hAnsi="Arial" w:cs="Arial"/>
          <w:sz w:val="20"/>
          <w:szCs w:val="20"/>
        </w:rPr>
        <w:t xml:space="preserve">.  Paid summer effort will need to be certified via the </w:t>
      </w:r>
      <w:proofErr w:type="spellStart"/>
      <w:r w:rsidR="00D87287">
        <w:rPr>
          <w:rFonts w:ascii="Arial" w:hAnsi="Arial" w:cs="Arial"/>
          <w:sz w:val="20"/>
          <w:szCs w:val="20"/>
        </w:rPr>
        <w:t>ePERS</w:t>
      </w:r>
      <w:proofErr w:type="spellEnd"/>
      <w:r w:rsidR="00D87287">
        <w:rPr>
          <w:rFonts w:ascii="Arial" w:hAnsi="Arial" w:cs="Arial"/>
          <w:sz w:val="20"/>
          <w:szCs w:val="20"/>
        </w:rPr>
        <w:t xml:space="preserve"> system.</w:t>
      </w:r>
    </w:p>
    <w:p w14:paraId="36AAB304" w14:textId="77777777" w:rsidR="00C95FDD" w:rsidRDefault="00C95FDD" w:rsidP="000A6726">
      <w:pPr>
        <w:spacing w:after="0" w:line="240" w:lineRule="auto"/>
        <w:ind w:left="720"/>
        <w:rPr>
          <w:rFonts w:ascii="Arial" w:hAnsi="Arial" w:cs="Arial"/>
          <w:sz w:val="20"/>
          <w:szCs w:val="20"/>
        </w:rPr>
      </w:pPr>
    </w:p>
    <w:p w14:paraId="6E17D500" w14:textId="77777777" w:rsidR="00C8716D" w:rsidRPr="00403EA3" w:rsidRDefault="00C8716D" w:rsidP="00403EA3">
      <w:pPr>
        <w:spacing w:after="0" w:line="240" w:lineRule="auto"/>
        <w:ind w:left="720"/>
        <w:rPr>
          <w:rFonts w:ascii="Arial" w:hAnsi="Arial" w:cs="Arial"/>
          <w:sz w:val="20"/>
          <w:szCs w:val="20"/>
        </w:rPr>
      </w:pPr>
    </w:p>
    <w:p w14:paraId="0FB86D77" w14:textId="77777777" w:rsidR="009829F3" w:rsidRPr="00A7419F" w:rsidRDefault="009829F3" w:rsidP="00A7419F">
      <w:pPr>
        <w:pStyle w:val="OCGHeading1"/>
      </w:pPr>
      <w:r w:rsidRPr="00A7419F">
        <w:lastRenderedPageBreak/>
        <w:t>DEFINITIONS</w:t>
      </w:r>
    </w:p>
    <w:p w14:paraId="55FDCB40" w14:textId="6DD91AC2" w:rsidR="00B526F2" w:rsidRDefault="00C8716D" w:rsidP="00403EA3">
      <w:pPr>
        <w:pStyle w:val="OCGNormal"/>
      </w:pPr>
      <w:r>
        <w:rPr>
          <w:b/>
        </w:rPr>
        <w:t xml:space="preserve">Academic Year (AY) Salary:  </w:t>
      </w:r>
      <w:r>
        <w:t>The same as “Institutional Base Salary” for academic year appointed faculty.</w:t>
      </w:r>
    </w:p>
    <w:p w14:paraId="046B2BBF" w14:textId="0E0FBFF4" w:rsidR="00B526F2" w:rsidRDefault="00C8716D" w:rsidP="00C8716D">
      <w:pPr>
        <w:pStyle w:val="Default"/>
        <w:ind w:left="720"/>
        <w:rPr>
          <w:rFonts w:ascii="Arial" w:hAnsi="Arial" w:cs="Arial"/>
          <w:sz w:val="20"/>
          <w:szCs w:val="20"/>
        </w:rPr>
      </w:pPr>
      <w:r w:rsidRPr="00C8716D">
        <w:rPr>
          <w:rFonts w:ascii="Arial" w:hAnsi="Arial" w:cs="Arial"/>
          <w:b/>
          <w:sz w:val="20"/>
          <w:szCs w:val="20"/>
        </w:rPr>
        <w:t>Institutional Base Salary</w:t>
      </w:r>
      <w:r w:rsidR="000936BF">
        <w:rPr>
          <w:rFonts w:ascii="Arial" w:hAnsi="Arial" w:cs="Arial"/>
          <w:b/>
          <w:sz w:val="20"/>
          <w:szCs w:val="20"/>
        </w:rPr>
        <w:t xml:space="preserve"> (IBS)</w:t>
      </w:r>
      <w:r w:rsidRPr="00C8716D">
        <w:rPr>
          <w:rFonts w:ascii="Arial" w:hAnsi="Arial" w:cs="Arial"/>
          <w:b/>
          <w:sz w:val="20"/>
          <w:szCs w:val="20"/>
        </w:rPr>
        <w:t>:</w:t>
      </w:r>
      <w:r w:rsidRPr="00C8716D">
        <w:rPr>
          <w:rFonts w:ascii="Arial" w:hAnsi="Arial" w:cs="Arial"/>
          <w:sz w:val="20"/>
          <w:szCs w:val="20"/>
        </w:rPr>
        <w:t xml:space="preserve">  </w:t>
      </w:r>
      <w:r w:rsidR="00B526F2" w:rsidRPr="00C8716D">
        <w:rPr>
          <w:rFonts w:ascii="Arial" w:hAnsi="Arial" w:cs="Arial"/>
          <w:i/>
          <w:sz w:val="20"/>
          <w:szCs w:val="20"/>
        </w:rPr>
        <w:t xml:space="preserve"> </w:t>
      </w:r>
      <w:r w:rsidRPr="00C8716D">
        <w:rPr>
          <w:rFonts w:ascii="Arial" w:hAnsi="Arial" w:cs="Arial"/>
          <w:sz w:val="20"/>
          <w:szCs w:val="20"/>
        </w:rPr>
        <w:t xml:space="preserve">The annual compensation set by the University for an </w:t>
      </w:r>
      <w:proofErr w:type="gramStart"/>
      <w:r w:rsidRPr="00C8716D">
        <w:rPr>
          <w:rFonts w:ascii="Arial" w:hAnsi="Arial" w:cs="Arial"/>
          <w:sz w:val="20"/>
          <w:szCs w:val="20"/>
        </w:rPr>
        <w:t>individual's tenure track</w:t>
      </w:r>
      <w:proofErr w:type="gramEnd"/>
      <w:r w:rsidRPr="00C8716D">
        <w:rPr>
          <w:rFonts w:ascii="Arial" w:hAnsi="Arial" w:cs="Arial"/>
          <w:sz w:val="20"/>
          <w:szCs w:val="20"/>
        </w:rPr>
        <w:t xml:space="preserve"> teaching appointment, whether that individual's time is spent on research, instruction, </w:t>
      </w:r>
      <w:r w:rsidR="004F6FF1">
        <w:rPr>
          <w:rFonts w:ascii="Arial" w:hAnsi="Arial" w:cs="Arial"/>
          <w:sz w:val="20"/>
          <w:szCs w:val="20"/>
        </w:rPr>
        <w:t>service</w:t>
      </w:r>
      <w:r w:rsidRPr="00C8716D">
        <w:rPr>
          <w:rFonts w:ascii="Arial" w:hAnsi="Arial" w:cs="Arial"/>
          <w:sz w:val="20"/>
          <w:szCs w:val="20"/>
        </w:rPr>
        <w:t xml:space="preserve"> or other institutional activities. </w:t>
      </w:r>
    </w:p>
    <w:p w14:paraId="3839D7F8" w14:textId="77777777" w:rsidR="00ED37F4" w:rsidRDefault="00ED37F4" w:rsidP="00C8716D">
      <w:pPr>
        <w:pStyle w:val="Default"/>
        <w:ind w:left="720"/>
        <w:rPr>
          <w:rFonts w:ascii="Arial" w:hAnsi="Arial" w:cs="Arial"/>
          <w:sz w:val="20"/>
          <w:szCs w:val="20"/>
        </w:rPr>
      </w:pPr>
    </w:p>
    <w:p w14:paraId="1E1F23CE" w14:textId="1A689E4F" w:rsidR="00ED37F4" w:rsidRDefault="00ED37F4" w:rsidP="00C8716D">
      <w:pPr>
        <w:pStyle w:val="Default"/>
        <w:ind w:left="720"/>
        <w:rPr>
          <w:rFonts w:ascii="Arial" w:hAnsi="Arial" w:cs="Arial"/>
          <w:sz w:val="20"/>
          <w:szCs w:val="20"/>
        </w:rPr>
      </w:pPr>
      <w:r>
        <w:rPr>
          <w:rFonts w:ascii="Arial" w:hAnsi="Arial" w:cs="Arial"/>
          <w:b/>
          <w:sz w:val="20"/>
          <w:szCs w:val="20"/>
        </w:rPr>
        <w:t>One-Ninth Rule:</w:t>
      </w:r>
      <w:r>
        <w:rPr>
          <w:rFonts w:ascii="Arial" w:hAnsi="Arial" w:cs="Arial"/>
          <w:sz w:val="20"/>
          <w:szCs w:val="20"/>
        </w:rPr>
        <w:t xml:space="preserve">  </w:t>
      </w:r>
      <w:r w:rsidR="000936BF">
        <w:rPr>
          <w:rFonts w:ascii="Arial" w:hAnsi="Arial" w:cs="Arial"/>
          <w:sz w:val="20"/>
          <w:szCs w:val="20"/>
        </w:rPr>
        <w:t>Federal regulation limit</w:t>
      </w:r>
      <w:r>
        <w:rPr>
          <w:rFonts w:ascii="Arial" w:hAnsi="Arial" w:cs="Arial"/>
          <w:sz w:val="20"/>
          <w:szCs w:val="20"/>
        </w:rPr>
        <w:t xml:space="preserve">ing </w:t>
      </w:r>
      <w:r w:rsidR="000936BF">
        <w:rPr>
          <w:rFonts w:ascii="Arial" w:hAnsi="Arial" w:cs="Arial"/>
          <w:sz w:val="20"/>
          <w:szCs w:val="20"/>
        </w:rPr>
        <w:t xml:space="preserve">the amount of </w:t>
      </w:r>
      <w:r>
        <w:rPr>
          <w:rFonts w:ascii="Arial" w:hAnsi="Arial" w:cs="Arial"/>
          <w:sz w:val="20"/>
          <w:szCs w:val="20"/>
        </w:rPr>
        <w:t xml:space="preserve">salary </w:t>
      </w:r>
      <w:r w:rsidR="000936BF">
        <w:rPr>
          <w:rFonts w:ascii="Arial" w:hAnsi="Arial" w:cs="Arial"/>
          <w:sz w:val="20"/>
          <w:szCs w:val="20"/>
        </w:rPr>
        <w:t xml:space="preserve">charged </w:t>
      </w:r>
      <w:r>
        <w:rPr>
          <w:rFonts w:ascii="Arial" w:hAnsi="Arial" w:cs="Arial"/>
          <w:sz w:val="20"/>
          <w:szCs w:val="20"/>
        </w:rPr>
        <w:t xml:space="preserve">for work </w:t>
      </w:r>
      <w:r w:rsidR="000936BF">
        <w:rPr>
          <w:rFonts w:ascii="Arial" w:hAnsi="Arial" w:cs="Arial"/>
          <w:sz w:val="20"/>
          <w:szCs w:val="20"/>
        </w:rPr>
        <w:t>performed on Federal awards to no more than the proportionate share of the IBS for that period. For CU Boulder, 1/9</w:t>
      </w:r>
      <w:r w:rsidR="000936BF" w:rsidRPr="000936BF">
        <w:rPr>
          <w:rFonts w:ascii="Arial" w:hAnsi="Arial" w:cs="Arial"/>
          <w:sz w:val="20"/>
          <w:szCs w:val="20"/>
          <w:vertAlign w:val="superscript"/>
        </w:rPr>
        <w:t>th</w:t>
      </w:r>
      <w:r w:rsidR="000936BF">
        <w:rPr>
          <w:rFonts w:ascii="Arial" w:hAnsi="Arial" w:cs="Arial"/>
          <w:sz w:val="20"/>
          <w:szCs w:val="20"/>
        </w:rPr>
        <w:t xml:space="preserve"> of the IBS</w:t>
      </w:r>
      <w:r w:rsidR="00735F71">
        <w:rPr>
          <w:rFonts w:ascii="Arial" w:hAnsi="Arial" w:cs="Arial"/>
          <w:sz w:val="20"/>
          <w:szCs w:val="20"/>
        </w:rPr>
        <w:t xml:space="preserve"> is equivalent to one month’s AY salary</w:t>
      </w:r>
      <w:r w:rsidR="000936BF">
        <w:rPr>
          <w:rFonts w:ascii="Arial" w:hAnsi="Arial" w:cs="Arial"/>
          <w:sz w:val="20"/>
          <w:szCs w:val="20"/>
        </w:rPr>
        <w:t>.</w:t>
      </w:r>
    </w:p>
    <w:p w14:paraId="6325044B" w14:textId="77777777" w:rsidR="00067DC4" w:rsidRPr="00ED37F4" w:rsidRDefault="00067DC4" w:rsidP="00C8716D">
      <w:pPr>
        <w:pStyle w:val="Default"/>
        <w:ind w:left="720"/>
        <w:rPr>
          <w:rFonts w:ascii="Arial" w:hAnsi="Arial" w:cs="Arial"/>
          <w:sz w:val="20"/>
          <w:szCs w:val="20"/>
        </w:rPr>
      </w:pPr>
    </w:p>
    <w:p w14:paraId="4B5F35B9" w14:textId="77777777" w:rsidR="009829F3" w:rsidRPr="00A7419F" w:rsidRDefault="00615781" w:rsidP="00235558">
      <w:pPr>
        <w:pStyle w:val="OCGHeading1"/>
      </w:pPr>
      <w:r w:rsidRPr="00A7419F">
        <w:t>PROCEDURES</w:t>
      </w:r>
    </w:p>
    <w:p w14:paraId="6AA545AF" w14:textId="57E6CA12" w:rsidR="00067DC4" w:rsidRDefault="005D4DF7" w:rsidP="00067DC4">
      <w:pPr>
        <w:pStyle w:val="OCGHeading2"/>
      </w:pPr>
      <w:r>
        <w:t>Determining</w:t>
      </w:r>
      <w:r w:rsidR="00067DC4">
        <w:t xml:space="preserve"> Summer Pay </w:t>
      </w:r>
      <w:r>
        <w:t>Limits</w:t>
      </w:r>
    </w:p>
    <w:p w14:paraId="19DC44D3" w14:textId="3F87DBFE" w:rsidR="007C338A" w:rsidRDefault="003C52F9" w:rsidP="00CD42AC">
      <w:pPr>
        <w:pStyle w:val="OCGHeading2"/>
        <w:numPr>
          <w:ilvl w:val="0"/>
          <w:numId w:val="0"/>
        </w:numPr>
        <w:spacing w:before="0" w:after="0" w:line="240" w:lineRule="auto"/>
        <w:ind w:left="720"/>
        <w:rPr>
          <w:b w:val="0"/>
        </w:rPr>
      </w:pPr>
      <w:hyperlink r:id="rId10" w:history="1">
        <w:r w:rsidR="00D87287" w:rsidRPr="00D87287">
          <w:rPr>
            <w:rStyle w:val="Hyperlink"/>
            <w:rFonts w:cs="Arial"/>
            <w:b w:val="0"/>
          </w:rPr>
          <w:t>2 CFR 200.430(h)(2)</w:t>
        </w:r>
      </w:hyperlink>
      <w:r w:rsidR="00612F86" w:rsidRPr="00612F86">
        <w:rPr>
          <w:rFonts w:cs="Arial"/>
          <w:b w:val="0"/>
        </w:rPr>
        <w:t xml:space="preserve"> and (5)(i) restricts the amount a faculty member can charge to a </w:t>
      </w:r>
      <w:r w:rsidR="00780C8F">
        <w:rPr>
          <w:rFonts w:cs="Arial"/>
          <w:b w:val="0"/>
        </w:rPr>
        <w:t xml:space="preserve">Federal award </w:t>
      </w:r>
      <w:r w:rsidR="00612F86" w:rsidRPr="00612F86">
        <w:rPr>
          <w:rFonts w:cs="Arial"/>
          <w:b w:val="0"/>
        </w:rPr>
        <w:t>in any given month to no more than 1/9</w:t>
      </w:r>
      <w:r w:rsidR="00612F86" w:rsidRPr="00612F86">
        <w:rPr>
          <w:rFonts w:cs="Arial"/>
          <w:b w:val="0"/>
          <w:vertAlign w:val="superscript"/>
        </w:rPr>
        <w:t>th</w:t>
      </w:r>
      <w:r w:rsidR="00612F86" w:rsidRPr="00612F86">
        <w:rPr>
          <w:rFonts w:cs="Arial"/>
          <w:b w:val="0"/>
        </w:rPr>
        <w:t xml:space="preserve"> of the academic year salary.</w:t>
      </w:r>
      <w:r w:rsidR="00612F86">
        <w:rPr>
          <w:rFonts w:cs="Arial"/>
        </w:rPr>
        <w:t xml:space="preserve">  </w:t>
      </w:r>
      <w:r w:rsidR="00612F86">
        <w:rPr>
          <w:rFonts w:cs="Arial"/>
          <w:b w:val="0"/>
        </w:rPr>
        <w:t xml:space="preserve">Because of this Federal </w:t>
      </w:r>
      <w:r w:rsidR="006D66B9">
        <w:rPr>
          <w:rFonts w:cs="Arial"/>
          <w:b w:val="0"/>
        </w:rPr>
        <w:t xml:space="preserve">requirement, </w:t>
      </w:r>
      <w:r w:rsidR="00127091">
        <w:rPr>
          <w:b w:val="0"/>
        </w:rPr>
        <w:t>CU Boulder limits total</w:t>
      </w:r>
      <w:r w:rsidR="00067DC4">
        <w:rPr>
          <w:b w:val="0"/>
        </w:rPr>
        <w:t xml:space="preserve"> </w:t>
      </w:r>
      <w:r w:rsidR="00427F1F">
        <w:rPr>
          <w:b w:val="0"/>
        </w:rPr>
        <w:t xml:space="preserve">earned </w:t>
      </w:r>
      <w:r w:rsidR="00067DC4">
        <w:rPr>
          <w:b w:val="0"/>
        </w:rPr>
        <w:t xml:space="preserve">summer compensation </w:t>
      </w:r>
      <w:r w:rsidR="00127091">
        <w:rPr>
          <w:b w:val="0"/>
        </w:rPr>
        <w:t xml:space="preserve">to 3/9ths of </w:t>
      </w:r>
      <w:r w:rsidR="00CD42AC">
        <w:rPr>
          <w:b w:val="0"/>
        </w:rPr>
        <w:t xml:space="preserve">the </w:t>
      </w:r>
      <w:r w:rsidR="00067DC4">
        <w:rPr>
          <w:b w:val="0"/>
        </w:rPr>
        <w:t xml:space="preserve">academic year salary.  This limit is calculated using the base AY salary </w:t>
      </w:r>
      <w:r w:rsidR="00CD42AC">
        <w:rPr>
          <w:b w:val="0"/>
        </w:rPr>
        <w:t xml:space="preserve">amount </w:t>
      </w:r>
      <w:r w:rsidR="00067DC4">
        <w:rPr>
          <w:b w:val="0"/>
        </w:rPr>
        <w:t>only, not the total compensation earned by the faculty mem</w:t>
      </w:r>
      <w:r w:rsidR="00CD42AC">
        <w:rPr>
          <w:b w:val="0"/>
        </w:rPr>
        <w:t>ber during the academic year.  Therefore, c</w:t>
      </w:r>
      <w:r w:rsidR="00067DC4">
        <w:rPr>
          <w:b w:val="0"/>
        </w:rPr>
        <w:t xml:space="preserve">ompensation earned during the academic year for the following activities </w:t>
      </w:r>
      <w:r w:rsidR="00067DC4" w:rsidRPr="00427F1F">
        <w:t xml:space="preserve">is </w:t>
      </w:r>
      <w:r w:rsidR="00067DC4">
        <w:t>not</w:t>
      </w:r>
      <w:r w:rsidR="00CD42AC">
        <w:rPr>
          <w:b w:val="0"/>
        </w:rPr>
        <w:t xml:space="preserve"> </w:t>
      </w:r>
      <w:r w:rsidR="00CD42AC" w:rsidRPr="00427F1F">
        <w:t>included in the IBS</w:t>
      </w:r>
      <w:r w:rsidR="00067DC4" w:rsidRPr="00427F1F">
        <w:t>:</w:t>
      </w:r>
    </w:p>
    <w:p w14:paraId="05A84072" w14:textId="27B11425" w:rsidR="00067DC4" w:rsidRPr="00067DC4" w:rsidRDefault="00067DC4" w:rsidP="00CD42AC">
      <w:pPr>
        <w:numPr>
          <w:ilvl w:val="0"/>
          <w:numId w:val="19"/>
        </w:numPr>
        <w:tabs>
          <w:tab w:val="clear" w:pos="360"/>
          <w:tab w:val="num" w:pos="1440"/>
        </w:tabs>
        <w:spacing w:after="0" w:line="240" w:lineRule="auto"/>
        <w:ind w:left="1440"/>
        <w:rPr>
          <w:rFonts w:ascii="Arial" w:hAnsi="Arial" w:cs="Arial"/>
          <w:sz w:val="20"/>
          <w:szCs w:val="20"/>
        </w:rPr>
      </w:pPr>
      <w:r w:rsidRPr="00067DC4">
        <w:rPr>
          <w:rFonts w:ascii="Arial" w:hAnsi="Arial" w:cs="Arial"/>
          <w:sz w:val="20"/>
          <w:szCs w:val="20"/>
        </w:rPr>
        <w:t xml:space="preserve">Overload </w:t>
      </w:r>
      <w:r w:rsidR="00CD42AC">
        <w:rPr>
          <w:rFonts w:ascii="Arial" w:hAnsi="Arial" w:cs="Arial"/>
          <w:sz w:val="20"/>
          <w:szCs w:val="20"/>
        </w:rPr>
        <w:t xml:space="preserve">teaching </w:t>
      </w:r>
    </w:p>
    <w:p w14:paraId="22BD0525" w14:textId="77777777" w:rsidR="00067DC4" w:rsidRPr="00067DC4" w:rsidRDefault="00067DC4" w:rsidP="00CD42AC">
      <w:pPr>
        <w:numPr>
          <w:ilvl w:val="0"/>
          <w:numId w:val="19"/>
        </w:numPr>
        <w:tabs>
          <w:tab w:val="clear" w:pos="360"/>
          <w:tab w:val="num" w:pos="1440"/>
        </w:tabs>
        <w:spacing w:after="0" w:line="240" w:lineRule="auto"/>
        <w:ind w:left="1440"/>
        <w:rPr>
          <w:rFonts w:ascii="Arial" w:hAnsi="Arial" w:cs="Arial"/>
          <w:sz w:val="20"/>
          <w:szCs w:val="20"/>
        </w:rPr>
      </w:pPr>
      <w:r w:rsidRPr="00067DC4">
        <w:rPr>
          <w:rFonts w:ascii="Arial" w:hAnsi="Arial" w:cs="Arial"/>
          <w:sz w:val="20"/>
          <w:szCs w:val="20"/>
        </w:rPr>
        <w:t>Continuing education appointments</w:t>
      </w:r>
    </w:p>
    <w:p w14:paraId="487B2AF7" w14:textId="77777777" w:rsidR="00067DC4" w:rsidRPr="00067DC4" w:rsidRDefault="00067DC4" w:rsidP="00067DC4">
      <w:pPr>
        <w:numPr>
          <w:ilvl w:val="0"/>
          <w:numId w:val="19"/>
        </w:numPr>
        <w:tabs>
          <w:tab w:val="clear" w:pos="360"/>
          <w:tab w:val="num" w:pos="1440"/>
        </w:tabs>
        <w:spacing w:after="0" w:line="240" w:lineRule="auto"/>
        <w:ind w:left="1440"/>
        <w:rPr>
          <w:rFonts w:ascii="Arial" w:hAnsi="Arial" w:cs="Arial"/>
          <w:sz w:val="20"/>
          <w:szCs w:val="20"/>
        </w:rPr>
      </w:pPr>
      <w:r w:rsidRPr="00067DC4">
        <w:rPr>
          <w:rFonts w:ascii="Arial" w:hAnsi="Arial" w:cs="Arial"/>
          <w:sz w:val="20"/>
          <w:szCs w:val="20"/>
        </w:rPr>
        <w:t xml:space="preserve">All administrative stipends such as departmental chairs, endowed chairs, associate chairs, faculty directors, </w:t>
      </w:r>
      <w:proofErr w:type="spellStart"/>
      <w:r w:rsidRPr="00067DC4">
        <w:rPr>
          <w:rFonts w:ascii="Arial" w:hAnsi="Arial" w:cs="Arial"/>
          <w:sz w:val="20"/>
          <w:szCs w:val="20"/>
        </w:rPr>
        <w:t>etc</w:t>
      </w:r>
      <w:proofErr w:type="spellEnd"/>
    </w:p>
    <w:p w14:paraId="382C2D5B" w14:textId="77777777" w:rsidR="00067DC4" w:rsidRPr="00067DC4" w:rsidRDefault="00067DC4" w:rsidP="00067DC4">
      <w:pPr>
        <w:numPr>
          <w:ilvl w:val="0"/>
          <w:numId w:val="19"/>
        </w:numPr>
        <w:tabs>
          <w:tab w:val="clear" w:pos="360"/>
          <w:tab w:val="num" w:pos="1440"/>
        </w:tabs>
        <w:spacing w:after="0" w:line="240" w:lineRule="auto"/>
        <w:ind w:left="1440"/>
        <w:rPr>
          <w:rFonts w:ascii="Arial" w:hAnsi="Arial" w:cs="Arial"/>
          <w:sz w:val="20"/>
          <w:szCs w:val="20"/>
        </w:rPr>
      </w:pPr>
      <w:r w:rsidRPr="00067DC4">
        <w:rPr>
          <w:rFonts w:ascii="Arial" w:hAnsi="Arial" w:cs="Arial"/>
          <w:sz w:val="20"/>
          <w:szCs w:val="20"/>
        </w:rPr>
        <w:t>Monetary awards</w:t>
      </w:r>
    </w:p>
    <w:p w14:paraId="11D4DDEB" w14:textId="77777777" w:rsidR="00067DC4" w:rsidRDefault="00067DC4" w:rsidP="00067DC4">
      <w:pPr>
        <w:numPr>
          <w:ilvl w:val="0"/>
          <w:numId w:val="19"/>
        </w:numPr>
        <w:tabs>
          <w:tab w:val="clear" w:pos="360"/>
          <w:tab w:val="num" w:pos="1440"/>
        </w:tabs>
        <w:spacing w:after="0" w:line="240" w:lineRule="auto"/>
        <w:ind w:left="1440"/>
        <w:rPr>
          <w:rFonts w:ascii="Arial" w:hAnsi="Arial" w:cs="Arial"/>
          <w:sz w:val="20"/>
          <w:szCs w:val="20"/>
        </w:rPr>
      </w:pPr>
      <w:r w:rsidRPr="00067DC4">
        <w:rPr>
          <w:rFonts w:ascii="Arial" w:hAnsi="Arial" w:cs="Arial"/>
          <w:sz w:val="20"/>
          <w:szCs w:val="20"/>
        </w:rPr>
        <w:t>Endowed Professorships</w:t>
      </w:r>
    </w:p>
    <w:p w14:paraId="1E22AF0E" w14:textId="39F3BA9B" w:rsidR="00067DC4" w:rsidRPr="00067DC4" w:rsidRDefault="00067DC4" w:rsidP="00067DC4">
      <w:pPr>
        <w:numPr>
          <w:ilvl w:val="0"/>
          <w:numId w:val="19"/>
        </w:numPr>
        <w:tabs>
          <w:tab w:val="clear" w:pos="360"/>
          <w:tab w:val="num" w:pos="1440"/>
        </w:tabs>
        <w:spacing w:after="0" w:line="240" w:lineRule="auto"/>
        <w:ind w:left="1440"/>
        <w:rPr>
          <w:rFonts w:ascii="Arial" w:hAnsi="Arial" w:cs="Arial"/>
          <w:sz w:val="20"/>
          <w:szCs w:val="20"/>
        </w:rPr>
      </w:pPr>
      <w:r>
        <w:rPr>
          <w:rFonts w:ascii="Arial" w:hAnsi="Arial" w:cs="Arial"/>
          <w:sz w:val="20"/>
          <w:szCs w:val="20"/>
        </w:rPr>
        <w:t>Compensation earned for services performed external to the university</w:t>
      </w:r>
    </w:p>
    <w:p w14:paraId="604194EB" w14:textId="77777777" w:rsidR="00067DC4" w:rsidRDefault="00067DC4" w:rsidP="007C338A">
      <w:pPr>
        <w:pStyle w:val="OCGHeading2"/>
        <w:numPr>
          <w:ilvl w:val="0"/>
          <w:numId w:val="0"/>
        </w:numPr>
        <w:ind w:left="720"/>
        <w:rPr>
          <w:b w:val="0"/>
        </w:rPr>
      </w:pPr>
    </w:p>
    <w:p w14:paraId="7C668EC5" w14:textId="71E6D71B" w:rsidR="00127091" w:rsidRPr="005D4DF7" w:rsidRDefault="00127091" w:rsidP="005D4DF7">
      <w:pPr>
        <w:pStyle w:val="OCGHeading2"/>
        <w:numPr>
          <w:ilvl w:val="0"/>
          <w:numId w:val="0"/>
        </w:numPr>
        <w:spacing w:before="0" w:after="0" w:line="240" w:lineRule="auto"/>
        <w:ind w:left="720"/>
        <w:rPr>
          <w:rFonts w:cs="Arial"/>
          <w:szCs w:val="20"/>
        </w:rPr>
      </w:pPr>
      <w:r>
        <w:rPr>
          <w:b w:val="0"/>
        </w:rPr>
        <w:t xml:space="preserve">Total summer compensation earned, regardless of the source, is functionally restricted to 3/9ths of </w:t>
      </w:r>
      <w:r w:rsidRPr="005D4DF7">
        <w:rPr>
          <w:rFonts w:cs="Arial"/>
          <w:b w:val="0"/>
          <w:szCs w:val="20"/>
        </w:rPr>
        <w:t xml:space="preserve">the academic year salary.  </w:t>
      </w:r>
      <w:r w:rsidR="005D4DF7" w:rsidRPr="005D4DF7">
        <w:rPr>
          <w:rFonts w:cs="Arial"/>
          <w:b w:val="0"/>
          <w:szCs w:val="20"/>
        </w:rPr>
        <w:t>Therefore, c</w:t>
      </w:r>
      <w:r w:rsidR="00427F1F" w:rsidRPr="005D4DF7">
        <w:rPr>
          <w:rFonts w:cs="Arial"/>
          <w:b w:val="0"/>
          <w:szCs w:val="20"/>
        </w:rPr>
        <w:t xml:space="preserve">ompensation earned during the summer months from the following activities </w:t>
      </w:r>
      <w:r w:rsidR="00427F1F" w:rsidRPr="005D4DF7">
        <w:rPr>
          <w:rFonts w:cs="Arial"/>
          <w:szCs w:val="20"/>
        </w:rPr>
        <w:t>is subject to the 3/9ths limit:</w:t>
      </w:r>
    </w:p>
    <w:p w14:paraId="4C3AA43C" w14:textId="77777777" w:rsidR="005D4DF7" w:rsidRPr="005D4DF7" w:rsidRDefault="005D4DF7" w:rsidP="005D4DF7">
      <w:pPr>
        <w:numPr>
          <w:ilvl w:val="0"/>
          <w:numId w:val="20"/>
        </w:numPr>
        <w:tabs>
          <w:tab w:val="clear" w:pos="360"/>
          <w:tab w:val="num" w:pos="1440"/>
        </w:tabs>
        <w:spacing w:after="0" w:line="240" w:lineRule="auto"/>
        <w:ind w:left="1440"/>
        <w:rPr>
          <w:rFonts w:ascii="Arial" w:hAnsi="Arial" w:cs="Arial"/>
          <w:sz w:val="20"/>
          <w:szCs w:val="20"/>
        </w:rPr>
      </w:pPr>
      <w:r w:rsidRPr="005D4DF7">
        <w:rPr>
          <w:rFonts w:ascii="Arial" w:hAnsi="Arial" w:cs="Arial"/>
          <w:sz w:val="20"/>
          <w:szCs w:val="20"/>
        </w:rPr>
        <w:t xml:space="preserve">Compensation for </w:t>
      </w:r>
      <w:proofErr w:type="spellStart"/>
      <w:r w:rsidRPr="005D4DF7">
        <w:rPr>
          <w:rFonts w:ascii="Arial" w:hAnsi="Arial" w:cs="Arial"/>
          <w:sz w:val="20"/>
          <w:szCs w:val="20"/>
        </w:rPr>
        <w:t>Maymester</w:t>
      </w:r>
      <w:proofErr w:type="spellEnd"/>
      <w:r w:rsidRPr="005D4DF7">
        <w:rPr>
          <w:rFonts w:ascii="Arial" w:hAnsi="Arial" w:cs="Arial"/>
          <w:sz w:val="20"/>
          <w:szCs w:val="20"/>
        </w:rPr>
        <w:t xml:space="preserve"> teaching</w:t>
      </w:r>
    </w:p>
    <w:p w14:paraId="00BB6ABE" w14:textId="77777777" w:rsidR="005D4DF7" w:rsidRPr="005D4DF7" w:rsidRDefault="005D4DF7" w:rsidP="005D4DF7">
      <w:pPr>
        <w:numPr>
          <w:ilvl w:val="0"/>
          <w:numId w:val="20"/>
        </w:numPr>
        <w:tabs>
          <w:tab w:val="clear" w:pos="360"/>
          <w:tab w:val="num" w:pos="1440"/>
        </w:tabs>
        <w:spacing w:after="0" w:line="240" w:lineRule="auto"/>
        <w:ind w:left="1440"/>
        <w:rPr>
          <w:rFonts w:ascii="Arial" w:hAnsi="Arial" w:cs="Arial"/>
          <w:sz w:val="20"/>
          <w:szCs w:val="20"/>
        </w:rPr>
      </w:pPr>
      <w:r w:rsidRPr="005D4DF7">
        <w:rPr>
          <w:rFonts w:ascii="Arial" w:hAnsi="Arial" w:cs="Arial"/>
          <w:sz w:val="20"/>
          <w:szCs w:val="20"/>
        </w:rPr>
        <w:t>Compensation for summer teaching with either the Summer School or Continuing Education</w:t>
      </w:r>
    </w:p>
    <w:p w14:paraId="30FA9F71" w14:textId="77777777" w:rsidR="005D4DF7" w:rsidRPr="005D4DF7" w:rsidRDefault="005D4DF7" w:rsidP="005D4DF7">
      <w:pPr>
        <w:numPr>
          <w:ilvl w:val="0"/>
          <w:numId w:val="20"/>
        </w:numPr>
        <w:tabs>
          <w:tab w:val="clear" w:pos="360"/>
          <w:tab w:val="num" w:pos="1440"/>
        </w:tabs>
        <w:spacing w:after="0" w:line="240" w:lineRule="auto"/>
        <w:ind w:left="1440"/>
        <w:rPr>
          <w:rFonts w:ascii="Arial" w:hAnsi="Arial" w:cs="Arial"/>
          <w:sz w:val="20"/>
          <w:szCs w:val="20"/>
        </w:rPr>
      </w:pPr>
      <w:r w:rsidRPr="005D4DF7">
        <w:rPr>
          <w:rFonts w:ascii="Arial" w:hAnsi="Arial" w:cs="Arial"/>
          <w:sz w:val="20"/>
          <w:szCs w:val="20"/>
        </w:rPr>
        <w:t>Summer research</w:t>
      </w:r>
    </w:p>
    <w:p w14:paraId="19C3702C" w14:textId="0265154B" w:rsidR="005D4DF7" w:rsidRPr="005D4DF7" w:rsidRDefault="005D4DF7" w:rsidP="005D4DF7">
      <w:pPr>
        <w:numPr>
          <w:ilvl w:val="0"/>
          <w:numId w:val="20"/>
        </w:numPr>
        <w:tabs>
          <w:tab w:val="clear" w:pos="360"/>
          <w:tab w:val="num" w:pos="1440"/>
        </w:tabs>
        <w:spacing w:after="0" w:line="240" w:lineRule="auto"/>
        <w:ind w:left="1440"/>
        <w:rPr>
          <w:rFonts w:ascii="Arial" w:hAnsi="Arial" w:cs="Arial"/>
          <w:sz w:val="20"/>
          <w:szCs w:val="20"/>
        </w:rPr>
      </w:pPr>
      <w:r w:rsidRPr="005D4DF7">
        <w:rPr>
          <w:rFonts w:ascii="Arial" w:hAnsi="Arial" w:cs="Arial"/>
          <w:sz w:val="20"/>
          <w:szCs w:val="20"/>
        </w:rPr>
        <w:t>LEAP or other training sessions that include a payment for attendance</w:t>
      </w:r>
      <w:r w:rsidR="00F15E67">
        <w:rPr>
          <w:rFonts w:ascii="Arial" w:hAnsi="Arial" w:cs="Arial"/>
          <w:sz w:val="20"/>
          <w:szCs w:val="20"/>
        </w:rPr>
        <w:t>; exclude payments made in the summer for the academic year</w:t>
      </w:r>
    </w:p>
    <w:p w14:paraId="79B2F6D9" w14:textId="6E1B9B4B" w:rsidR="005D4DF7" w:rsidRDefault="005D4DF7" w:rsidP="005D4DF7">
      <w:pPr>
        <w:numPr>
          <w:ilvl w:val="0"/>
          <w:numId w:val="20"/>
        </w:numPr>
        <w:tabs>
          <w:tab w:val="clear" w:pos="360"/>
          <w:tab w:val="num" w:pos="1440"/>
        </w:tabs>
        <w:spacing w:after="0" w:line="240" w:lineRule="auto"/>
        <w:ind w:left="1440"/>
        <w:rPr>
          <w:rFonts w:ascii="Arial" w:hAnsi="Arial" w:cs="Arial"/>
          <w:sz w:val="20"/>
          <w:szCs w:val="20"/>
        </w:rPr>
      </w:pPr>
      <w:r w:rsidRPr="005D4DF7">
        <w:rPr>
          <w:rFonts w:ascii="Arial" w:hAnsi="Arial" w:cs="Arial"/>
          <w:sz w:val="20"/>
          <w:szCs w:val="20"/>
        </w:rPr>
        <w:t>All compensation not specifically stated above that requires expending effort on the part of the faculty member</w:t>
      </w:r>
      <w:r>
        <w:rPr>
          <w:rFonts w:ascii="Arial" w:hAnsi="Arial" w:cs="Arial"/>
          <w:sz w:val="20"/>
          <w:szCs w:val="20"/>
        </w:rPr>
        <w:t xml:space="preserve"> for university related duties</w:t>
      </w:r>
    </w:p>
    <w:p w14:paraId="7D034BA7" w14:textId="77777777" w:rsidR="004D5BAE" w:rsidRDefault="004D5BAE" w:rsidP="004D5BAE">
      <w:pPr>
        <w:spacing w:after="0" w:line="240" w:lineRule="auto"/>
        <w:ind w:left="1440"/>
        <w:rPr>
          <w:rFonts w:ascii="Arial" w:hAnsi="Arial" w:cs="Arial"/>
          <w:sz w:val="20"/>
          <w:szCs w:val="20"/>
        </w:rPr>
      </w:pPr>
    </w:p>
    <w:p w14:paraId="3BA0AEA8" w14:textId="77777777" w:rsidR="009C5CA7" w:rsidRPr="002D52C0" w:rsidRDefault="009C5CA7" w:rsidP="009C5CA7">
      <w:pPr>
        <w:spacing w:after="0" w:line="240" w:lineRule="auto"/>
        <w:ind w:left="720"/>
        <w:rPr>
          <w:rFonts w:ascii="Arial" w:hAnsi="Arial" w:cs="Arial"/>
          <w:b/>
          <w:sz w:val="20"/>
          <w:szCs w:val="20"/>
        </w:rPr>
      </w:pPr>
      <w:r>
        <w:rPr>
          <w:rFonts w:ascii="Arial" w:hAnsi="Arial" w:cs="Arial"/>
          <w:sz w:val="20"/>
          <w:szCs w:val="20"/>
        </w:rPr>
        <w:t xml:space="preserve">The following are </w:t>
      </w:r>
      <w:r w:rsidRPr="002D52C0">
        <w:rPr>
          <w:rFonts w:ascii="Arial" w:hAnsi="Arial" w:cs="Arial"/>
          <w:b/>
          <w:sz w:val="20"/>
          <w:szCs w:val="20"/>
        </w:rPr>
        <w:t>exempt from the 3/9ths limit:</w:t>
      </w:r>
    </w:p>
    <w:p w14:paraId="4BC5A411" w14:textId="50477189" w:rsidR="009C5CA7" w:rsidRDefault="00DA3E5C" w:rsidP="002D52C0">
      <w:pPr>
        <w:pStyle w:val="ListParagraph"/>
        <w:numPr>
          <w:ilvl w:val="0"/>
          <w:numId w:val="22"/>
        </w:numPr>
        <w:spacing w:after="0" w:line="240" w:lineRule="auto"/>
        <w:rPr>
          <w:rFonts w:ascii="Arial" w:hAnsi="Arial" w:cs="Arial"/>
          <w:sz w:val="20"/>
          <w:szCs w:val="20"/>
        </w:rPr>
      </w:pPr>
      <w:r>
        <w:rPr>
          <w:rFonts w:ascii="Arial" w:hAnsi="Arial" w:cs="Arial"/>
          <w:sz w:val="20"/>
          <w:szCs w:val="20"/>
        </w:rPr>
        <w:t>A</w:t>
      </w:r>
      <w:r w:rsidR="009C5CA7" w:rsidRPr="009C5CA7">
        <w:rPr>
          <w:rFonts w:ascii="Arial" w:hAnsi="Arial" w:cs="Arial"/>
          <w:sz w:val="20"/>
          <w:szCs w:val="20"/>
        </w:rPr>
        <w:t>dministrative stipends earned during the summer session</w:t>
      </w:r>
      <w:r>
        <w:rPr>
          <w:rFonts w:ascii="Arial" w:hAnsi="Arial" w:cs="Arial"/>
          <w:sz w:val="20"/>
          <w:szCs w:val="20"/>
        </w:rPr>
        <w:t>, b</w:t>
      </w:r>
      <w:r w:rsidRPr="009C5CA7">
        <w:rPr>
          <w:rFonts w:ascii="Arial" w:hAnsi="Arial" w:cs="Arial"/>
          <w:sz w:val="20"/>
          <w:szCs w:val="20"/>
        </w:rPr>
        <w:t>eginning July 1, 2012</w:t>
      </w:r>
    </w:p>
    <w:p w14:paraId="710AE8B3" w14:textId="638D62A4" w:rsidR="004D5BAE" w:rsidRDefault="00B47C18" w:rsidP="002D52C0">
      <w:pPr>
        <w:pStyle w:val="ListParagraph"/>
        <w:numPr>
          <w:ilvl w:val="0"/>
          <w:numId w:val="22"/>
        </w:numPr>
        <w:spacing w:after="0" w:line="240" w:lineRule="auto"/>
        <w:rPr>
          <w:rFonts w:ascii="Arial" w:hAnsi="Arial" w:cs="Arial"/>
          <w:sz w:val="20"/>
          <w:szCs w:val="20"/>
        </w:rPr>
      </w:pPr>
      <w:r w:rsidRPr="00B47C18">
        <w:rPr>
          <w:rFonts w:ascii="Arial" w:hAnsi="Arial" w:cs="Arial"/>
          <w:sz w:val="20"/>
          <w:szCs w:val="20"/>
        </w:rPr>
        <w:t>Endowed Professorship</w:t>
      </w:r>
      <w:r>
        <w:rPr>
          <w:rFonts w:ascii="Arial" w:hAnsi="Arial" w:cs="Arial"/>
          <w:sz w:val="20"/>
          <w:szCs w:val="20"/>
        </w:rPr>
        <w:t>s</w:t>
      </w:r>
      <w:r w:rsidRPr="00B47C18">
        <w:rPr>
          <w:rFonts w:ascii="Arial" w:hAnsi="Arial" w:cs="Arial"/>
          <w:sz w:val="20"/>
          <w:szCs w:val="20"/>
        </w:rPr>
        <w:t xml:space="preserve"> where the compensation carries no required effort on the part of the faculty member</w:t>
      </w:r>
    </w:p>
    <w:p w14:paraId="5524102D" w14:textId="6CD69588" w:rsidR="00B47C18" w:rsidRPr="00B47C18" w:rsidRDefault="00B47C18" w:rsidP="002D52C0">
      <w:pPr>
        <w:pStyle w:val="ListParagraph"/>
        <w:numPr>
          <w:ilvl w:val="0"/>
          <w:numId w:val="22"/>
        </w:numPr>
        <w:spacing w:after="0" w:line="240" w:lineRule="auto"/>
        <w:rPr>
          <w:rFonts w:ascii="Arial" w:hAnsi="Arial" w:cs="Arial"/>
          <w:sz w:val="20"/>
          <w:szCs w:val="20"/>
        </w:rPr>
      </w:pPr>
      <w:r w:rsidRPr="002D52C0">
        <w:rPr>
          <w:rFonts w:ascii="Arial" w:hAnsi="Arial" w:cs="Arial"/>
          <w:sz w:val="20"/>
          <w:szCs w:val="20"/>
        </w:rPr>
        <w:t>Compensation earned from entities not associated with the University for consulting services performed during the summer months</w:t>
      </w:r>
    </w:p>
    <w:p w14:paraId="4E806716" w14:textId="77777777" w:rsidR="009C5CA7" w:rsidRPr="009C5CA7" w:rsidRDefault="009C5CA7" w:rsidP="009C5CA7">
      <w:pPr>
        <w:spacing w:after="0" w:line="240" w:lineRule="auto"/>
        <w:ind w:left="720"/>
        <w:rPr>
          <w:rFonts w:ascii="Arial" w:hAnsi="Arial" w:cs="Arial"/>
          <w:sz w:val="20"/>
          <w:szCs w:val="20"/>
        </w:rPr>
      </w:pPr>
    </w:p>
    <w:p w14:paraId="780A9E76" w14:textId="4BC96087" w:rsidR="00780C8F" w:rsidRDefault="004D5BAE" w:rsidP="004D5BAE">
      <w:pPr>
        <w:pStyle w:val="BodyText"/>
        <w:spacing w:line="240" w:lineRule="auto"/>
        <w:ind w:left="720"/>
        <w:rPr>
          <w:rFonts w:ascii="Arial" w:hAnsi="Arial" w:cs="Arial"/>
          <w:sz w:val="20"/>
          <w:lang w:val="en-US"/>
        </w:rPr>
      </w:pPr>
      <w:r w:rsidRPr="004D5BAE">
        <w:rPr>
          <w:rFonts w:ascii="Arial" w:hAnsi="Arial" w:cs="Arial"/>
          <w:sz w:val="20"/>
        </w:rPr>
        <w:t>In a summer month (</w:t>
      </w:r>
      <w:r>
        <w:rPr>
          <w:rFonts w:ascii="Arial" w:hAnsi="Arial" w:cs="Arial"/>
          <w:sz w:val="20"/>
        </w:rPr>
        <w:t>May,</w:t>
      </w:r>
      <w:r w:rsidRPr="004D5BAE">
        <w:rPr>
          <w:rFonts w:ascii="Arial" w:hAnsi="Arial" w:cs="Arial"/>
          <w:sz w:val="20"/>
        </w:rPr>
        <w:t xml:space="preserve"> June</w:t>
      </w:r>
      <w:r>
        <w:rPr>
          <w:rFonts w:ascii="Arial" w:hAnsi="Arial" w:cs="Arial"/>
          <w:sz w:val="20"/>
          <w:lang w:val="en-US"/>
        </w:rPr>
        <w:t xml:space="preserve">, </w:t>
      </w:r>
      <w:r>
        <w:rPr>
          <w:rFonts w:ascii="Arial" w:hAnsi="Arial" w:cs="Arial"/>
          <w:sz w:val="20"/>
        </w:rPr>
        <w:t xml:space="preserve">July, </w:t>
      </w:r>
      <w:r>
        <w:rPr>
          <w:rFonts w:ascii="Arial" w:hAnsi="Arial" w:cs="Arial"/>
          <w:sz w:val="20"/>
          <w:lang w:val="en-US"/>
        </w:rPr>
        <w:t xml:space="preserve">or </w:t>
      </w:r>
      <w:r>
        <w:rPr>
          <w:rFonts w:ascii="Arial" w:hAnsi="Arial" w:cs="Arial"/>
          <w:sz w:val="20"/>
        </w:rPr>
        <w:t>Aug)</w:t>
      </w:r>
      <w:r w:rsidRPr="004D5BAE">
        <w:rPr>
          <w:rFonts w:ascii="Arial" w:hAnsi="Arial" w:cs="Arial"/>
          <w:sz w:val="20"/>
        </w:rPr>
        <w:t xml:space="preserve"> where a faculty earns compensation from multiple sources (i.e., teaching, research), the compensation added together from all activities may not exceed the academic year monthly rate of 1/9</w:t>
      </w:r>
      <w:r w:rsidRPr="004D5BAE">
        <w:rPr>
          <w:rFonts w:ascii="Arial" w:hAnsi="Arial" w:cs="Arial"/>
          <w:sz w:val="20"/>
          <w:vertAlign w:val="superscript"/>
        </w:rPr>
        <w:t>th</w:t>
      </w:r>
      <w:r w:rsidRPr="004D5BAE">
        <w:rPr>
          <w:rFonts w:ascii="Arial" w:hAnsi="Arial" w:cs="Arial"/>
          <w:sz w:val="20"/>
        </w:rPr>
        <w:t xml:space="preserve">.  </w:t>
      </w:r>
      <w:r>
        <w:rPr>
          <w:rFonts w:ascii="Arial" w:hAnsi="Arial" w:cs="Arial"/>
          <w:sz w:val="20"/>
          <w:lang w:val="en-US"/>
        </w:rPr>
        <w:t xml:space="preserve">Since August and May are split between the academic year and the summer session, summer pay is prorated based on the number of </w:t>
      </w:r>
      <w:r w:rsidR="00612F86">
        <w:rPr>
          <w:rFonts w:ascii="Arial" w:hAnsi="Arial" w:cs="Arial"/>
          <w:sz w:val="20"/>
          <w:lang w:val="en-US"/>
        </w:rPr>
        <w:t xml:space="preserve">summer </w:t>
      </w:r>
      <w:r>
        <w:rPr>
          <w:rFonts w:ascii="Arial" w:hAnsi="Arial" w:cs="Arial"/>
          <w:sz w:val="20"/>
          <w:lang w:val="en-US"/>
        </w:rPr>
        <w:t>working days in each of those months</w:t>
      </w:r>
      <w:r w:rsidR="00780C8F">
        <w:rPr>
          <w:rFonts w:ascii="Arial" w:hAnsi="Arial" w:cs="Arial"/>
          <w:sz w:val="20"/>
          <w:lang w:val="en-US"/>
        </w:rPr>
        <w:t xml:space="preserve"> so that total compensation for these two summer months together does not exceed the 1/9</w:t>
      </w:r>
      <w:r w:rsidR="00780C8F" w:rsidRPr="00780C8F">
        <w:rPr>
          <w:rFonts w:ascii="Arial" w:hAnsi="Arial" w:cs="Arial"/>
          <w:sz w:val="20"/>
          <w:vertAlign w:val="superscript"/>
          <w:lang w:val="en-US"/>
        </w:rPr>
        <w:t>th</w:t>
      </w:r>
      <w:r w:rsidR="00780C8F">
        <w:rPr>
          <w:rFonts w:ascii="Arial" w:hAnsi="Arial" w:cs="Arial"/>
          <w:sz w:val="20"/>
          <w:lang w:val="en-US"/>
        </w:rPr>
        <w:t xml:space="preserve"> limit</w:t>
      </w:r>
      <w:r>
        <w:rPr>
          <w:rFonts w:ascii="Arial" w:hAnsi="Arial" w:cs="Arial"/>
          <w:sz w:val="20"/>
          <w:lang w:val="en-US"/>
        </w:rPr>
        <w:t>.</w:t>
      </w:r>
      <w:r w:rsidR="004A09E0">
        <w:rPr>
          <w:rFonts w:ascii="Arial" w:hAnsi="Arial" w:cs="Arial"/>
          <w:sz w:val="20"/>
          <w:lang w:val="en-US"/>
        </w:rPr>
        <w:t xml:space="preserve"> </w:t>
      </w:r>
    </w:p>
    <w:p w14:paraId="07890AB1" w14:textId="77777777" w:rsidR="0022504C" w:rsidRDefault="0022504C" w:rsidP="0022504C">
      <w:pPr>
        <w:pStyle w:val="BodyText"/>
        <w:spacing w:line="240" w:lineRule="auto"/>
        <w:rPr>
          <w:rFonts w:ascii="Arial" w:hAnsi="Arial" w:cs="Arial"/>
          <w:sz w:val="20"/>
          <w:lang w:val="en-US"/>
        </w:rPr>
      </w:pPr>
    </w:p>
    <w:p w14:paraId="7D47B88E" w14:textId="77777777" w:rsidR="00780C8F" w:rsidRDefault="00780C8F" w:rsidP="004D5BAE">
      <w:pPr>
        <w:pStyle w:val="BodyText"/>
        <w:spacing w:line="240" w:lineRule="auto"/>
        <w:ind w:left="720"/>
        <w:rPr>
          <w:rFonts w:ascii="Arial" w:hAnsi="Arial" w:cs="Arial"/>
          <w:sz w:val="20"/>
          <w:lang w:val="en-US"/>
        </w:rPr>
      </w:pPr>
    </w:p>
    <w:p w14:paraId="44538AAC" w14:textId="4A6E1C7D" w:rsidR="004D5BAE" w:rsidRPr="004D5BAE" w:rsidRDefault="004A09E0" w:rsidP="004D5BAE">
      <w:pPr>
        <w:pStyle w:val="BodyText"/>
        <w:spacing w:line="240" w:lineRule="auto"/>
        <w:ind w:left="720"/>
        <w:rPr>
          <w:rFonts w:ascii="Arial" w:hAnsi="Arial" w:cs="Arial"/>
          <w:sz w:val="20"/>
          <w:lang w:val="en-US"/>
        </w:rPr>
      </w:pPr>
      <w:r>
        <w:rPr>
          <w:rFonts w:ascii="Arial" w:hAnsi="Arial" w:cs="Arial"/>
          <w:sz w:val="20"/>
          <w:lang w:val="en-US"/>
        </w:rPr>
        <w:lastRenderedPageBreak/>
        <w:t>The final 1/9</w:t>
      </w:r>
      <w:r w:rsidRPr="004A09E0">
        <w:rPr>
          <w:rFonts w:ascii="Arial" w:hAnsi="Arial" w:cs="Arial"/>
          <w:sz w:val="20"/>
          <w:vertAlign w:val="superscript"/>
          <w:lang w:val="en-US"/>
        </w:rPr>
        <w:t>th</w:t>
      </w:r>
      <w:r>
        <w:rPr>
          <w:rFonts w:ascii="Arial" w:hAnsi="Arial" w:cs="Arial"/>
          <w:sz w:val="20"/>
          <w:lang w:val="en-US"/>
        </w:rPr>
        <w:t xml:space="preserve"> academic year payment in the May pay period represents compensation for academic year </w:t>
      </w:r>
      <w:r w:rsidR="00C321A3">
        <w:rPr>
          <w:rFonts w:ascii="Arial" w:hAnsi="Arial" w:cs="Arial"/>
          <w:sz w:val="20"/>
          <w:lang w:val="en-US"/>
        </w:rPr>
        <w:t xml:space="preserve">effort </w:t>
      </w:r>
      <w:r>
        <w:rPr>
          <w:rFonts w:ascii="Arial" w:hAnsi="Arial" w:cs="Arial"/>
          <w:sz w:val="20"/>
          <w:lang w:val="en-US"/>
        </w:rPr>
        <w:t xml:space="preserve">contributed </w:t>
      </w:r>
      <w:r w:rsidR="00612F86">
        <w:rPr>
          <w:rFonts w:ascii="Arial" w:hAnsi="Arial" w:cs="Arial"/>
          <w:sz w:val="20"/>
          <w:lang w:val="en-US"/>
        </w:rPr>
        <w:t xml:space="preserve">in August for fall semester </w:t>
      </w:r>
      <w:r>
        <w:rPr>
          <w:rFonts w:ascii="Arial" w:hAnsi="Arial" w:cs="Arial"/>
          <w:sz w:val="20"/>
          <w:lang w:val="en-US"/>
        </w:rPr>
        <w:t xml:space="preserve">and </w:t>
      </w:r>
      <w:r w:rsidR="00612F86">
        <w:rPr>
          <w:rFonts w:ascii="Arial" w:hAnsi="Arial" w:cs="Arial"/>
          <w:sz w:val="20"/>
          <w:lang w:val="en-US"/>
        </w:rPr>
        <w:t>in May for spring semester. As the effort related to this payment was</w:t>
      </w:r>
      <w:r>
        <w:rPr>
          <w:rFonts w:ascii="Arial" w:hAnsi="Arial" w:cs="Arial"/>
          <w:sz w:val="20"/>
          <w:lang w:val="en-US"/>
        </w:rPr>
        <w:t xml:space="preserve"> expended prior to </w:t>
      </w:r>
      <w:r w:rsidR="00612F86">
        <w:rPr>
          <w:rFonts w:ascii="Arial" w:hAnsi="Arial" w:cs="Arial"/>
          <w:sz w:val="20"/>
          <w:lang w:val="en-US"/>
        </w:rPr>
        <w:t>the start of the summer session, this May pay period salary</w:t>
      </w:r>
      <w:r>
        <w:rPr>
          <w:rFonts w:ascii="Arial" w:hAnsi="Arial" w:cs="Arial"/>
          <w:sz w:val="20"/>
          <w:lang w:val="en-US"/>
        </w:rPr>
        <w:t xml:space="preserve"> </w:t>
      </w:r>
      <w:r w:rsidR="00612F86">
        <w:rPr>
          <w:rFonts w:ascii="Arial" w:hAnsi="Arial" w:cs="Arial"/>
          <w:sz w:val="20"/>
          <w:lang w:val="en-US"/>
        </w:rPr>
        <w:t>does not count toward the 3/9ths limit.</w:t>
      </w:r>
    </w:p>
    <w:p w14:paraId="3C7921EF" w14:textId="77777777" w:rsidR="00427F1F" w:rsidRDefault="00427F1F" w:rsidP="001B0270">
      <w:pPr>
        <w:pStyle w:val="OCGHeading2"/>
        <w:numPr>
          <w:ilvl w:val="0"/>
          <w:numId w:val="0"/>
        </w:numPr>
        <w:rPr>
          <w:b w:val="0"/>
        </w:rPr>
      </w:pPr>
    </w:p>
    <w:p w14:paraId="5A529919" w14:textId="6AE9D3A8" w:rsidR="006D79C7" w:rsidRPr="006D79C7" w:rsidRDefault="006D79C7" w:rsidP="006D79C7">
      <w:pPr>
        <w:pStyle w:val="OCGHeading2"/>
      </w:pPr>
      <w:r>
        <w:t>Calculating Summer Compensation Amounts</w:t>
      </w:r>
    </w:p>
    <w:p w14:paraId="484E0B7C" w14:textId="5C27437F" w:rsidR="002D52C0" w:rsidRDefault="003C52F9" w:rsidP="00104DCA">
      <w:pPr>
        <w:pStyle w:val="OCGHeading2"/>
        <w:numPr>
          <w:ilvl w:val="0"/>
          <w:numId w:val="0"/>
        </w:numPr>
        <w:ind w:left="720"/>
        <w:rPr>
          <w:b w:val="0"/>
        </w:rPr>
      </w:pPr>
      <w:hyperlink r:id="rId11" w:history="1">
        <w:r w:rsidR="00D87287" w:rsidRPr="00D87287">
          <w:rPr>
            <w:rStyle w:val="Hyperlink"/>
            <w:b w:val="0"/>
          </w:rPr>
          <w:t>The Summer Salary Funding Worksheet and Request Form</w:t>
        </w:r>
      </w:hyperlink>
      <w:r w:rsidR="00541D49">
        <w:rPr>
          <w:b w:val="0"/>
        </w:rPr>
        <w:t xml:space="preserve"> is not required for those faculty involved in only summer teaching</w:t>
      </w:r>
      <w:r w:rsidR="00DA3E5C">
        <w:rPr>
          <w:b w:val="0"/>
        </w:rPr>
        <w:t xml:space="preserve">.  Summer teaching is a critical component of the university’s mission but planning for summer teaching loads is often difficult to do with any precision.  Classes may be cancelled because of insufficient registrants or schedules may change during the summer semester.  Consequently, </w:t>
      </w:r>
      <w:r w:rsidR="004A12A9">
        <w:rPr>
          <w:b w:val="0"/>
        </w:rPr>
        <w:t>a</w:t>
      </w:r>
      <w:r w:rsidR="00541D49">
        <w:rPr>
          <w:b w:val="0"/>
        </w:rPr>
        <w:t>dherence to the 3/9ths limit will be monitored via post-audits</w:t>
      </w:r>
      <w:r w:rsidR="00DA3E5C">
        <w:rPr>
          <w:b w:val="0"/>
        </w:rPr>
        <w:t xml:space="preserve"> rather than utilizing the pre-planning tool </w:t>
      </w:r>
      <w:r w:rsidR="00981EB3">
        <w:rPr>
          <w:b w:val="0"/>
        </w:rPr>
        <w:t xml:space="preserve">that is </w:t>
      </w:r>
      <w:r w:rsidR="00DA3E5C">
        <w:rPr>
          <w:b w:val="0"/>
        </w:rPr>
        <w:t>used by researchers</w:t>
      </w:r>
      <w:r w:rsidR="00541D49">
        <w:rPr>
          <w:b w:val="0"/>
        </w:rPr>
        <w:t xml:space="preserve">. </w:t>
      </w:r>
    </w:p>
    <w:p w14:paraId="79476A06" w14:textId="77777777" w:rsidR="00922884" w:rsidRDefault="00922884" w:rsidP="00104DCA">
      <w:pPr>
        <w:pStyle w:val="OCGHeading2"/>
        <w:numPr>
          <w:ilvl w:val="0"/>
          <w:numId w:val="0"/>
        </w:numPr>
        <w:ind w:left="720"/>
        <w:rPr>
          <w:b w:val="0"/>
        </w:rPr>
      </w:pPr>
    </w:p>
    <w:p w14:paraId="5B7B0D15" w14:textId="479FFA62" w:rsidR="004A12A9" w:rsidRPr="00104DCA" w:rsidRDefault="000F2326" w:rsidP="000F2326">
      <w:pPr>
        <w:pStyle w:val="OCGHeading2"/>
        <w:numPr>
          <w:ilvl w:val="0"/>
          <w:numId w:val="0"/>
        </w:numPr>
        <w:ind w:left="720"/>
        <w:rPr>
          <w:b w:val="0"/>
        </w:rPr>
      </w:pPr>
      <w:r>
        <w:rPr>
          <w:b w:val="0"/>
        </w:rPr>
        <w:t>Beginning July 1, 2012, f</w:t>
      </w:r>
      <w:r w:rsidR="00104DCA" w:rsidRPr="00104DCA">
        <w:rPr>
          <w:b w:val="0"/>
        </w:rPr>
        <w:t>aculty member</w:t>
      </w:r>
      <w:r w:rsidR="00922884">
        <w:rPr>
          <w:b w:val="0"/>
        </w:rPr>
        <w:t>s</w:t>
      </w:r>
      <w:r w:rsidR="00104DCA" w:rsidRPr="00104DCA">
        <w:rPr>
          <w:b w:val="0"/>
        </w:rPr>
        <w:t xml:space="preserve"> </w:t>
      </w:r>
      <w:r w:rsidR="00CA45D2">
        <w:rPr>
          <w:b w:val="0"/>
        </w:rPr>
        <w:t xml:space="preserve">who </w:t>
      </w:r>
      <w:r w:rsidR="00922884">
        <w:rPr>
          <w:b w:val="0"/>
        </w:rPr>
        <w:t>are</w:t>
      </w:r>
      <w:r w:rsidR="00CA45D2">
        <w:rPr>
          <w:b w:val="0"/>
        </w:rPr>
        <w:t xml:space="preserve"> engaged in summer teaching </w:t>
      </w:r>
      <w:r w:rsidR="00922884">
        <w:rPr>
          <w:b w:val="0"/>
        </w:rPr>
        <w:t>plus</w:t>
      </w:r>
      <w:r w:rsidR="00CA45D2">
        <w:rPr>
          <w:b w:val="0"/>
        </w:rPr>
        <w:t xml:space="preserve"> research</w:t>
      </w:r>
      <w:r w:rsidR="00541D49">
        <w:rPr>
          <w:b w:val="0"/>
        </w:rPr>
        <w:t xml:space="preserve"> or research</w:t>
      </w:r>
      <w:r w:rsidR="00CA45D2">
        <w:rPr>
          <w:b w:val="0"/>
        </w:rPr>
        <w:t xml:space="preserve"> </w:t>
      </w:r>
      <w:r w:rsidR="00922884">
        <w:rPr>
          <w:b w:val="0"/>
        </w:rPr>
        <w:t xml:space="preserve">only are required to use the </w:t>
      </w:r>
      <w:hyperlink r:id="rId12" w:history="1">
        <w:r w:rsidR="003B4625" w:rsidRPr="003B4625">
          <w:rPr>
            <w:rStyle w:val="Hyperlink"/>
            <w:b w:val="0"/>
          </w:rPr>
          <w:t>Summer Salary Funding Worksheet and Request Form</w:t>
        </w:r>
      </w:hyperlink>
      <w:r w:rsidR="00922884">
        <w:rPr>
          <w:b w:val="0"/>
        </w:rPr>
        <w:t xml:space="preserve"> </w:t>
      </w:r>
      <w:r w:rsidR="00104DCA" w:rsidRPr="00104DCA">
        <w:rPr>
          <w:b w:val="0"/>
        </w:rPr>
        <w:t xml:space="preserve">to </w:t>
      </w:r>
      <w:r w:rsidR="00922884">
        <w:rPr>
          <w:b w:val="0"/>
        </w:rPr>
        <w:t>furnish detailed</w:t>
      </w:r>
      <w:r w:rsidR="00922884" w:rsidRPr="00104DCA">
        <w:rPr>
          <w:b w:val="0"/>
        </w:rPr>
        <w:t xml:space="preserve"> </w:t>
      </w:r>
      <w:r w:rsidR="00104DCA" w:rsidRPr="00104DCA">
        <w:rPr>
          <w:b w:val="0"/>
        </w:rPr>
        <w:t>information regarding his/her intended summer salary.  ALL appointments from ALL campuses must be included to allow the departmental chair to determine the 3/9ths limits are not exceeded.</w:t>
      </w:r>
      <w:r>
        <w:rPr>
          <w:b w:val="0"/>
        </w:rPr>
        <w:t xml:space="preserve"> </w:t>
      </w:r>
      <w:r w:rsidR="00104DCA" w:rsidRPr="00104DCA">
        <w:rPr>
          <w:rFonts w:cs="Arial"/>
        </w:rPr>
        <w:t xml:space="preserve">Schools/colleges must have a copy of this form </w:t>
      </w:r>
      <w:r w:rsidR="00104DCA">
        <w:rPr>
          <w:rFonts w:cs="Arial"/>
        </w:rPr>
        <w:t xml:space="preserve">signed by the faculty member’s Chair </w:t>
      </w:r>
      <w:r w:rsidR="00104DCA" w:rsidRPr="00104DCA">
        <w:rPr>
          <w:rFonts w:cs="Arial"/>
        </w:rPr>
        <w:t>on file before a faculty can receive any compensation from a research grant.</w:t>
      </w:r>
      <w:r w:rsidR="004A12A9">
        <w:rPr>
          <w:rFonts w:cs="Arial"/>
          <w:b w:val="0"/>
        </w:rPr>
        <w:t xml:space="preserve">  </w:t>
      </w:r>
      <w:r w:rsidR="004A12A9">
        <w:rPr>
          <w:b w:val="0"/>
        </w:rPr>
        <w:t xml:space="preserve">A completed form signed by the department chair represents the official authorization for any summer positions and is housed in the department. </w:t>
      </w:r>
      <w:r w:rsidR="00D526FA">
        <w:rPr>
          <w:b w:val="0"/>
        </w:rPr>
        <w:t xml:space="preserve">It is the researcher’s responsibility to ensure </w:t>
      </w:r>
      <w:r w:rsidR="003B4625">
        <w:rPr>
          <w:b w:val="0"/>
        </w:rPr>
        <w:t xml:space="preserve">his/her </w:t>
      </w:r>
      <w:r w:rsidR="00D526FA">
        <w:rPr>
          <w:b w:val="0"/>
        </w:rPr>
        <w:t>3/9ths limit is not exceeded.</w:t>
      </w:r>
    </w:p>
    <w:p w14:paraId="69FAD4E0" w14:textId="77777777" w:rsidR="00AF6E23" w:rsidRDefault="00AF6E23" w:rsidP="00AF6E23">
      <w:pPr>
        <w:pStyle w:val="OCGNormal"/>
        <w:spacing w:after="0"/>
      </w:pPr>
    </w:p>
    <w:p w14:paraId="120524DA" w14:textId="37DF843C" w:rsidR="00D23652" w:rsidRPr="00D23652" w:rsidRDefault="00D83A03" w:rsidP="00D23652">
      <w:pPr>
        <w:spacing w:after="0" w:line="240" w:lineRule="auto"/>
        <w:ind w:left="720"/>
        <w:rPr>
          <w:rFonts w:ascii="Arial" w:hAnsi="Arial" w:cs="Arial"/>
          <w:sz w:val="20"/>
          <w:szCs w:val="20"/>
        </w:rPr>
      </w:pPr>
      <w:r w:rsidRPr="00D23652">
        <w:rPr>
          <w:rFonts w:ascii="Arial" w:hAnsi="Arial" w:cs="Arial"/>
          <w:sz w:val="20"/>
          <w:szCs w:val="20"/>
        </w:rPr>
        <w:t>An Excel spreadsheet (</w:t>
      </w:r>
      <w:hyperlink r:id="rId13" w:history="1">
        <w:r w:rsidR="0022504C">
          <w:rPr>
            <w:rStyle w:val="Hyperlink"/>
            <w:rFonts w:ascii="Arial" w:hAnsi="Arial" w:cs="Arial"/>
            <w:sz w:val="20"/>
            <w:szCs w:val="20"/>
          </w:rPr>
          <w:t>Summer Salary Request Form &amp; Planning Tool</w:t>
        </w:r>
      </w:hyperlink>
      <w:r w:rsidR="0022504C">
        <w:rPr>
          <w:rStyle w:val="Hyperlink"/>
          <w:rFonts w:ascii="Arial" w:hAnsi="Arial" w:cs="Arial"/>
          <w:sz w:val="20"/>
          <w:szCs w:val="20"/>
        </w:rPr>
        <w:t>)</w:t>
      </w:r>
      <w:r w:rsidR="00D23652" w:rsidRPr="00D23652">
        <w:rPr>
          <w:rFonts w:ascii="Arial" w:hAnsi="Arial" w:cs="Arial"/>
          <w:sz w:val="20"/>
          <w:szCs w:val="20"/>
        </w:rPr>
        <w:t xml:space="preserve"> </w:t>
      </w:r>
      <w:r w:rsidRPr="00D23652">
        <w:rPr>
          <w:rFonts w:ascii="Arial" w:hAnsi="Arial" w:cs="Arial"/>
          <w:sz w:val="20"/>
          <w:szCs w:val="20"/>
        </w:rPr>
        <w:t xml:space="preserve">is available to assist with calculating the </w:t>
      </w:r>
      <w:r w:rsidR="00D23652" w:rsidRPr="00D23652">
        <w:rPr>
          <w:rFonts w:ascii="Arial" w:hAnsi="Arial" w:cs="Arial"/>
          <w:sz w:val="20"/>
          <w:szCs w:val="20"/>
        </w:rPr>
        <w:t>3/9ths maximum salary earned during the summer.  Th</w:t>
      </w:r>
      <w:r w:rsidR="00D23652">
        <w:rPr>
          <w:rFonts w:ascii="Arial" w:hAnsi="Arial" w:cs="Arial"/>
          <w:sz w:val="20"/>
          <w:szCs w:val="20"/>
        </w:rPr>
        <w:t xml:space="preserve">is tool </w:t>
      </w:r>
      <w:r w:rsidR="00D23652" w:rsidRPr="00D23652">
        <w:rPr>
          <w:rFonts w:ascii="Arial" w:hAnsi="Arial" w:cs="Arial"/>
          <w:sz w:val="20"/>
          <w:szCs w:val="20"/>
        </w:rPr>
        <w:t xml:space="preserve">can be used to assist in the calculation but is not required.  </w:t>
      </w:r>
    </w:p>
    <w:p w14:paraId="3709B900" w14:textId="002296FE" w:rsidR="00D83A03" w:rsidRPr="00D23652" w:rsidRDefault="00D83A03" w:rsidP="00D23652">
      <w:pPr>
        <w:pStyle w:val="OCGNormal"/>
        <w:spacing w:after="0"/>
      </w:pPr>
    </w:p>
    <w:p w14:paraId="198AE291" w14:textId="77777777" w:rsidR="00D23652" w:rsidRDefault="00D23652" w:rsidP="00AF6E23">
      <w:pPr>
        <w:pStyle w:val="OCGNormal"/>
        <w:spacing w:after="0"/>
      </w:pPr>
    </w:p>
    <w:p w14:paraId="4AEB04A2" w14:textId="77777777" w:rsidR="00D23652" w:rsidRDefault="00D23652" w:rsidP="00D23652">
      <w:pPr>
        <w:pStyle w:val="OCGHeading2"/>
      </w:pPr>
      <w:r w:rsidRPr="00C957FD">
        <w:t>Planned Time Off during the Summer Months</w:t>
      </w:r>
    </w:p>
    <w:p w14:paraId="76482DB2" w14:textId="77777777" w:rsidR="00D23652" w:rsidRDefault="00D23652" w:rsidP="00C95FDD">
      <w:pPr>
        <w:pStyle w:val="OCGHeading2"/>
        <w:numPr>
          <w:ilvl w:val="0"/>
          <w:numId w:val="0"/>
        </w:numPr>
        <w:spacing w:before="0" w:after="0" w:line="240" w:lineRule="auto"/>
        <w:ind w:left="720"/>
        <w:rPr>
          <w:b w:val="0"/>
        </w:rPr>
      </w:pPr>
      <w:r w:rsidRPr="00D23652">
        <w:rPr>
          <w:b w:val="0"/>
        </w:rPr>
        <w:t>Academic year faculty members do not accrue paid leave and therefore may only take time off when he/she is not on appointment.  If a faculty member plans to take significant time off during the summer months, he/she cannot charge a grant for any salary earned during the time away from the campus unless allowed by the grant/contract.  In other words, the faculty member’s compensation amount must be reduced to less than 1/9</w:t>
      </w:r>
      <w:r w:rsidRPr="00D23652">
        <w:rPr>
          <w:b w:val="0"/>
          <w:vertAlign w:val="superscript"/>
        </w:rPr>
        <w:t>th</w:t>
      </w:r>
      <w:r w:rsidRPr="00D23652">
        <w:rPr>
          <w:b w:val="0"/>
        </w:rPr>
        <w:t xml:space="preserve"> of the academic year salary in the month the leave is taken.  However, a faculty member can adjust his/her work hours in any given week to allow for insignificant time off as long as he/she ensures the salary charged to a grant reasonably reflects the actual work performed on the sponsored project.</w:t>
      </w:r>
    </w:p>
    <w:p w14:paraId="73568F1C" w14:textId="77777777" w:rsidR="00C95FDD" w:rsidRDefault="00C95FDD" w:rsidP="00C95FDD">
      <w:pPr>
        <w:pStyle w:val="OCGHeading2"/>
        <w:numPr>
          <w:ilvl w:val="0"/>
          <w:numId w:val="0"/>
        </w:numPr>
        <w:spacing w:before="0" w:after="0" w:line="240" w:lineRule="auto"/>
        <w:ind w:left="720"/>
        <w:rPr>
          <w:b w:val="0"/>
        </w:rPr>
      </w:pPr>
    </w:p>
    <w:p w14:paraId="7582817A" w14:textId="77777777" w:rsidR="00C95FDD" w:rsidRPr="00C95FDD" w:rsidRDefault="00C95FDD" w:rsidP="00C95FDD">
      <w:pPr>
        <w:spacing w:after="0" w:line="240" w:lineRule="auto"/>
        <w:ind w:left="720"/>
        <w:rPr>
          <w:rFonts w:ascii="Arial" w:hAnsi="Arial" w:cs="Arial"/>
          <w:sz w:val="20"/>
          <w:szCs w:val="20"/>
        </w:rPr>
      </w:pPr>
      <w:r w:rsidRPr="00C95FDD">
        <w:rPr>
          <w:rFonts w:ascii="Arial" w:hAnsi="Arial" w:cs="Arial"/>
          <w:sz w:val="20"/>
          <w:szCs w:val="20"/>
        </w:rPr>
        <w:t xml:space="preserve">It is important to note, a faculty member </w:t>
      </w:r>
      <w:r w:rsidRPr="00C95FDD">
        <w:rPr>
          <w:rFonts w:ascii="Arial" w:hAnsi="Arial" w:cs="Arial"/>
          <w:b/>
          <w:sz w:val="20"/>
          <w:szCs w:val="20"/>
        </w:rPr>
        <w:t>can</w:t>
      </w:r>
      <w:r w:rsidRPr="00C95FDD">
        <w:rPr>
          <w:rFonts w:ascii="Arial" w:hAnsi="Arial" w:cs="Arial"/>
          <w:sz w:val="20"/>
          <w:szCs w:val="20"/>
        </w:rPr>
        <w:t xml:space="preserve"> earn the entire amount of the 3/9</w:t>
      </w:r>
      <w:r w:rsidRPr="00C95FDD">
        <w:rPr>
          <w:rFonts w:ascii="Arial" w:hAnsi="Arial" w:cs="Arial"/>
          <w:sz w:val="20"/>
          <w:szCs w:val="20"/>
          <w:vertAlign w:val="superscript"/>
        </w:rPr>
        <w:t>ths</w:t>
      </w:r>
      <w:r w:rsidRPr="00C95FDD">
        <w:rPr>
          <w:rFonts w:ascii="Arial" w:hAnsi="Arial" w:cs="Arial"/>
          <w:sz w:val="20"/>
          <w:szCs w:val="20"/>
        </w:rPr>
        <w:t xml:space="preserve"> limit during the summer months even though there is one week in August that is not associated with either the summer session or academic year.  A faculty member can be paid for this ‘Missing’ week as long as the total compensation earning during the summer months does not exceed 3/9</w:t>
      </w:r>
      <w:r w:rsidRPr="00C95FDD">
        <w:rPr>
          <w:rFonts w:ascii="Arial" w:hAnsi="Arial" w:cs="Arial"/>
          <w:sz w:val="20"/>
          <w:szCs w:val="20"/>
          <w:vertAlign w:val="superscript"/>
        </w:rPr>
        <w:t>ths</w:t>
      </w:r>
      <w:r w:rsidRPr="00C95FDD">
        <w:rPr>
          <w:rFonts w:ascii="Arial" w:hAnsi="Arial" w:cs="Arial"/>
          <w:sz w:val="20"/>
          <w:szCs w:val="20"/>
        </w:rPr>
        <w:t>.  If a faculty member takes an unpaid week of vacation time in July, he/she can use this week to conduct research and be paid.</w:t>
      </w:r>
    </w:p>
    <w:p w14:paraId="2EB4465B" w14:textId="5ABD2BE4" w:rsidR="00C95FDD" w:rsidRPr="00C95FDD" w:rsidRDefault="00C95FDD" w:rsidP="00C95FDD">
      <w:pPr>
        <w:spacing w:after="0" w:line="240" w:lineRule="auto"/>
        <w:ind w:left="720"/>
        <w:rPr>
          <w:rFonts w:ascii="Arial" w:hAnsi="Arial" w:cs="Arial"/>
          <w:sz w:val="20"/>
          <w:szCs w:val="20"/>
        </w:rPr>
      </w:pPr>
    </w:p>
    <w:p w14:paraId="65E13879" w14:textId="77777777" w:rsidR="007A5349" w:rsidRDefault="007A5349" w:rsidP="007A5349">
      <w:pPr>
        <w:pStyle w:val="OCGNormal"/>
        <w:spacing w:after="0"/>
      </w:pPr>
    </w:p>
    <w:p w14:paraId="0C407405" w14:textId="4DBE1BF7" w:rsidR="007A5349" w:rsidRDefault="00981EB3" w:rsidP="007A5349">
      <w:pPr>
        <w:pStyle w:val="OCGHeading2"/>
      </w:pPr>
      <w:r>
        <w:lastRenderedPageBreak/>
        <w:t xml:space="preserve">Activity Solely With </w:t>
      </w:r>
      <w:r w:rsidR="007A5349">
        <w:t>Summer Teaching</w:t>
      </w:r>
    </w:p>
    <w:p w14:paraId="20583D52" w14:textId="77777777" w:rsidR="007A5349" w:rsidRPr="007A5349" w:rsidRDefault="007A5349" w:rsidP="007A5349">
      <w:pPr>
        <w:pStyle w:val="OCGHeading2"/>
        <w:numPr>
          <w:ilvl w:val="0"/>
          <w:numId w:val="0"/>
        </w:numPr>
        <w:spacing w:after="0" w:line="240" w:lineRule="auto"/>
        <w:ind w:left="720"/>
        <w:rPr>
          <w:b w:val="0"/>
        </w:rPr>
      </w:pPr>
      <w:r w:rsidRPr="007A5349">
        <w:rPr>
          <w:b w:val="0"/>
        </w:rPr>
        <w:t>Compensation earned in any given summer month that is derived solely from teaching activities is not subject to the 1/9</w:t>
      </w:r>
      <w:r w:rsidRPr="007A5349">
        <w:rPr>
          <w:b w:val="0"/>
          <w:vertAlign w:val="superscript"/>
        </w:rPr>
        <w:t>th</w:t>
      </w:r>
      <w:r w:rsidRPr="007A5349">
        <w:rPr>
          <w:b w:val="0"/>
        </w:rPr>
        <w:t xml:space="preserve"> limits.  This provision only applies when 1/9</w:t>
      </w:r>
      <w:r w:rsidRPr="007A5349">
        <w:rPr>
          <w:b w:val="0"/>
          <w:vertAlign w:val="superscript"/>
        </w:rPr>
        <w:t>th</w:t>
      </w:r>
      <w:r w:rsidRPr="007A5349">
        <w:rPr>
          <w:b w:val="0"/>
        </w:rPr>
        <w:t xml:space="preserve"> of the faculty’s academic year salary is less than what he/she would earn by teaching a summer course.  The 1/9</w:t>
      </w:r>
      <w:r w:rsidRPr="007A5349">
        <w:rPr>
          <w:b w:val="0"/>
          <w:vertAlign w:val="superscript"/>
        </w:rPr>
        <w:t>th</w:t>
      </w:r>
      <w:r w:rsidRPr="007A5349">
        <w:rPr>
          <w:b w:val="0"/>
        </w:rPr>
        <w:t xml:space="preserve"> limit only applies in a summer month where any fraction of summer compensation is earned from research grants.  Although the 1/9</w:t>
      </w:r>
      <w:r w:rsidRPr="007A5349">
        <w:rPr>
          <w:b w:val="0"/>
          <w:vertAlign w:val="superscript"/>
        </w:rPr>
        <w:t>th</w:t>
      </w:r>
      <w:r w:rsidRPr="007A5349">
        <w:rPr>
          <w:b w:val="0"/>
        </w:rPr>
        <w:t xml:space="preserve"> limitation may be exceeded in any month where there is no research funding involved, the total summer compensation may not exceed 3/9</w:t>
      </w:r>
      <w:r w:rsidRPr="007A5349">
        <w:rPr>
          <w:b w:val="0"/>
          <w:vertAlign w:val="superscript"/>
        </w:rPr>
        <w:t>ths</w:t>
      </w:r>
      <w:r w:rsidRPr="007A5349">
        <w:rPr>
          <w:b w:val="0"/>
        </w:rPr>
        <w:t xml:space="preserve"> nor can the entire 3/9</w:t>
      </w:r>
      <w:r w:rsidRPr="007A5349">
        <w:rPr>
          <w:b w:val="0"/>
          <w:vertAlign w:val="superscript"/>
        </w:rPr>
        <w:t>ths</w:t>
      </w:r>
      <w:r w:rsidRPr="007A5349">
        <w:rPr>
          <w:b w:val="0"/>
        </w:rPr>
        <w:t xml:space="preserve"> be earned entirely in one summer month.</w:t>
      </w:r>
    </w:p>
    <w:p w14:paraId="7D5E2902" w14:textId="77777777" w:rsidR="007A5349" w:rsidRDefault="007A5349" w:rsidP="007A5349">
      <w:pPr>
        <w:pStyle w:val="OCGHeading2"/>
        <w:numPr>
          <w:ilvl w:val="0"/>
          <w:numId w:val="0"/>
        </w:numPr>
        <w:ind w:left="1080"/>
      </w:pPr>
    </w:p>
    <w:p w14:paraId="51BAA5FF" w14:textId="0F557735" w:rsidR="007A5349" w:rsidRPr="007A5349" w:rsidRDefault="007A5349" w:rsidP="007A5349">
      <w:pPr>
        <w:pStyle w:val="BodyText"/>
        <w:spacing w:line="240" w:lineRule="auto"/>
        <w:ind w:left="720"/>
        <w:rPr>
          <w:rFonts w:ascii="Arial" w:hAnsi="Arial" w:cs="Arial"/>
          <w:color w:val="000000"/>
          <w:sz w:val="20"/>
          <w:lang w:val="en-US"/>
        </w:rPr>
      </w:pPr>
      <w:r w:rsidRPr="007A5349">
        <w:rPr>
          <w:rFonts w:ascii="Arial" w:hAnsi="Arial" w:cs="Arial"/>
          <w:sz w:val="20"/>
        </w:rPr>
        <w:t>If you have unique, limited and exceptional circumstances that may merit a waiver of this 1/9</w:t>
      </w:r>
      <w:r w:rsidRPr="007A5349">
        <w:rPr>
          <w:rFonts w:ascii="Arial" w:hAnsi="Arial" w:cs="Arial"/>
          <w:sz w:val="20"/>
          <w:vertAlign w:val="superscript"/>
        </w:rPr>
        <w:t>th</w:t>
      </w:r>
      <w:r w:rsidRPr="007A5349">
        <w:rPr>
          <w:rFonts w:ascii="Arial" w:hAnsi="Arial" w:cs="Arial"/>
          <w:color w:val="000000"/>
          <w:sz w:val="20"/>
        </w:rPr>
        <w:t xml:space="preserve"> limit, such as when there is a strong curricular need for the teaching of a specific summer course, a written waiver may be requested from the Provost. </w:t>
      </w:r>
      <w:r w:rsidRPr="007A5349">
        <w:rPr>
          <w:rFonts w:ascii="Arial" w:hAnsi="Arial" w:cs="Arial"/>
          <w:color w:val="000000"/>
          <w:sz w:val="20"/>
          <w:lang w:val="en-US"/>
        </w:rPr>
        <w:t xml:space="preserve">  However, if a waiver is granted, it is important to keep in mind that the 3/9ths limit still applies.  Faculty receiving a waiver will need to reduce the compensation earning is other summer months to below the 1/9</w:t>
      </w:r>
      <w:r w:rsidRPr="007A5349">
        <w:rPr>
          <w:rFonts w:ascii="Arial" w:hAnsi="Arial" w:cs="Arial"/>
          <w:color w:val="000000"/>
          <w:sz w:val="20"/>
          <w:vertAlign w:val="superscript"/>
          <w:lang w:val="en-US"/>
        </w:rPr>
        <w:t>th</w:t>
      </w:r>
      <w:r w:rsidRPr="007A5349">
        <w:rPr>
          <w:rFonts w:ascii="Arial" w:hAnsi="Arial" w:cs="Arial"/>
          <w:color w:val="000000"/>
          <w:sz w:val="20"/>
          <w:lang w:val="en-US"/>
        </w:rPr>
        <w:t xml:space="preserve"> limit to ensure compliance with the 3/9</w:t>
      </w:r>
      <w:r w:rsidRPr="007A5349">
        <w:rPr>
          <w:rFonts w:ascii="Arial" w:hAnsi="Arial" w:cs="Arial"/>
          <w:color w:val="000000"/>
          <w:sz w:val="20"/>
          <w:vertAlign w:val="superscript"/>
          <w:lang w:val="en-US"/>
        </w:rPr>
        <w:t>ths</w:t>
      </w:r>
      <w:r w:rsidRPr="007A5349">
        <w:rPr>
          <w:rFonts w:ascii="Arial" w:hAnsi="Arial" w:cs="Arial"/>
          <w:color w:val="000000"/>
          <w:sz w:val="20"/>
          <w:lang w:val="en-US"/>
        </w:rPr>
        <w:t>.</w:t>
      </w:r>
    </w:p>
    <w:p w14:paraId="7A6ADE15" w14:textId="77777777" w:rsidR="007A5349" w:rsidRDefault="007A5349" w:rsidP="007A5349">
      <w:pPr>
        <w:pStyle w:val="OCGHeading2"/>
        <w:numPr>
          <w:ilvl w:val="0"/>
          <w:numId w:val="0"/>
        </w:numPr>
        <w:ind w:left="1080"/>
      </w:pPr>
    </w:p>
    <w:p w14:paraId="6D9EFA3F" w14:textId="56AF224C" w:rsidR="002D52C0" w:rsidRDefault="002D52C0" w:rsidP="002D52C0">
      <w:pPr>
        <w:pStyle w:val="OCGHeading1"/>
      </w:pPr>
      <w:r>
        <w:t>RELATED PROCEDURAL STATEMENTS, FORMS, POLICIES, &amp; TOOLS</w:t>
      </w:r>
    </w:p>
    <w:p w14:paraId="17C3A430" w14:textId="611CDC65" w:rsidR="003A72BE" w:rsidRPr="003A72BE" w:rsidRDefault="003A72BE" w:rsidP="003A72BE">
      <w:pPr>
        <w:pStyle w:val="OCGHeading1"/>
        <w:numPr>
          <w:ilvl w:val="0"/>
          <w:numId w:val="0"/>
        </w:numPr>
        <w:ind w:left="720"/>
        <w:rPr>
          <w:rFonts w:ascii="Arial" w:hAnsi="Arial" w:cs="Arial"/>
          <w:sz w:val="20"/>
          <w:szCs w:val="20"/>
        </w:rPr>
      </w:pPr>
      <w:r>
        <w:rPr>
          <w:rFonts w:ascii="Arial" w:hAnsi="Arial" w:cs="Arial"/>
          <w:sz w:val="20"/>
          <w:szCs w:val="20"/>
        </w:rPr>
        <w:t xml:space="preserve">(Please find the below documents at:  </w:t>
      </w:r>
      <w:hyperlink r:id="rId14" w:history="1">
        <w:r w:rsidRPr="00951BFC">
          <w:rPr>
            <w:rStyle w:val="Hyperlink"/>
            <w:rFonts w:ascii="Arial" w:hAnsi="Arial" w:cs="Arial"/>
            <w:sz w:val="20"/>
            <w:szCs w:val="20"/>
          </w:rPr>
          <w:t>http://www.colorado.edu/academicaffairs/academic-resources</w:t>
        </w:r>
      </w:hyperlink>
      <w:r>
        <w:rPr>
          <w:rFonts w:ascii="Arial" w:hAnsi="Arial" w:cs="Arial"/>
          <w:sz w:val="20"/>
          <w:szCs w:val="20"/>
        </w:rPr>
        <w:t>)</w:t>
      </w:r>
    </w:p>
    <w:p w14:paraId="6EA7F5E5" w14:textId="783CFC7C" w:rsidR="004D7C9A" w:rsidRDefault="003C52F9" w:rsidP="002D52C0">
      <w:pPr>
        <w:pStyle w:val="OCGHeading2"/>
        <w:numPr>
          <w:ilvl w:val="0"/>
          <w:numId w:val="18"/>
        </w:numPr>
        <w:ind w:left="990" w:hanging="270"/>
        <w:rPr>
          <w:b w:val="0"/>
        </w:rPr>
      </w:pPr>
      <w:hyperlink r:id="rId15" w:history="1">
        <w:r w:rsidR="0022504C">
          <w:rPr>
            <w:rStyle w:val="Hyperlink"/>
            <w:b w:val="0"/>
          </w:rPr>
          <w:t>Summer Salary Request Form &amp; Planning Tool</w:t>
        </w:r>
      </w:hyperlink>
    </w:p>
    <w:p w14:paraId="589CDF50" w14:textId="25636A86" w:rsidR="004D7C9A" w:rsidRDefault="003C52F9" w:rsidP="002D52C0">
      <w:pPr>
        <w:pStyle w:val="OCGHeading2"/>
        <w:numPr>
          <w:ilvl w:val="0"/>
          <w:numId w:val="18"/>
        </w:numPr>
        <w:ind w:left="990" w:hanging="270"/>
        <w:rPr>
          <w:b w:val="0"/>
        </w:rPr>
      </w:pPr>
      <w:hyperlink r:id="rId16" w:history="1">
        <w:r w:rsidR="003A72BE" w:rsidRPr="003A72BE">
          <w:rPr>
            <w:rStyle w:val="Hyperlink"/>
            <w:b w:val="0"/>
          </w:rPr>
          <w:t>Summer Salary Guidelines</w:t>
        </w:r>
      </w:hyperlink>
    </w:p>
    <w:p w14:paraId="3FCA2A66" w14:textId="6566307E" w:rsidR="009829F3" w:rsidRPr="00A7419F" w:rsidRDefault="009829F3" w:rsidP="00DB11D3">
      <w:pPr>
        <w:pStyle w:val="OCGNormal"/>
      </w:pPr>
    </w:p>
    <w:sectPr w:rsidR="009829F3" w:rsidRPr="00A7419F" w:rsidSect="00F249AF">
      <w:footerReference w:type="default" r:id="rId17"/>
      <w:headerReference w:type="first" r:id="rId18"/>
      <w:footerReference w:type="first" r:id="rId19"/>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91E5E" w14:textId="77777777" w:rsidR="00F249AF" w:rsidRDefault="00F249AF" w:rsidP="00F249AF">
      <w:pPr>
        <w:spacing w:after="0" w:line="240" w:lineRule="auto"/>
      </w:pPr>
      <w:r>
        <w:separator/>
      </w:r>
    </w:p>
  </w:endnote>
  <w:endnote w:type="continuationSeparator" w:id="0">
    <w:p w14:paraId="463FE2E7" w14:textId="77777777" w:rsidR="00F249AF" w:rsidRDefault="00F249AF" w:rsidP="00F2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1DE5" w14:textId="77777777" w:rsidR="0022504C" w:rsidRPr="0022504C" w:rsidRDefault="0022504C" w:rsidP="0022504C">
    <w:pPr>
      <w:pStyle w:val="Footer"/>
      <w:rPr>
        <w:sz w:val="18"/>
        <w:szCs w:val="18"/>
      </w:rPr>
    </w:pPr>
    <w:r w:rsidRPr="0022504C">
      <w:rPr>
        <w:sz w:val="18"/>
        <w:szCs w:val="18"/>
      </w:rPr>
      <w:t>3/9ths Summer Salary Limit Policy</w:t>
    </w:r>
    <w:r>
      <w:rPr>
        <w:sz w:val="18"/>
        <w:szCs w:val="18"/>
      </w:rPr>
      <w:t>, v.1.0</w:t>
    </w:r>
    <w:r w:rsidRPr="0022504C">
      <w:rPr>
        <w:sz w:val="18"/>
        <w:szCs w:val="18"/>
      </w:rPr>
      <w:ptab w:relativeTo="margin" w:alignment="center" w:leader="none"/>
    </w:r>
    <w:r w:rsidRPr="0022504C">
      <w:rPr>
        <w:sz w:val="18"/>
        <w:szCs w:val="18"/>
      </w:rPr>
      <w:ptab w:relativeTo="margin" w:alignment="right" w:leader="none"/>
    </w:r>
    <w:r w:rsidRPr="0022504C">
      <w:rPr>
        <w:sz w:val="18"/>
        <w:szCs w:val="18"/>
      </w:rPr>
      <w:t>March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5E3E" w14:textId="5E7EAF27" w:rsidR="007A5349" w:rsidRPr="0022504C" w:rsidRDefault="00F818C1">
    <w:pPr>
      <w:pStyle w:val="Footer"/>
      <w:rPr>
        <w:sz w:val="18"/>
        <w:szCs w:val="18"/>
      </w:rPr>
    </w:pPr>
    <w:r w:rsidRPr="0022504C">
      <w:rPr>
        <w:sz w:val="18"/>
        <w:szCs w:val="18"/>
      </w:rPr>
      <w:t>3/9ths Summer Salary Limit Policy</w:t>
    </w:r>
    <w:r w:rsidR="0022504C">
      <w:rPr>
        <w:sz w:val="18"/>
        <w:szCs w:val="18"/>
      </w:rPr>
      <w:t>, v.1.0</w:t>
    </w:r>
    <w:r w:rsidRPr="0022504C">
      <w:rPr>
        <w:sz w:val="18"/>
        <w:szCs w:val="18"/>
      </w:rPr>
      <w:ptab w:relativeTo="margin" w:alignment="center" w:leader="none"/>
    </w:r>
    <w:r w:rsidRPr="0022504C">
      <w:rPr>
        <w:sz w:val="18"/>
        <w:szCs w:val="18"/>
      </w:rPr>
      <w:ptab w:relativeTo="margin" w:alignment="right" w:leader="none"/>
    </w:r>
    <w:r w:rsidR="0022504C" w:rsidRPr="0022504C">
      <w:rPr>
        <w:sz w:val="18"/>
        <w:szCs w:val="18"/>
      </w:rPr>
      <w:t>March 1</w:t>
    </w:r>
    <w:r w:rsidRPr="0022504C">
      <w:rPr>
        <w:sz w:val="18"/>
        <w:szCs w:val="18"/>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48DEA" w14:textId="77777777" w:rsidR="00F249AF" w:rsidRDefault="00F249AF" w:rsidP="00F249AF">
      <w:pPr>
        <w:spacing w:after="0" w:line="240" w:lineRule="auto"/>
      </w:pPr>
      <w:r>
        <w:separator/>
      </w:r>
    </w:p>
  </w:footnote>
  <w:footnote w:type="continuationSeparator" w:id="0">
    <w:p w14:paraId="26E6E644" w14:textId="77777777" w:rsidR="00F249AF" w:rsidRDefault="00F249AF" w:rsidP="00F24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5C44" w14:textId="3688AD76" w:rsidR="00F249AF" w:rsidRDefault="00F249AF">
    <w:pPr>
      <w:pStyle w:val="Header"/>
    </w:pPr>
    <w:r>
      <w:rPr>
        <w:noProof/>
      </w:rPr>
      <w:drawing>
        <wp:anchor distT="0" distB="0" distL="114300" distR="114300" simplePos="0" relativeHeight="251659264" behindDoc="0" locked="0" layoutInCell="1" allowOverlap="1" wp14:anchorId="590CD63D" wp14:editId="5C83B4BB">
          <wp:simplePos x="0" y="0"/>
          <wp:positionH relativeFrom="column">
            <wp:posOffset>-533400</wp:posOffset>
          </wp:positionH>
          <wp:positionV relativeFrom="paragraph">
            <wp:posOffset>-105410</wp:posOffset>
          </wp:positionV>
          <wp:extent cx="2838450" cy="43137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lder one line.eps"/>
                  <pic:cNvPicPr/>
                </pic:nvPicPr>
                <pic:blipFill>
                  <a:blip r:embed="rId1">
                    <a:extLst>
                      <a:ext uri="{28A0092B-C50C-407E-A947-70E740481C1C}">
                        <a14:useLocalDpi xmlns:a14="http://schemas.microsoft.com/office/drawing/2010/main" val="0"/>
                      </a:ext>
                    </a:extLst>
                  </a:blip>
                  <a:stretch>
                    <a:fillRect/>
                  </a:stretch>
                </pic:blipFill>
                <pic:spPr>
                  <a:xfrm>
                    <a:off x="0" y="0"/>
                    <a:ext cx="2838450" cy="431375"/>
                  </a:xfrm>
                  <a:prstGeom prst="rect">
                    <a:avLst/>
                  </a:prstGeom>
                </pic:spPr>
              </pic:pic>
            </a:graphicData>
          </a:graphic>
          <wp14:sizeRelH relativeFrom="margin">
            <wp14:pctWidth>0</wp14:pctWidth>
          </wp14:sizeRelH>
          <wp14:sizeRelV relativeFrom="margin">
            <wp14:pctHeight>0</wp14:pctHeight>
          </wp14:sizeRelV>
        </wp:anchor>
      </w:drawing>
    </w:r>
  </w:p>
  <w:p w14:paraId="689D73EB" w14:textId="77777777" w:rsidR="00F249AF" w:rsidRDefault="00F249AF">
    <w:pPr>
      <w:pStyle w:val="Header"/>
    </w:pPr>
  </w:p>
  <w:p w14:paraId="7B74E8B1" w14:textId="77777777" w:rsidR="00F249AF" w:rsidRDefault="00F24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D29"/>
    <w:multiLevelType w:val="multilevel"/>
    <w:tmpl w:val="CA6E6490"/>
    <w:lvl w:ilvl="0">
      <w:start w:val="1"/>
      <w:numFmt w:val="upperRoman"/>
      <w:lvlText w:val="%1."/>
      <w:lvlJc w:val="right"/>
      <w:pPr>
        <w:ind w:left="360" w:hanging="360"/>
      </w:pPr>
      <w:rPr>
        <w:rFonts w:ascii="Times New Roman" w:hAnsi="Times New Roman" w:hint="default"/>
        <w:b w:val="0"/>
        <w:i w:val="0"/>
        <w:sz w:val="20"/>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Wingdings" w:hAnsi="Wingdings" w:hint="default"/>
        <w:color w:val="auto"/>
      </w:rPr>
    </w:lvl>
    <w:lvl w:ilvl="6">
      <w:start w:val="1"/>
      <w:numFmt w:val="bullet"/>
      <w:lvlText w:val=""/>
      <w:lvlJc w:val="left"/>
      <w:pPr>
        <w:ind w:left="4680" w:hanging="360"/>
      </w:pPr>
      <w:rPr>
        <w:rFonts w:ascii="Wingdings" w:hAnsi="Wingdings" w:hint="default"/>
        <w:color w:val="auto"/>
      </w:rPr>
    </w:lvl>
    <w:lvl w:ilvl="7">
      <w:start w:val="1"/>
      <w:numFmt w:val="bullet"/>
      <w:lvlText w:val=""/>
      <w:lvlJc w:val="left"/>
      <w:pPr>
        <w:ind w:left="5400" w:hanging="360"/>
      </w:pPr>
      <w:rPr>
        <w:rFonts w:ascii="Wingdings" w:hAnsi="Wingdings" w:hint="default"/>
        <w:color w:val="auto"/>
      </w:rPr>
    </w:lvl>
    <w:lvl w:ilvl="8">
      <w:start w:val="1"/>
      <w:numFmt w:val="bullet"/>
      <w:lvlText w:val=""/>
      <w:lvlJc w:val="left"/>
      <w:pPr>
        <w:ind w:left="6120" w:hanging="180"/>
      </w:pPr>
      <w:rPr>
        <w:rFonts w:ascii="Wingdings" w:hAnsi="Wingdings" w:hint="default"/>
        <w:color w:val="auto"/>
      </w:rPr>
    </w:lvl>
  </w:abstractNum>
  <w:abstractNum w:abstractNumId="1" w15:restartNumberingAfterBreak="0">
    <w:nsid w:val="05E2615E"/>
    <w:multiLevelType w:val="hybridMultilevel"/>
    <w:tmpl w:val="4412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216FB"/>
    <w:multiLevelType w:val="hybridMultilevel"/>
    <w:tmpl w:val="A05C7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655C99"/>
    <w:multiLevelType w:val="hybridMultilevel"/>
    <w:tmpl w:val="3E548488"/>
    <w:lvl w:ilvl="0" w:tplc="0D446F06">
      <w:start w:val="1"/>
      <w:numFmt w:val="decimal"/>
      <w:lvlText w:val="%1.)"/>
      <w:lvlJc w:val="left"/>
      <w:pPr>
        <w:ind w:left="2070" w:hanging="360"/>
      </w:pPr>
      <w:rPr>
        <w:rFonts w:hint="default"/>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372703FE"/>
    <w:multiLevelType w:val="singleLevel"/>
    <w:tmpl w:val="1B9ED8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2B714B"/>
    <w:multiLevelType w:val="hybridMultilevel"/>
    <w:tmpl w:val="50F89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B5ACA"/>
    <w:multiLevelType w:val="hybridMultilevel"/>
    <w:tmpl w:val="9378CFB4"/>
    <w:lvl w:ilvl="0" w:tplc="C6B257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814C6"/>
    <w:multiLevelType w:val="hybridMultilevel"/>
    <w:tmpl w:val="2508F9AC"/>
    <w:lvl w:ilvl="0" w:tplc="E45ACB3E">
      <w:start w:val="1"/>
      <w:numFmt w:val="upperLetter"/>
      <w:pStyle w:val="OCGHeading2"/>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B1030A"/>
    <w:multiLevelType w:val="hybridMultilevel"/>
    <w:tmpl w:val="8E6C4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41D00"/>
    <w:multiLevelType w:val="hybridMultilevel"/>
    <w:tmpl w:val="8DB62202"/>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E6380C"/>
    <w:multiLevelType w:val="hybridMultilevel"/>
    <w:tmpl w:val="CC043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78596D"/>
    <w:multiLevelType w:val="hybridMultilevel"/>
    <w:tmpl w:val="3D648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CE0E0C"/>
    <w:multiLevelType w:val="hybridMultilevel"/>
    <w:tmpl w:val="20C81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A39AB"/>
    <w:multiLevelType w:val="hybridMultilevel"/>
    <w:tmpl w:val="1B888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661BD4"/>
    <w:multiLevelType w:val="hybridMultilevel"/>
    <w:tmpl w:val="881AF1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F92E84"/>
    <w:multiLevelType w:val="hybridMultilevel"/>
    <w:tmpl w:val="7C44B102"/>
    <w:lvl w:ilvl="0" w:tplc="26A0198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B3EAA"/>
    <w:multiLevelType w:val="multilevel"/>
    <w:tmpl w:val="593E29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802739C"/>
    <w:multiLevelType w:val="hybridMultilevel"/>
    <w:tmpl w:val="EDC8C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F4111C"/>
    <w:multiLevelType w:val="hybridMultilevel"/>
    <w:tmpl w:val="398CF7FA"/>
    <w:lvl w:ilvl="0" w:tplc="9F9A5908">
      <w:start w:val="1"/>
      <w:numFmt w:val="upperRoman"/>
      <w:pStyle w:val="OCGHeading1"/>
      <w:lvlText w:val="%1."/>
      <w:lvlJc w:val="right"/>
      <w:pPr>
        <w:ind w:left="720" w:hanging="360"/>
      </w:pPr>
    </w:lvl>
    <w:lvl w:ilvl="1" w:tplc="DDFA3DCC">
      <w:numFmt w:val="bullet"/>
      <w:lvlText w:val="-"/>
      <w:lvlJc w:val="left"/>
      <w:pPr>
        <w:ind w:left="1440" w:hanging="36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266DF"/>
    <w:multiLevelType w:val="hybridMultilevel"/>
    <w:tmpl w:val="AA483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AC504B"/>
    <w:multiLevelType w:val="hybridMultilevel"/>
    <w:tmpl w:val="4B34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F04D6E"/>
    <w:multiLevelType w:val="singleLevel"/>
    <w:tmpl w:val="1B9ED8A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8"/>
  </w:num>
  <w:num w:numId="4">
    <w:abstractNumId w:val="7"/>
  </w:num>
  <w:num w:numId="5">
    <w:abstractNumId w:val="15"/>
  </w:num>
  <w:num w:numId="6">
    <w:abstractNumId w:val="5"/>
  </w:num>
  <w:num w:numId="7">
    <w:abstractNumId w:val="13"/>
  </w:num>
  <w:num w:numId="8">
    <w:abstractNumId w:val="2"/>
  </w:num>
  <w:num w:numId="9">
    <w:abstractNumId w:val="17"/>
  </w:num>
  <w:num w:numId="10">
    <w:abstractNumId w:val="8"/>
  </w:num>
  <w:num w:numId="11">
    <w:abstractNumId w:val="14"/>
  </w:num>
  <w:num w:numId="12">
    <w:abstractNumId w:val="9"/>
  </w:num>
  <w:num w:numId="13">
    <w:abstractNumId w:val="19"/>
  </w:num>
  <w:num w:numId="14">
    <w:abstractNumId w:val="20"/>
  </w:num>
  <w:num w:numId="15">
    <w:abstractNumId w:val="12"/>
  </w:num>
  <w:num w:numId="16">
    <w:abstractNumId w:val="10"/>
  </w:num>
  <w:num w:numId="17">
    <w:abstractNumId w:val="1"/>
  </w:num>
  <w:num w:numId="18">
    <w:abstractNumId w:val="3"/>
  </w:num>
  <w:num w:numId="19">
    <w:abstractNumId w:val="4"/>
  </w:num>
  <w:num w:numId="20">
    <w:abstractNumId w:val="21"/>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39"/>
    <w:rsid w:val="000213A5"/>
    <w:rsid w:val="000565E3"/>
    <w:rsid w:val="00067DC4"/>
    <w:rsid w:val="000936BF"/>
    <w:rsid w:val="000A6726"/>
    <w:rsid w:val="000D1D8A"/>
    <w:rsid w:val="000D1DBF"/>
    <w:rsid w:val="000D6304"/>
    <w:rsid w:val="000F107C"/>
    <w:rsid w:val="000F2326"/>
    <w:rsid w:val="00104DCA"/>
    <w:rsid w:val="00127091"/>
    <w:rsid w:val="001407AC"/>
    <w:rsid w:val="001702F3"/>
    <w:rsid w:val="001B0270"/>
    <w:rsid w:val="001E3E53"/>
    <w:rsid w:val="001E4B59"/>
    <w:rsid w:val="0022504C"/>
    <w:rsid w:val="00235558"/>
    <w:rsid w:val="00235F33"/>
    <w:rsid w:val="00241F09"/>
    <w:rsid w:val="002757E6"/>
    <w:rsid w:val="0028503A"/>
    <w:rsid w:val="002B2120"/>
    <w:rsid w:val="002C03E6"/>
    <w:rsid w:val="002D2CEC"/>
    <w:rsid w:val="002D52C0"/>
    <w:rsid w:val="002E2755"/>
    <w:rsid w:val="0031665D"/>
    <w:rsid w:val="00317855"/>
    <w:rsid w:val="00340ED4"/>
    <w:rsid w:val="003A72BE"/>
    <w:rsid w:val="003B4625"/>
    <w:rsid w:val="003C1D69"/>
    <w:rsid w:val="003C52F9"/>
    <w:rsid w:val="003F1B8C"/>
    <w:rsid w:val="003F1EC0"/>
    <w:rsid w:val="00402F63"/>
    <w:rsid w:val="00403EA3"/>
    <w:rsid w:val="00427AE1"/>
    <w:rsid w:val="00427F1F"/>
    <w:rsid w:val="00443C02"/>
    <w:rsid w:val="004745C5"/>
    <w:rsid w:val="004A09E0"/>
    <w:rsid w:val="004A12A9"/>
    <w:rsid w:val="004A64F9"/>
    <w:rsid w:val="004B6D3B"/>
    <w:rsid w:val="004D5BAE"/>
    <w:rsid w:val="004D5CB7"/>
    <w:rsid w:val="004D7C9A"/>
    <w:rsid w:val="004E6BC1"/>
    <w:rsid w:val="004F6FF1"/>
    <w:rsid w:val="00505AAD"/>
    <w:rsid w:val="00541D49"/>
    <w:rsid w:val="005441D9"/>
    <w:rsid w:val="005A7B1C"/>
    <w:rsid w:val="005D4DF7"/>
    <w:rsid w:val="005E5C19"/>
    <w:rsid w:val="00612F86"/>
    <w:rsid w:val="00615252"/>
    <w:rsid w:val="00615781"/>
    <w:rsid w:val="00621EF2"/>
    <w:rsid w:val="00641A08"/>
    <w:rsid w:val="00651C3F"/>
    <w:rsid w:val="00653725"/>
    <w:rsid w:val="00681CB6"/>
    <w:rsid w:val="0069746B"/>
    <w:rsid w:val="006C2424"/>
    <w:rsid w:val="006D4A2A"/>
    <w:rsid w:val="006D66B9"/>
    <w:rsid w:val="006D79C7"/>
    <w:rsid w:val="006F37C0"/>
    <w:rsid w:val="00711A23"/>
    <w:rsid w:val="007326B8"/>
    <w:rsid w:val="00735F71"/>
    <w:rsid w:val="007413FC"/>
    <w:rsid w:val="00743796"/>
    <w:rsid w:val="007726C8"/>
    <w:rsid w:val="00780C8F"/>
    <w:rsid w:val="007A5349"/>
    <w:rsid w:val="007C10C9"/>
    <w:rsid w:val="007C338A"/>
    <w:rsid w:val="0082749D"/>
    <w:rsid w:val="0083591D"/>
    <w:rsid w:val="00842F2D"/>
    <w:rsid w:val="00843866"/>
    <w:rsid w:val="00850B8C"/>
    <w:rsid w:val="008514A6"/>
    <w:rsid w:val="00860C8D"/>
    <w:rsid w:val="008963BE"/>
    <w:rsid w:val="008F714A"/>
    <w:rsid w:val="00907149"/>
    <w:rsid w:val="00922884"/>
    <w:rsid w:val="00942C7C"/>
    <w:rsid w:val="00971490"/>
    <w:rsid w:val="00981EB3"/>
    <w:rsid w:val="009829F3"/>
    <w:rsid w:val="009A3BE1"/>
    <w:rsid w:val="009C5CA7"/>
    <w:rsid w:val="009D74A9"/>
    <w:rsid w:val="009E2927"/>
    <w:rsid w:val="00A10035"/>
    <w:rsid w:val="00A14693"/>
    <w:rsid w:val="00A2761A"/>
    <w:rsid w:val="00A5332B"/>
    <w:rsid w:val="00A7419F"/>
    <w:rsid w:val="00A77ABC"/>
    <w:rsid w:val="00A95AA4"/>
    <w:rsid w:val="00AB44CE"/>
    <w:rsid w:val="00AC243E"/>
    <w:rsid w:val="00AC3A9A"/>
    <w:rsid w:val="00AC3EA3"/>
    <w:rsid w:val="00AF3724"/>
    <w:rsid w:val="00AF6E23"/>
    <w:rsid w:val="00B152B2"/>
    <w:rsid w:val="00B25D39"/>
    <w:rsid w:val="00B3496B"/>
    <w:rsid w:val="00B36E85"/>
    <w:rsid w:val="00B47C18"/>
    <w:rsid w:val="00B51FA0"/>
    <w:rsid w:val="00B526F2"/>
    <w:rsid w:val="00B922D7"/>
    <w:rsid w:val="00BA4F05"/>
    <w:rsid w:val="00BA7565"/>
    <w:rsid w:val="00BE7858"/>
    <w:rsid w:val="00BF2846"/>
    <w:rsid w:val="00C321A3"/>
    <w:rsid w:val="00C8716D"/>
    <w:rsid w:val="00C95FDD"/>
    <w:rsid w:val="00CA45D2"/>
    <w:rsid w:val="00CC7D01"/>
    <w:rsid w:val="00CD42AC"/>
    <w:rsid w:val="00D23652"/>
    <w:rsid w:val="00D526FA"/>
    <w:rsid w:val="00D83A03"/>
    <w:rsid w:val="00D87287"/>
    <w:rsid w:val="00DA3E5C"/>
    <w:rsid w:val="00DA46E6"/>
    <w:rsid w:val="00DB11D3"/>
    <w:rsid w:val="00DC4E05"/>
    <w:rsid w:val="00E27063"/>
    <w:rsid w:val="00E45A94"/>
    <w:rsid w:val="00E950B5"/>
    <w:rsid w:val="00ED37F4"/>
    <w:rsid w:val="00EE0DAB"/>
    <w:rsid w:val="00EF5913"/>
    <w:rsid w:val="00F15E67"/>
    <w:rsid w:val="00F2452D"/>
    <w:rsid w:val="00F249AF"/>
    <w:rsid w:val="00F46172"/>
    <w:rsid w:val="00F51EE4"/>
    <w:rsid w:val="00F7010C"/>
    <w:rsid w:val="00F818C1"/>
    <w:rsid w:val="00FD1436"/>
    <w:rsid w:val="00FD74C1"/>
    <w:rsid w:val="09649054"/>
    <w:rsid w:val="295E7B0D"/>
    <w:rsid w:val="3955B7A0"/>
    <w:rsid w:val="54D11691"/>
    <w:rsid w:val="590E9573"/>
    <w:rsid w:val="60C64142"/>
    <w:rsid w:val="6517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61097B"/>
  <w15:chartTrackingRefBased/>
  <w15:docId w15:val="{E40BFBE6-4B38-42C7-A92F-25631E48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19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419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419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419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419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419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419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419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419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81"/>
    <w:pPr>
      <w:ind w:left="720"/>
      <w:contextualSpacing/>
    </w:pPr>
  </w:style>
  <w:style w:type="paragraph" w:styleId="Title">
    <w:name w:val="Title"/>
    <w:basedOn w:val="Normal"/>
    <w:next w:val="Normal"/>
    <w:link w:val="TitleChar"/>
    <w:uiPriority w:val="10"/>
    <w:qFormat/>
    <w:rsid w:val="00A74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19F"/>
    <w:rPr>
      <w:rFonts w:asciiTheme="majorHAnsi" w:eastAsiaTheme="majorEastAsia" w:hAnsiTheme="majorHAnsi" w:cstheme="majorBidi"/>
      <w:spacing w:val="-10"/>
      <w:kern w:val="28"/>
      <w:sz w:val="56"/>
      <w:szCs w:val="56"/>
    </w:rPr>
  </w:style>
  <w:style w:type="paragraph" w:customStyle="1" w:styleId="OCGTitle">
    <w:name w:val="OCG Title"/>
    <w:basedOn w:val="Title"/>
    <w:link w:val="OCGTitleChar"/>
    <w:qFormat/>
    <w:rsid w:val="00A7419F"/>
    <w:pPr>
      <w:spacing w:after="240"/>
    </w:pPr>
    <w:rPr>
      <w:rFonts w:ascii="Arial Black" w:eastAsia="Arial Unicode MS" w:hAnsi="Arial Black"/>
      <w:noProof/>
      <w:sz w:val="32"/>
    </w:rPr>
  </w:style>
  <w:style w:type="paragraph" w:styleId="Subtitle">
    <w:name w:val="Subtitle"/>
    <w:basedOn w:val="Normal"/>
    <w:next w:val="Normal"/>
    <w:link w:val="SubtitleChar"/>
    <w:uiPriority w:val="11"/>
    <w:qFormat/>
    <w:rsid w:val="00A7419F"/>
    <w:pPr>
      <w:numPr>
        <w:ilvl w:val="1"/>
      </w:numPr>
    </w:pPr>
    <w:rPr>
      <w:rFonts w:eastAsiaTheme="minorEastAsia"/>
      <w:color w:val="5A5A5A" w:themeColor="text1" w:themeTint="A5"/>
      <w:spacing w:val="15"/>
    </w:rPr>
  </w:style>
  <w:style w:type="character" w:customStyle="1" w:styleId="OCGTitleChar">
    <w:name w:val="OCG Title Char"/>
    <w:basedOn w:val="TitleChar"/>
    <w:link w:val="OCGTitle"/>
    <w:rsid w:val="00A7419F"/>
    <w:rPr>
      <w:rFonts w:ascii="Arial Black" w:eastAsia="Arial Unicode MS" w:hAnsi="Arial Black" w:cstheme="majorBidi"/>
      <w:noProof/>
      <w:spacing w:val="-10"/>
      <w:kern w:val="28"/>
      <w:sz w:val="32"/>
      <w:szCs w:val="56"/>
    </w:rPr>
  </w:style>
  <w:style w:type="character" w:customStyle="1" w:styleId="SubtitleChar">
    <w:name w:val="Subtitle Char"/>
    <w:basedOn w:val="DefaultParagraphFont"/>
    <w:link w:val="Subtitle"/>
    <w:uiPriority w:val="11"/>
    <w:rsid w:val="00A7419F"/>
    <w:rPr>
      <w:rFonts w:eastAsiaTheme="minorEastAsia"/>
      <w:color w:val="5A5A5A" w:themeColor="text1" w:themeTint="A5"/>
      <w:spacing w:val="15"/>
    </w:rPr>
  </w:style>
  <w:style w:type="paragraph" w:customStyle="1" w:styleId="OCGSubtitle">
    <w:name w:val="OCG Subtitle"/>
    <w:basedOn w:val="Normal"/>
    <w:link w:val="OCGSubtitleChar"/>
    <w:qFormat/>
    <w:rsid w:val="00A7419F"/>
    <w:pPr>
      <w:spacing w:after="120" w:line="240" w:lineRule="auto"/>
    </w:pPr>
    <w:rPr>
      <w:rFonts w:ascii="Arial" w:hAnsi="Arial"/>
      <w:b/>
      <w:sz w:val="24"/>
    </w:rPr>
  </w:style>
  <w:style w:type="character" w:customStyle="1" w:styleId="Heading1Char">
    <w:name w:val="Heading 1 Char"/>
    <w:basedOn w:val="DefaultParagraphFont"/>
    <w:link w:val="Heading1"/>
    <w:uiPriority w:val="9"/>
    <w:rsid w:val="00A7419F"/>
    <w:rPr>
      <w:rFonts w:asciiTheme="majorHAnsi" w:eastAsiaTheme="majorEastAsia" w:hAnsiTheme="majorHAnsi" w:cstheme="majorBidi"/>
      <w:color w:val="2E74B5" w:themeColor="accent1" w:themeShade="BF"/>
      <w:sz w:val="32"/>
      <w:szCs w:val="32"/>
    </w:rPr>
  </w:style>
  <w:style w:type="character" w:customStyle="1" w:styleId="OCGSubtitleChar">
    <w:name w:val="OCG Subtitle Char"/>
    <w:basedOn w:val="DefaultParagraphFont"/>
    <w:link w:val="OCGSubtitle"/>
    <w:rsid w:val="00A7419F"/>
    <w:rPr>
      <w:rFonts w:ascii="Arial" w:hAnsi="Arial"/>
      <w:b/>
      <w:sz w:val="24"/>
    </w:rPr>
  </w:style>
  <w:style w:type="character" w:customStyle="1" w:styleId="Heading2Char">
    <w:name w:val="Heading 2 Char"/>
    <w:basedOn w:val="DefaultParagraphFont"/>
    <w:link w:val="Heading2"/>
    <w:uiPriority w:val="9"/>
    <w:rsid w:val="00A741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41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41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419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419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419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41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419F"/>
    <w:rPr>
      <w:rFonts w:asciiTheme="majorHAnsi" w:eastAsiaTheme="majorEastAsia" w:hAnsiTheme="majorHAnsi" w:cstheme="majorBidi"/>
      <w:i/>
      <w:iCs/>
      <w:color w:val="272727" w:themeColor="text1" w:themeTint="D8"/>
      <w:sz w:val="21"/>
      <w:szCs w:val="21"/>
    </w:rPr>
  </w:style>
  <w:style w:type="paragraph" w:customStyle="1" w:styleId="OCGHeading1">
    <w:name w:val="OCG Heading 1"/>
    <w:basedOn w:val="Heading1"/>
    <w:link w:val="OCGHeading1Char"/>
    <w:qFormat/>
    <w:rsid w:val="00A7419F"/>
    <w:pPr>
      <w:numPr>
        <w:numId w:val="3"/>
      </w:numPr>
      <w:spacing w:before="120" w:after="120" w:line="240" w:lineRule="auto"/>
    </w:pPr>
    <w:rPr>
      <w:rFonts w:ascii="Arial Black" w:eastAsia="Arial Unicode MS" w:hAnsi="Arial Black"/>
      <w:color w:val="auto"/>
      <w:sz w:val="24"/>
    </w:rPr>
  </w:style>
  <w:style w:type="paragraph" w:customStyle="1" w:styleId="OCGNormal">
    <w:name w:val="OCG Normal"/>
    <w:basedOn w:val="Normal"/>
    <w:link w:val="OCGNormalChar"/>
    <w:qFormat/>
    <w:rsid w:val="00F249AF"/>
    <w:pPr>
      <w:tabs>
        <w:tab w:val="left" w:pos="2790"/>
      </w:tabs>
      <w:spacing w:after="240" w:line="240" w:lineRule="auto"/>
      <w:ind w:left="720"/>
    </w:pPr>
    <w:rPr>
      <w:rFonts w:ascii="Arial" w:eastAsia="Arial Unicode MS" w:hAnsi="Arial" w:cs="Arial"/>
      <w:sz w:val="20"/>
      <w:szCs w:val="20"/>
    </w:rPr>
  </w:style>
  <w:style w:type="character" w:customStyle="1" w:styleId="OCGHeading1Char">
    <w:name w:val="OCG Heading 1 Char"/>
    <w:basedOn w:val="Heading1Char"/>
    <w:link w:val="OCGHeading1"/>
    <w:rsid w:val="00A7419F"/>
    <w:rPr>
      <w:rFonts w:ascii="Arial Black" w:eastAsia="Arial Unicode MS" w:hAnsi="Arial Black" w:cstheme="majorBidi"/>
      <w:color w:val="2E74B5" w:themeColor="accent1" w:themeShade="BF"/>
      <w:sz w:val="24"/>
      <w:szCs w:val="32"/>
    </w:rPr>
  </w:style>
  <w:style w:type="character" w:customStyle="1" w:styleId="OCGNormalChar">
    <w:name w:val="OCG Normal Char"/>
    <w:basedOn w:val="DefaultParagraphFont"/>
    <w:link w:val="OCGNormal"/>
    <w:rsid w:val="00F249AF"/>
    <w:rPr>
      <w:rFonts w:ascii="Arial" w:eastAsia="Arial Unicode MS" w:hAnsi="Arial" w:cs="Arial"/>
      <w:sz w:val="20"/>
      <w:szCs w:val="20"/>
    </w:rPr>
  </w:style>
  <w:style w:type="paragraph" w:styleId="Quote">
    <w:name w:val="Quote"/>
    <w:basedOn w:val="Normal"/>
    <w:next w:val="Normal"/>
    <w:link w:val="QuoteChar"/>
    <w:uiPriority w:val="29"/>
    <w:qFormat/>
    <w:rsid w:val="002355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5558"/>
    <w:rPr>
      <w:i/>
      <w:iCs/>
      <w:color w:val="404040" w:themeColor="text1" w:themeTint="BF"/>
    </w:rPr>
  </w:style>
  <w:style w:type="paragraph" w:customStyle="1" w:styleId="OCGQuote">
    <w:name w:val="OCG Quote"/>
    <w:basedOn w:val="Quote"/>
    <w:link w:val="OCGQuoteChar"/>
    <w:qFormat/>
    <w:rsid w:val="00235558"/>
    <w:pPr>
      <w:jc w:val="left"/>
    </w:pPr>
    <w:rPr>
      <w:rFonts w:ascii="Arial" w:hAnsi="Arial"/>
      <w:sz w:val="20"/>
    </w:rPr>
  </w:style>
  <w:style w:type="paragraph" w:customStyle="1" w:styleId="OCGHeading2">
    <w:name w:val="OCG Heading 2"/>
    <w:basedOn w:val="Heading2"/>
    <w:link w:val="OCGHeading2Char"/>
    <w:qFormat/>
    <w:rsid w:val="00F249AF"/>
    <w:pPr>
      <w:numPr>
        <w:ilvl w:val="0"/>
        <w:numId w:val="4"/>
      </w:numPr>
      <w:spacing w:after="120"/>
      <w:ind w:left="1080"/>
    </w:pPr>
    <w:rPr>
      <w:rFonts w:ascii="Arial" w:hAnsi="Arial"/>
      <w:b/>
      <w:color w:val="auto"/>
      <w:sz w:val="20"/>
    </w:rPr>
  </w:style>
  <w:style w:type="character" w:customStyle="1" w:styleId="OCGQuoteChar">
    <w:name w:val="OCG Quote Char"/>
    <w:basedOn w:val="QuoteChar"/>
    <w:link w:val="OCGQuote"/>
    <w:rsid w:val="00235558"/>
    <w:rPr>
      <w:rFonts w:ascii="Arial" w:hAnsi="Arial"/>
      <w:i/>
      <w:iCs/>
      <w:color w:val="404040" w:themeColor="text1" w:themeTint="BF"/>
      <w:sz w:val="20"/>
    </w:rPr>
  </w:style>
  <w:style w:type="character" w:styleId="Emphasis">
    <w:name w:val="Emphasis"/>
    <w:basedOn w:val="DefaultParagraphFont"/>
    <w:uiPriority w:val="20"/>
    <w:qFormat/>
    <w:rsid w:val="00F249AF"/>
    <w:rPr>
      <w:rFonts w:ascii="Arial" w:hAnsi="Arial"/>
      <w:i/>
      <w:iCs/>
      <w:sz w:val="20"/>
    </w:rPr>
  </w:style>
  <w:style w:type="character" w:customStyle="1" w:styleId="OCGHeading2Char">
    <w:name w:val="OCG Heading 2 Char"/>
    <w:basedOn w:val="Heading2Char"/>
    <w:link w:val="OCGHeading2"/>
    <w:rsid w:val="00F249AF"/>
    <w:rPr>
      <w:rFonts w:ascii="Arial" w:eastAsiaTheme="majorEastAsia" w:hAnsi="Arial" w:cstheme="majorBidi"/>
      <w:b/>
      <w:color w:val="2E74B5" w:themeColor="accent1" w:themeShade="BF"/>
      <w:sz w:val="20"/>
      <w:szCs w:val="26"/>
    </w:rPr>
  </w:style>
  <w:style w:type="character" w:styleId="Hyperlink">
    <w:name w:val="Hyperlink"/>
    <w:basedOn w:val="DefaultParagraphFont"/>
    <w:uiPriority w:val="99"/>
    <w:unhideWhenUsed/>
    <w:rsid w:val="00F249AF"/>
    <w:rPr>
      <w:color w:val="0563C1" w:themeColor="hyperlink"/>
      <w:u w:val="single"/>
    </w:rPr>
  </w:style>
  <w:style w:type="paragraph" w:styleId="Header">
    <w:name w:val="header"/>
    <w:basedOn w:val="Normal"/>
    <w:link w:val="HeaderChar"/>
    <w:uiPriority w:val="99"/>
    <w:unhideWhenUsed/>
    <w:rsid w:val="00F24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AF"/>
  </w:style>
  <w:style w:type="paragraph" w:styleId="Footer">
    <w:name w:val="footer"/>
    <w:basedOn w:val="Normal"/>
    <w:link w:val="FooterChar"/>
    <w:uiPriority w:val="99"/>
    <w:unhideWhenUsed/>
    <w:rsid w:val="00F24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AF"/>
  </w:style>
  <w:style w:type="paragraph" w:customStyle="1" w:styleId="OCGEmphasis2">
    <w:name w:val="OCG Emphasis 2"/>
    <w:basedOn w:val="OCGNormal"/>
    <w:link w:val="OCGEmphasis2Char"/>
    <w:qFormat/>
    <w:rsid w:val="00621EF2"/>
    <w:rPr>
      <w:b/>
      <w:i/>
    </w:rPr>
  </w:style>
  <w:style w:type="character" w:customStyle="1" w:styleId="OCGEmphasis2Char">
    <w:name w:val="OCG Emphasis 2 Char"/>
    <w:basedOn w:val="OCGNormalChar"/>
    <w:link w:val="OCGEmphasis2"/>
    <w:rsid w:val="00621EF2"/>
    <w:rPr>
      <w:rFonts w:ascii="Arial" w:eastAsia="Arial Unicode MS" w:hAnsi="Arial" w:cs="Arial"/>
      <w:b/>
      <w:i/>
      <w:sz w:val="20"/>
      <w:szCs w:val="20"/>
    </w:rPr>
  </w:style>
  <w:style w:type="character" w:styleId="CommentReference">
    <w:name w:val="annotation reference"/>
    <w:basedOn w:val="DefaultParagraphFont"/>
    <w:uiPriority w:val="99"/>
    <w:semiHidden/>
    <w:unhideWhenUsed/>
    <w:rsid w:val="004745C5"/>
    <w:rPr>
      <w:sz w:val="16"/>
      <w:szCs w:val="16"/>
    </w:rPr>
  </w:style>
  <w:style w:type="paragraph" w:styleId="CommentText">
    <w:name w:val="annotation text"/>
    <w:basedOn w:val="Normal"/>
    <w:link w:val="CommentTextChar"/>
    <w:uiPriority w:val="99"/>
    <w:semiHidden/>
    <w:unhideWhenUsed/>
    <w:rsid w:val="004745C5"/>
    <w:pPr>
      <w:spacing w:line="240" w:lineRule="auto"/>
    </w:pPr>
    <w:rPr>
      <w:sz w:val="20"/>
      <w:szCs w:val="20"/>
    </w:rPr>
  </w:style>
  <w:style w:type="character" w:customStyle="1" w:styleId="CommentTextChar">
    <w:name w:val="Comment Text Char"/>
    <w:basedOn w:val="DefaultParagraphFont"/>
    <w:link w:val="CommentText"/>
    <w:uiPriority w:val="99"/>
    <w:semiHidden/>
    <w:rsid w:val="004745C5"/>
    <w:rPr>
      <w:sz w:val="20"/>
      <w:szCs w:val="20"/>
    </w:rPr>
  </w:style>
  <w:style w:type="paragraph" w:styleId="CommentSubject">
    <w:name w:val="annotation subject"/>
    <w:basedOn w:val="CommentText"/>
    <w:next w:val="CommentText"/>
    <w:link w:val="CommentSubjectChar"/>
    <w:uiPriority w:val="99"/>
    <w:semiHidden/>
    <w:unhideWhenUsed/>
    <w:rsid w:val="004745C5"/>
    <w:rPr>
      <w:b/>
      <w:bCs/>
    </w:rPr>
  </w:style>
  <w:style w:type="character" w:customStyle="1" w:styleId="CommentSubjectChar">
    <w:name w:val="Comment Subject Char"/>
    <w:basedOn w:val="CommentTextChar"/>
    <w:link w:val="CommentSubject"/>
    <w:uiPriority w:val="99"/>
    <w:semiHidden/>
    <w:rsid w:val="004745C5"/>
    <w:rPr>
      <w:b/>
      <w:bCs/>
      <w:sz w:val="20"/>
      <w:szCs w:val="20"/>
    </w:rPr>
  </w:style>
  <w:style w:type="paragraph" w:styleId="BalloonText">
    <w:name w:val="Balloon Text"/>
    <w:basedOn w:val="Normal"/>
    <w:link w:val="BalloonTextChar"/>
    <w:uiPriority w:val="99"/>
    <w:semiHidden/>
    <w:unhideWhenUsed/>
    <w:rsid w:val="00474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C5"/>
    <w:rPr>
      <w:rFonts w:ascii="Segoe UI" w:hAnsi="Segoe UI" w:cs="Segoe UI"/>
      <w:sz w:val="18"/>
      <w:szCs w:val="18"/>
    </w:rPr>
  </w:style>
  <w:style w:type="paragraph" w:customStyle="1" w:styleId="Default">
    <w:name w:val="Default"/>
    <w:rsid w:val="00C8716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4D5BAE"/>
    <w:pPr>
      <w:spacing w:after="0" w:line="36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4D5BAE"/>
    <w:rPr>
      <w:rFonts w:ascii="Times New Roman" w:eastAsia="Times New Roman" w:hAnsi="Times New Roman" w:cs="Times New Roman"/>
      <w:sz w:val="24"/>
      <w:szCs w:val="20"/>
      <w:lang w:val="x-none" w:eastAsia="x-none"/>
    </w:rPr>
  </w:style>
  <w:style w:type="character" w:styleId="FollowedHyperlink">
    <w:name w:val="FollowedHyperlink"/>
    <w:basedOn w:val="DefaultParagraphFont"/>
    <w:uiPriority w:val="99"/>
    <w:semiHidden/>
    <w:unhideWhenUsed/>
    <w:rsid w:val="00104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265">
      <w:bodyDiv w:val="1"/>
      <w:marLeft w:val="0"/>
      <w:marRight w:val="0"/>
      <w:marTop w:val="0"/>
      <w:marBottom w:val="0"/>
      <w:divBdr>
        <w:top w:val="none" w:sz="0" w:space="0" w:color="auto"/>
        <w:left w:val="none" w:sz="0" w:space="0" w:color="auto"/>
        <w:bottom w:val="none" w:sz="0" w:space="0" w:color="auto"/>
        <w:right w:val="none" w:sz="0" w:space="0" w:color="auto"/>
      </w:divBdr>
    </w:div>
    <w:div w:id="6309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8c43fca74b519f6d238b4b65d43a8578&amp;mc=true&amp;node=se2.1.200_1430&amp;rgn=div8" TargetMode="External"/><Relationship Id="rId13" Type="http://schemas.openxmlformats.org/officeDocument/2006/relationships/hyperlink" Target="http://www.colorado.edu/academicaffairs/3-9ths-calculat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lorado.edu/academicaffairs/summer-salary-guidelines-and-request-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lorado.edu/academicaffairs/summer-salary-guidelines-and-request-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academicaffairs/summer-salary-guidelines-and-request-form" TargetMode="External"/><Relationship Id="rId5" Type="http://schemas.openxmlformats.org/officeDocument/2006/relationships/webSettings" Target="webSettings.xml"/><Relationship Id="rId15" Type="http://schemas.openxmlformats.org/officeDocument/2006/relationships/hyperlink" Target="http://www.colorado.edu/academicaffairs/3-9ths-calculator" TargetMode="External"/><Relationship Id="rId10" Type="http://schemas.openxmlformats.org/officeDocument/2006/relationships/hyperlink" Target="http://www.ecfr.gov/cgi-bin/text-idx?SID=8c43fca74b519f6d238b4b65d43a8578&amp;mc=true&amp;node=se2.1.200_1430&amp;rgn=div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acultyaffairs.colorado.edu/faculty/policy-resources/campus-policies/additional-compensation/?searchterm=additional%20compensation" TargetMode="External"/><Relationship Id="rId14" Type="http://schemas.openxmlformats.org/officeDocument/2006/relationships/hyperlink" Target="http://www.colorado.edu/academicaffairs/academic-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F9BD-545B-4961-AA09-34E247EB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Lynn Jenkins</dc:creator>
  <cp:keywords/>
  <dc:description/>
  <cp:lastModifiedBy>Elizabeth A Garfield</cp:lastModifiedBy>
  <cp:revision>2</cp:revision>
  <cp:lastPrinted>2016-06-15T15:53:00Z</cp:lastPrinted>
  <dcterms:created xsi:type="dcterms:W3CDTF">2018-03-07T16:25:00Z</dcterms:created>
  <dcterms:modified xsi:type="dcterms:W3CDTF">2018-03-07T16:25:00Z</dcterms:modified>
</cp:coreProperties>
</file>